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b/>
          <w:sz w:val="24"/>
        </w:rPr>
        <w:t>ETP TIC - Datacenter - Investimento</w:t>
      </w:r>
    </w:p>
    <w:p>
      <w:pPr>
        <w:jc w:val="both"/>
      </w:pPr>
      <w:r>
        <w:rPr>
          <w:b/>
        </w:rPr>
        <w:t xml:space="preserve">Processo: </w:t>
      </w:r>
      <w:r>
        <w:t>021.00000734/2026-33</w:t>
      </w:r>
    </w:p>
    <w:p>
      <w:pPr>
        <w:jc w:val="both"/>
      </w:pPr>
      <w:r>
        <w:rPr>
          <w:b/>
        </w:rPr>
        <w:t xml:space="preserve">Link: </w:t>
      </w:r>
      <w:r>
        <w:t>https://sei.sp.gov.br/sei/controlador.php?acao=procedimento_trabalhar&amp;id_procedimento=126179617</w:t>
      </w:r>
    </w:p>
    <w:p>
      <w:pPr>
        <w:jc w:val="both"/>
      </w:pPr>
      <w:r>
        <w:rPr>
          <w:b/>
        </w:rPr>
        <w:t>1. Informações Básicas</w:t>
      </w:r>
    </w:p>
    <w:p>
      <w:pPr>
        <w:jc w:val="both"/>
      </w:pPr>
      <w:r>
        <w:t>1.1. -</w:t>
      </w:r>
    </w:p>
    <w:p/>
    <w:p>
      <w:pPr>
        <w:jc w:val="both"/>
      </w:pPr>
      <w:r>
        <w:rPr>
          <w:b/>
        </w:rPr>
        <w:t>2. Descrição da Necessidade</w:t>
      </w:r>
    </w:p>
    <w:p>
      <w:pPr>
        <w:jc w:val="both"/>
      </w:pPr>
      <w:r>
        <w:rPr>
          <w:b/>
        </w:rPr>
        <w:t xml:space="preserve">2.1. </w:t>
      </w:r>
      <w:r>
        <w:t>Os sistemas, plataformas e serviços informatizados constituem, atualmente, ativos estratégicos e fundamentais para a continuidade das atividades finalísticas e administrativas desta Secretaria de Parcerias e Investimentos. A dependência tecnológica para a tramitação de processos eletrônicos, modelagem financeira de concessões, monitoramento de contratos, comunicação institucional e execução orçamentário-financeira exige que a infraestrutura de Tecnologia da Informação e Comunicação (TIC) opere em regime de alta disponibilidade, integridade e segurança. Qualquer interrupção nesses serviços digitais paralisa as rotinas internas do órgão, atrasa o andamento de projetos de desestatização de grande relevância estadual e compromete gravemente a eficiência da gestão pública perante a sociedade e os órgãos de controle.</w:t>
      </w:r>
    </w:p>
    <w:p>
      <w:pPr>
        <w:jc w:val="both"/>
      </w:pPr>
      <w:r>
        <w:rPr>
          <w:b/>
        </w:rPr>
        <w:t xml:space="preserve">2.2. </w:t>
      </w:r>
      <w:r>
        <w:t>Para que esses referidos sistemas funcionem de maneira ininterrupta e performática, é imprescindível contar com uma base sólida de computação e armazenamento, cenário que diverge drasticamente da realidade atual da pasta. O parque tecnológico do órgão é composto por servidores legados herdados da antiga estrutura da extinta empresa pública DERSA, os quais encontram-se em avançado estado de obsolescência técnica e operacional, possuindo limitações de capacidade computacional, indisponibilidade de suporte oficial do fabricante, restrições de expansão e crescente dificuldade de reposição de componentes. Por terem atingido o status de fim de vida útil (End of Life - EOL), esses equipamentos não possuem mais suporte técnico oficial do fabricante, garantia contratual ou disponibilidade de peças originais de reposição no mercado. Essa condição agrava a ocorrência de recorrentes problemas físicos e falhas de hardware, gerando um risco iminente de perda irreversível de dados institucionais e impossibilitando a atualização para sistemas operacionais modernos, o que torna o ambiente altamente vulnerável a incidentes de segurança cibernética e ataques de ransomware.</w:t>
      </w:r>
    </w:p>
    <w:p>
      <w:pPr>
        <w:jc w:val="both"/>
      </w:pPr>
      <w:r>
        <w:rPr>
          <w:b/>
        </w:rPr>
        <w:t xml:space="preserve">2.3. </w:t>
      </w:r>
      <w:r>
        <w:t>A vulnerabilidade da infraestrutura estende-se de forma crítica à sua sustentação elétrica, uma vez que todo o ecossistema do Data Center depende atualmente de um único nobreak centralizado. Essa configuração caracteriza um clássico cenário de Ponto Único de Falha (Single Point of Failure - SPOF), onde qualquer pane mecânica, superaquecimento, desgaste de baterias ou curto-circuito nesse único equipamento de energia provocará o desligamento abrupto e imediato de todos os servidores e storages do órgão. A ausência de redundância elétrica desprotege o ambiente contra oscilações e surtos da rede concessionária, gerando paradas não programadas que corrompem bancos de dados e danificam os componentes eletrônicos dos já fragilizados servidores herdados da DERSA, ferindo diretamente o princípio da continuidade do serviço público.</w:t>
      </w:r>
    </w:p>
    <w:p>
      <w:pPr>
        <w:jc w:val="both"/>
      </w:pPr>
      <w:r>
        <w:rPr>
          <w:b/>
        </w:rPr>
        <w:t xml:space="preserve">2.4. </w:t>
      </w:r>
      <w:r>
        <w:t>Adicionalmente, observa-se que a Administração Pública vem passando por um processo contínuo e acelerado de transformação digital, no qual atividades anteriormente executadas de forma predominantemente manual, documental ou dependentes exclusivamente de força de trabalho humana passaram a demandar apoio intensivo de sistemas informatizados, automações, armazenamento massivo de dados, processamento computacional e integração digital entre plataformas institucionais. Esse cenário resulta em crescimento progressivo e permanente do consumo de recursos computacionais, capacidade de processamento, armazenamento, conectividade e disponibilidade operacional da infraestrutura de TIC. Nesse contexto, a presente contratação não se limita apenas à substituição corretiva do parque tecnológico atualmente obsoleto, mas busca também estruturar uma base computacional moderna, resiliente, escalável e preparada para suportar a expansão futura das demandas institucionais da Secretaria de Parcerias e Investimentos, mitigando riscos de saturação tecnológica, indisponibilidade operacional e insuficiência de capacidade diante do aumento contínuo da digitalização dos serviços públicos.</w:t>
      </w:r>
    </w:p>
    <w:p/>
    <w:p>
      <w:pPr>
        <w:jc w:val="both"/>
      </w:pPr>
      <w:r>
        <w:rPr>
          <w:b/>
        </w:rPr>
        <w:t>3. Área Requisitante</w:t>
      </w:r>
    </w:p>
    <w:p>
      <w:pPr>
        <w:jc w:val="both"/>
      </w:pPr>
      <w:r>
        <w:t>3.1. -</w:t>
      </w:r>
    </w:p>
    <w:p/>
    <w:p>
      <w:pPr>
        <w:jc w:val="both"/>
      </w:pPr>
      <w:r>
        <w:rPr>
          <w:b/>
        </w:rPr>
        <w:t>4. Necessidades de Negócio</w:t>
      </w:r>
    </w:p>
    <w:p>
      <w:pPr>
        <w:jc w:val="both"/>
      </w:pPr>
      <w:r>
        <w:rPr>
          <w:b/>
        </w:rPr>
        <w:t xml:space="preserve">4.1. </w:t>
      </w:r>
      <w:r>
        <w:t>Continuidade Operacional: A presente contratação busca atender às necessidades de negócio relacionadas à modernização e fortalecimento definitivo da infraestrutura tecnológica da Secretaria de Parcerias e Investimentos, assegurando a continuidade operacional das atividades estratégicas desempenhadas pela Pasta. As atribuições institucionais relacionadas à governança de concessões, parcerias público-privadas, modelagens econômico-financeiras e acompanhamento de investimentos demandam ambiente computacional estável, resiliente e permanentemente disponível, capaz de suportar o processamento contínuo de informações críticas sem interrupções operacionais. Nesse contexto, a aquisição definitiva da infraestrutura visa garantir maior autonomia tecnológica, previsibilidade operacional e estabilidade da sustentação dos serviços digitais corporativos utilizados pelas áreas finalísticas da Secretaria.</w:t>
      </w:r>
    </w:p>
    <w:p>
      <w:pPr>
        <w:jc w:val="both"/>
      </w:pPr>
      <w:r>
        <w:rPr>
          <w:b/>
        </w:rPr>
        <w:t xml:space="preserve">4.2. </w:t>
      </w:r>
      <w:r>
        <w:t>Mitigação de Riscos Institucionais: Dentre as necessidades de negócio identificadas, destaca-se a necessidade de mitigação dos riscos institucionais associados à obsolescência tecnológica da infraestrutura atualmente existente, à ausência de redundância adequada e à limitação da capacidade operacional do ambiente computacional. A indisponibilidade de serviços digitais corporativos ou a perda de informações estratégicas relacionadas à gestão de projetos, contratos e modelagens financeiras pode gerar impactos relevantes na credibilidade institucional da Pasta, além de comprometer prazos administrativos, processos decisórios e atividades de fiscalização. Dessa forma, a aquisição de infraestrutura moderna e de alta disponibilidade objetiva estabelecer ambiente computacional resiliente, seguro e preparado para suportar o crescimento contínuo das demandas institucionais do órgão.</w:t>
      </w:r>
    </w:p>
    <w:p>
      <w:pPr>
        <w:jc w:val="both"/>
      </w:pPr>
      <w:r>
        <w:rPr>
          <w:b/>
        </w:rPr>
        <w:t xml:space="preserve">4.3. </w:t>
      </w:r>
      <w:r>
        <w:t>Eficiência Orçamentária: Sob a perspectiva da governança administrativa e da responsabilidade fiscal, a necessidade institucional também compreende a realização de investimentos estruturantes capazes de proporcionar maior eficiência econômica no médio e longo prazo, mediante incorporação definitiva dos ativos tecnológicos ao patrimônio público. A aquisição da infraestrutura computacional permite maior controle sobre o ciclo de vida dos equipamentos, racionalização dos custos futuros relacionados à expansão tecnológica e redução da dependência continuada de despesas operacionais recorrentes associadas à locação de ativos computacionais. Adicionalmente, a consolidação patrimonial da infraestrutura favorece o planejamento estratégico da evolução tecnológica do ambiente institucional, proporcionando maior autonomia administrativa, previsibilidade financeira e sustentabilidade operacional para atendimento das futuras demandas da Secretaria.</w:t>
      </w:r>
    </w:p>
    <w:p/>
    <w:p>
      <w:pPr>
        <w:jc w:val="both"/>
      </w:pPr>
      <w:r>
        <w:rPr>
          <w:b/>
        </w:rPr>
        <w:t>5. Necessidades Tecnológicas</w:t>
      </w:r>
    </w:p>
    <w:p>
      <w:pPr>
        <w:jc w:val="both"/>
      </w:pPr>
      <w:r>
        <w:rPr>
          <w:b/>
        </w:rPr>
        <w:t xml:space="preserve">5.1. </w:t>
      </w:r>
      <w:r>
        <w:t>Crescimento da Demanda Tecnológica Futura: A presente contratação possui como objetivo atender às necessidades tecnológicas e estratégicas relacionadas à modernização, continuidade operacional, disponibilidade, escalabilidade e sustentação da infraestrutura computacional da Secretaria de Parcerias em Investimentos. O ambiente atualmente existente apresenta elevado grau de obsolescência tecnológica, limitações de capacidade computacional e riscos operacionais relevantes decorrentes da utilização de ativos sem suporte oficial do fabricante e com restrições de manutenção e expansão. Diante desse cenário, torna-se necessária a implementação de uma infraestrutura corporativa moderna, resiliente e preparada para suportar os serviços digitais institucionais de missão crítica da pasta.</w:t>
      </w:r>
    </w:p>
    <w:p>
      <w:pPr>
        <w:jc w:val="both"/>
      </w:pPr>
      <w:r>
        <w:rPr>
          <w:b/>
        </w:rPr>
        <w:t xml:space="preserve">5.2. </w:t>
      </w:r>
      <w:r>
        <w:t>Arquitetura de Alta Disponibilidade: A solução pretendida deverá possibilitar a consolidação de processamento, armazenamento e rede em arquitetura integrada e de alta disponibilidade, compatível com ambientes virtualizados corporativos e preparada para operação contínua, balanceamento de carga, recuperação automatizada em cenários de falha e expansão tecnológica progressiva. A infraestrutura deverá ainda assegurar elevado desempenho operacional, integridade dos dados, rastreabilidade técnica e redução de dependências proprietárias, contemplando tecnologias compatíveis com gerenciamento avançado de armazenamento definido por software, replicação de dados, alta disponibilidade e acesso direto aos dispositivos físicos de armazenamento.</w:t>
      </w:r>
    </w:p>
    <w:p>
      <w:pPr>
        <w:jc w:val="both"/>
      </w:pPr>
      <w:r>
        <w:rPr>
          <w:b/>
        </w:rPr>
        <w:t xml:space="preserve">5.3. </w:t>
      </w:r>
      <w:r>
        <w:t>Infraestrutura de Rede, Energia e Gerenciamento Corporativo da Solução: A contratação também deverá contemplar infraestrutura de rede e energia compatível com ambientes críticos de processamento, garantindo comunicação de alta velocidade entre os ativos computacionais, redundância operacional, eliminação de pontos únicos de falha e proteção contra indisponibilidades decorrentes de falhas elétricas ou degradação da conectividade. Complementarmente, a solução deverá possuir recursos avançados de gerenciamento remoto corporativo, monitoramento centralizado e administração independente do estado dos sistemas operacionais, ampliando a governança, a capacidade de resposta operacional e a continuidade dos serviços institucionais.</w:t>
      </w:r>
    </w:p>
    <w:p/>
    <w:p>
      <w:pPr>
        <w:jc w:val="both"/>
      </w:pPr>
      <w:r>
        <w:rPr>
          <w:b/>
        </w:rPr>
        <w:t>6. Demais Requisitos Necessários e Suficientes</w:t>
      </w:r>
    </w:p>
    <w:p>
      <w:pPr>
        <w:jc w:val="both"/>
      </w:pPr>
      <w:r>
        <w:rPr>
          <w:b/>
        </w:rPr>
        <w:t xml:space="preserve">6.1. </w:t>
      </w:r>
      <w:r>
        <w:t>A presente contratação visa atender às necessidades estratégicas de modernização, continuidade operacional, disponibilidade, resiliência e sustentabilidade da infraestrutura tecnológica da Secretaria de Parcerias em Investimentos, considerando o atual cenário de obsolescência dos ativos computacionais existentes e os riscos associados à indisponibilidade dos serviços digitais institucionais. Nesse contexto, torna-se necessária a adoção de uma solução corporativa integrada, escalável e preparada para suportar ambientes críticos de processamento, armazenamento e virtualização, assegurando estabilidade operacional, capacidade de crescimento tecnológico e sustentação adequada às demandas institucionais da Administração Pública.</w:t>
      </w:r>
    </w:p>
    <w:p>
      <w:pPr>
        <w:jc w:val="both"/>
      </w:pPr>
      <w:r>
        <w:rPr>
          <w:b/>
        </w:rPr>
        <w:t xml:space="preserve">6.2. </w:t>
      </w:r>
      <w:r>
        <w:t>A solução pretendida deverá contemplar arquitetura tecnológica orientada à alta disponibilidade, redundância operacional, interoperabilidade e mitigação de pontos únicos de falha, permitindo continuidade dos serviços mesmo diante de indisponibilidades parciais de componentes físicos, falhas de infraestrutura predial ou necessidade de manutenção corretiva. A modelagem tecnológica deverá privilegiar gerenciamento centralizado, flexibilidade de expansão, segurança operacional, redução de dependências proprietárias e compatibilidade com tecnologias modernas de virtualização, armazenamento definido por software e recuperação automatizada de serviços, proporcionando maior previsibilidade operacional e melhor aproveitamento dos recursos computacionais disponibilizados à Secretaria.</w:t>
      </w:r>
    </w:p>
    <w:p/>
    <w:p>
      <w:pPr>
        <w:jc w:val="both"/>
      </w:pPr>
      <w:r>
        <w:rPr>
          <w:b/>
        </w:rPr>
        <w:t>7. Estimativa da Demanda</w:t>
      </w:r>
    </w:p>
    <w:p>
      <w:pPr>
        <w:jc w:val="both"/>
      </w:pPr>
      <w:r>
        <w:rPr>
          <w:b/>
        </w:rPr>
        <w:t xml:space="preserve">7.1. </w:t>
      </w:r>
      <w:r>
        <w:t>Faz-se necessária a contratação de solução integrada de infraestrutura computacional corporativa destinada à implantação de ambiente de alta disponibilidade para sustentação dos serviços digitais institucionais da Secretaria de Parcerias em Investimentos. A solução deverá contemplar os ativos, equipamentos, softwares, acessórios e serviços necessários à constituição de um cluster corporativo resiliente, preparado para suportar ambientes virtualizados, processamento de cargas críticas, armazenamento centralizado de dados e operação contínua dos sistemas institucionais.</w:t>
      </w:r>
    </w:p>
    <w:p>
      <w:pPr>
        <w:jc w:val="both"/>
      </w:pPr>
      <w:r>
        <w:rPr>
          <w:b/>
        </w:rPr>
        <w:t xml:space="preserve">7.2. </w:t>
      </w:r>
      <w:r>
        <w:t>A solução deverá contemplar, no mínimo, 03 (três) servidores de alto desempenho destinados à composição do cluster de virtualização e processamento corporativo, 02 (dois) switches de agregação e conectividade em alta velocidade para comunicação redundante entre os nós do ambiente hiperconvergente, placas e cabos para conectividade de alta velocidade, componentes de redundância operacional, bem como demais elementos necessários à sustentação da camada de processamento, armazenamento e rede da solução.</w:t>
      </w:r>
    </w:p>
    <w:p>
      <w:pPr>
        <w:jc w:val="both"/>
      </w:pPr>
      <w:r>
        <w:rPr>
          <w:b/>
        </w:rPr>
        <w:t xml:space="preserve">7.3. </w:t>
      </w:r>
      <w:r>
        <w:t>A infraestrutura deverá contemplar ainda solução de proteção elétrica corporativa composta por nobreaks destinados à sustentação energética do ambiente computacional, incluindo redundância operacional e mitigação de riscos decorrentes de falhas elétricas, oscilações e interrupções de energia. A contratação deverá abranger todos os serviços de fornecimento, instalação, montagem, interligação, energização, configuração, integração, parametrização, migração, testes operacionais e demais insumos necessários ao pleno funcionamento da solução. O dimensionamento da demanda considera o crescimento contínuo das iniciativas de transformação digital, informatização de processos administrativos, expansão dos serviços digitais institucionais e aumento progressivo do consumo de recursos computacionais da Secretaria, exigindo infraestrutura escalável, resiliente e preparada para evolução tecnológica futura.</w:t>
      </w:r>
    </w:p>
    <w:p/>
    <w:p>
      <w:pPr>
        <w:jc w:val="both"/>
      </w:pPr>
      <w:r>
        <w:rPr>
          <w:b/>
        </w:rPr>
        <w:t>8. Levantamento de Soluções</w:t>
      </w:r>
    </w:p>
    <w:p>
      <w:pPr>
        <w:jc w:val="both"/>
      </w:pPr>
      <w:r>
        <w:rPr>
          <w:b/>
        </w:rPr>
        <w:t xml:space="preserve">8.1. </w:t>
      </w:r>
      <w:r>
        <w:t>Durante a fase de análise da demanda, foram avaliadas alternativas tecnológicas e comerciais capazes de atender às necessidades urgentes de continuidade operacional, modernização, mitigação de riscos e ampliação da capacidade computacional da Secretaria de Parcerias e Investimentos. As análises consideraram aspectos críticos relacionados à disponibilidade dos serviços digitais, tempo estimado de implantação, custo operacional, flexibilidade para expansão, aderência técnica ao ecossistema existente e compatibilidade com as metas institucionais da pasta.</w:t>
      </w:r>
    </w:p>
    <w:p>
      <w:pPr>
        <w:jc w:val="both"/>
      </w:pPr>
      <w:r>
        <w:rPr>
          <w:b/>
        </w:rPr>
        <w:t xml:space="preserve">8.2. </w:t>
      </w:r>
      <w:r>
        <w:t>Manutenção do parque atual: Dentre as alternativas avaliadas, identificou-se inicialmente a possibilidade de manutenção da infraestrutura atual, mediante a substituição pontual de componentes com defeito e a continuidade das ações corretivas emergenciais realizadas pela equipe interna. Entretanto, essa alternativa mostrou-se tecnicamente insuficiente e de altíssimo risco, considerando o avançado estado de obsolescência dos servidores Dell PowerEdge R720 herdados da antiga DERSA, que por estarem em fim de vida útil (End of Life - EOL) carecem de suporte oficial do fabricante e peças de reposição. Manter o cenário atual não elimina a iminência de perdas irreversíveis de dados sobre concessões estaduais mantém por consequência o órgão vulnerável ao grave ponto único de falha (Single Point of Failure - SPOF) elétrico decorrente do uso de um único nobreak centralizado para todo o Centro de Processamento de Dados.</w:t>
      </w:r>
    </w:p>
    <w:p>
      <w:pPr>
        <w:jc w:val="both"/>
      </w:pPr>
      <w:r>
        <w:rPr>
          <w:b/>
        </w:rPr>
        <w:t xml:space="preserve">8.3. </w:t>
      </w:r>
      <w:r>
        <w:t>Também foi considerada a possibilidade de aquisição integral de nova infraestrutura computacional por meio do modelo tradicional de compra de ativos permanentes (CapEx). A alternativa mostra-se tecnicamente viável e plenamente compatível com as necessidades institucionais da Secretaria, permitindo a incorporação patrimonial definitiva dos equipamentos, maior autonomia administrativa sobre a gestão do ambiente computacional e controle direto sobre os ciclos de expansão tecnológica. Adicionalmente, a aquisição possibilita à Administração Pública estruturar internamente políticas próprias de sustentação, segurança da informação e governança de infraestrutura, mantendo integral domínio sobre os ativos estratégicos utilizados na execução das atividades finalísticas da Pasta. Contudo, trata-se de alternativa que demanda elevado investimento inicial, maior esforço administrativo relacionado à garantia, manutenção, suporte técnico especializado e renovação tecnológica futura, além de prazos de implantação potencialmente mais extensos em razão da complexidade inerente aos processos licitatórios de aquisição de bens permanentes de alta complexidade tecnológica.</w:t>
      </w:r>
    </w:p>
    <w:p>
      <w:pPr>
        <w:jc w:val="both"/>
      </w:pPr>
      <w:r>
        <w:rPr>
          <w:b/>
        </w:rPr>
        <w:t xml:space="preserve">8.4. </w:t>
      </w:r>
      <w:r>
        <w:t>Núvem pública: Sob outra perspectiva, avaliou-se a utilização de infraestrutura em nuvem pública como alternativa para a sustentação parcial ou integral das cargas computacionais locais. Todavia, verificou-se que a adoção imediata da nuvem demandaria uma complexa e morosa reestruturação arquitetural de todas as aplicações legadas da Secretaria, revisão de contratos de conectividade dedicada de altíssimo custo e uma profunda análise de governança sobre o tráfego de dados sensíveis, além do fato de que diversos sistemas finalísticos ativos possuem dependências lógicas que tornam inviável a migração externa neste momento.</w:t>
      </w:r>
    </w:p>
    <w:p>
      <w:pPr>
        <w:jc w:val="both"/>
      </w:pPr>
      <w:r>
        <w:rPr>
          <w:b/>
        </w:rPr>
        <w:t xml:space="preserve">8.5. </w:t>
      </w:r>
      <w:r>
        <w:t>Hardware as a Service: Sob a perspectiva técnica, operacional e financeira, verificou-se que a modalidade Hardware as a Service (HaaS), embora reduza a necessidade de investimento inicial imediato por parte da Administração Pública, também incorpora desafios relevantes relacionados à dependência continuada da contratada para sustentação do ambiente computacional, manutenção corretiva, atualização tecnológica e continuidade operacional da infraestrutura. Adicionalmente, identificou-se potencial elevação do custo acumulado da solução no médio e longo prazo quando comparada à aquisição definitiva de ativos permanentes, bem como necessidade de fiscalização contratual permanente quanto ao cumprimento dos Acordos de Nível de Serviço (SLA), disponibilidade da infraestrutura, qualidade dos equipamentos fornecidos e efetiva aderência técnica da solução às demandas institucionais da Secretaria.</w:t>
      </w:r>
    </w:p>
    <w:p/>
    <w:p>
      <w:pPr>
        <w:jc w:val="both"/>
      </w:pPr>
      <w:r>
        <w:rPr>
          <w:b/>
        </w:rPr>
        <w:t>9. Análise Comparativa de Soluções</w:t>
      </w:r>
    </w:p>
    <w:p>
      <w:pPr>
        <w:jc w:val="both"/>
      </w:pPr>
      <w:r>
        <w:t>9.1. -</w:t>
      </w:r>
    </w:p>
    <w:p/>
    <w:p>
      <w:pPr>
        <w:jc w:val="both"/>
      </w:pPr>
      <w:r>
        <w:rPr>
          <w:b/>
        </w:rPr>
        <w:t>10. Registro de Solucões Inviáveis</w:t>
      </w:r>
    </w:p>
    <w:p>
      <w:pPr>
        <w:jc w:val="both"/>
      </w:pPr>
      <w:r>
        <w:rPr>
          <w:b/>
        </w:rPr>
        <w:t xml:space="preserve">10.1. </w:t>
      </w:r>
      <w:r>
        <w:t>A alternativa de manutenção da infraestrutura atualmente existente mostrou-se limitada sob a perspectiva de continuidade operacional e sustentabilidade tecnológica, uma vez que se baseia na permanência de ativos computacionais com elevado grau de obsolescência e reduzida capacidade de expansão.</w:t>
      </w:r>
    </w:p>
    <w:p>
      <w:pPr>
        <w:jc w:val="both"/>
      </w:pPr>
      <w:r>
        <w:rPr>
          <w:b/>
        </w:rPr>
        <w:t xml:space="preserve">10.2. </w:t>
      </w:r>
      <w:r>
        <w:t>A solução baseada na modalidade Hardware as a Service (HaaS), embora operacionalmente viável, apresentou limitações relacionadas à dependência continuada da contratada para sustentação da infraestrutura computacional, manutenção especializada, atualização tecnológica e substituição de componentes críticos. Observou-se ainda potencial elevação do custo acumulado da solução no médio e longo prazo em comparação à aquisição definitiva de ativos permanentes, bem como necessidade de fiscalização contratual contínua quanto ao cumprimento dos Acordos de Nível de Serviço (SLA), disponibilidade operacional da infraestrutura e qualidade dos equipamentos fornecidos.</w:t>
      </w:r>
    </w:p>
    <w:p>
      <w:pPr>
        <w:jc w:val="both"/>
      </w:pPr>
      <w:r>
        <w:rPr>
          <w:b/>
        </w:rPr>
        <w:t xml:space="preserve">10.3. </w:t>
      </w:r>
      <w:r>
        <w:t>A alternativa de utilização integral de infraestrutura em nuvem pública apresentou restrições relacionadas à dependência de conectividade externa de alta disponibilidade, à necessidade de adequações arquiteturais em sistemas legados e à complexidade de migração de determinadas aplicações atualmente operadas em ambiente local. Adicionalmente, verificou-se que parte dos sistemas existentes possui dependências técnicas e operacionais que demandariam processos adicionais de adaptação, reestruturação e validação para funcionamento pleno em ambiente de nuvem pública.</w:t>
      </w:r>
    </w:p>
    <w:p>
      <w:pPr>
        <w:jc w:val="both"/>
      </w:pPr>
      <w:r>
        <w:rPr>
          <w:b/>
        </w:rPr>
        <w:t xml:space="preserve">10.4. </w:t>
      </w:r>
      <w:r>
        <w:t>Quanto ao modelo híbrido entre infraestrutura local e computação em nuvem, identificou-se maior complexidade operacional e administrativa decorrente da necessidade de integração contínua entre múltiplos ambientes tecnológicos. Essa alternativa também demanda mecanismos adicionais de governança, sincronização, conectividade e gestão de segurança da informação, além de exigir maior esforço técnico para administração simultânea das infraestruturas locais e remotas.</w:t>
      </w:r>
    </w:p>
    <w:p/>
    <w:p>
      <w:pPr>
        <w:jc w:val="both"/>
      </w:pPr>
      <w:r>
        <w:rPr>
          <w:b/>
        </w:rPr>
        <w:t>11. Análise Comparativa de Custos (TCO)</w:t>
      </w:r>
    </w:p>
    <w:p>
      <w:pPr>
        <w:jc w:val="both"/>
      </w:pPr>
      <w:r>
        <w:rPr>
          <w:b/>
        </w:rPr>
        <w:t xml:space="preserve">11.1. </w:t>
      </w:r>
      <w:r>
        <w:t>A análise comparativa de custos foi realizada considerando o conceito de Total Cost of Ownership (TCO), abrangendo os investimentos iniciais de implantação e os custos indiretos relacionados à manutenção, suporte técnico, atualização tecnológica, expansão e sustentação operacional da infraestrutura computacional. No cenário de manutenção da infraestrutura atualmente existente, verificou-se baixa eficiência econômica no médio e longo prazo, em razão da crescente necessidade de intervenções corretivas, limitações operacionais e aumento progressivo dos riscos associados à obsolescência dos equipamentos atualmente em utilização.</w:t>
      </w:r>
    </w:p>
    <w:p>
      <w:pPr>
        <w:jc w:val="both"/>
      </w:pPr>
      <w:r>
        <w:rPr>
          <w:b/>
        </w:rPr>
        <w:t xml:space="preserve">11.2. </w:t>
      </w:r>
      <w:r>
        <w:t>No modelo tradicional de aquisição definitiva de ativos permanentes (CapEx), identificou-se alternativa tecnicamente viável e compatível com as necessidades institucionais da Secretaria, permitindo à Administração Pública incorporar definitivamente os ativos ao patrimônio público e manter controle integral sobre a gestão, expansão e sustentação da infraestrutura computacional. A aquisição de servidores, storages, ativos de rede, nobreaks e demais componentes possibilita maior autonomia administrativa, previsibilidade sobre o ciclo de vida dos equipamentos e liberdade para definição interna das estratégias de crescimento tecnológico do ambiente institucional. Contudo, o modelo demanda elevado investimento inicial de capital, além de transferir integralmente à Administração Pública os custos futuros relacionados à manutenção preventiva e corretiva, suporte especializado, renovação tecnológica, substituição de equipamentos depreciados, garantias estendidas e adequações físicas necessárias para sustentação contínua do ambiente de datacenter.</w:t>
      </w:r>
    </w:p>
    <w:p>
      <w:pPr>
        <w:jc w:val="both"/>
      </w:pPr>
      <w:r>
        <w:rPr>
          <w:b/>
        </w:rPr>
        <w:t xml:space="preserve">11.3. </w:t>
      </w:r>
      <w:r>
        <w:t>As alternativas baseadas em infraestrutura em nuvem pública e modelo híbrido demonstraram capacidade de redução parcial dos investimentos em ativos físicos próprios, mediante utilização de recursos computacionais sob demanda. Contudo, essas soluções incorporam custos recorrentes relacionados à conectividade dedicada, consumo variável de recursos computacionais, integração entre ambientes, armazenamento externo, transferência de dados e necessidade de adequações arquiteturais das aplicações atualmente existentes no ambiente institucional.</w:t>
      </w:r>
    </w:p>
    <w:p>
      <w:pPr>
        <w:jc w:val="both"/>
      </w:pPr>
      <w:r>
        <w:rPr>
          <w:b/>
        </w:rPr>
        <w:t xml:space="preserve">11.4. </w:t>
      </w:r>
      <w:r>
        <w:t>Por outro lado, verificou-se que a solução baseada na modalidade Hardware as a Service (HaaS), embora reduza a necessidade de investimento inicial de capital por parte da Administração Pública, incorpora riscos e desafios relevantes relacionados à elevada dependência operacional da contratada para manutenção, atualização tecnológica e continuidade da infraestrutura computacional, além da necessidade de fiscalização contratual contínua quanto ao cumprimento dos Acordos de Nível de Serviço (SLA). Adicionalmente, identificou-se potencial elevação do custo acumulado no médio e longo prazo em comparação à aquisição definitiva de ativos permanentes, bem como a possibilidade de permanência parcial de despesas relacionadas à adequação predial, sustentação elétrica, conectividade e expansão física do ambiente computacional institucional, a depender da modelagem contratual adotada.</w:t>
      </w:r>
    </w:p>
    <w:p/>
    <w:p>
      <w:pPr>
        <w:jc w:val="both"/>
      </w:pPr>
      <w:r>
        <w:rPr>
          <w:b/>
        </w:rPr>
        <w:t>12. Descrição da Solução de TIC</w:t>
      </w:r>
    </w:p>
    <w:p>
      <w:pPr>
        <w:jc w:val="both"/>
      </w:pPr>
      <w:r>
        <w:rPr>
          <w:b/>
        </w:rPr>
        <w:t xml:space="preserve">12.1. </w:t>
      </w:r>
      <w:r>
        <w:t>Todos os equipamentos, componentes e demais recursos de infraestrutura a serem fornecidos no âmbito deste item deverão ser novos, de primeiro uso, sem qualquer tipo de recondicionamento, remanufatura ou reutilização, devendo estar em linha de fabricação e plenamente suportados pelo fabricante. Tais equipamentos deverão atender integralmente às especificações técnicas, requisitos de desempenho, capacidade, disponibilidade e demais condições estabelecidas neste Termo de Referência, garantindo plena operacionalidade e aderência aos níveis de serviço exigidos pela CONTRATANTE.</w:t>
      </w:r>
    </w:p>
    <w:p>
      <w:pPr>
        <w:jc w:val="both"/>
      </w:pPr>
      <w:r>
        <w:rPr>
          <w:b/>
        </w:rPr>
        <w:t xml:space="preserve">12.2. </w:t>
      </w:r>
      <w:r>
        <w:t>A CONTRATADA deverá instalar e configurar o seguinte conjunto de equipamentos:</w:t>
      </w:r>
    </w:p>
    <w:p>
      <w:pPr>
        <w:jc w:val="both"/>
      </w:pPr>
      <w:r>
        <w:rPr>
          <w:b/>
        </w:rPr>
        <w:t xml:space="preserve">12.2.1. </w:t>
      </w:r>
      <w:r>
        <w:t>03 (TRÊS) SERVIDORES RACK</w:t>
      </w:r>
    </w:p>
    <w:p>
      <w:pPr>
        <w:jc w:val="both"/>
      </w:pPr>
      <w:r>
        <w:rPr>
          <w:b/>
        </w:rPr>
        <w:t xml:space="preserve">12.2.1.1. </w:t>
      </w:r>
      <w:r>
        <w:t>TIPO DE SERVIDOR</w:t>
      </w:r>
    </w:p>
    <w:p>
      <w:pPr>
        <w:jc w:val="both"/>
      </w:pPr>
      <w:r>
        <w:rPr>
          <w:b/>
        </w:rPr>
        <w:t xml:space="preserve">12.2.1.1.1. </w:t>
      </w:r>
      <w:r>
        <w:t>Servidor tipo Dualprocessado de arquitetura x86 com 2 processadores com tecnologia mínima de 14 core por processador.</w:t>
      </w:r>
    </w:p>
    <w:p>
      <w:pPr>
        <w:jc w:val="both"/>
      </w:pPr>
      <w:r>
        <w:rPr>
          <w:b/>
        </w:rPr>
        <w:t xml:space="preserve">12.2.1.1.2. </w:t>
      </w:r>
      <w:r>
        <w:t>Gabinete tipo rack padrão 19 polegadas com altura máxima de 2U.</w:t>
      </w:r>
    </w:p>
    <w:p>
      <w:pPr>
        <w:jc w:val="both"/>
      </w:pPr>
      <w:r>
        <w:rPr>
          <w:b/>
        </w:rPr>
        <w:t xml:space="preserve">12.2.1.1.3. </w:t>
      </w:r>
      <w:r>
        <w:t>O servidor ofertado deverá possuir plena compatibilidade com ambiente de virtualização baseado em Proxmox Virtual Environment e armazenamento distribuído Ceph, devendo os componentes ofertados (controladoras, interfaces de rede, processadores, discos e NVMe) possuir suporte oficial ao kernel Linux e compatibilidade comprovada junto à documentação técnica oficial dos fabricantes ou às listas de compatibilidade e recomendações técnicas do ecossistema Ceph e Proxmox VE.</w:t>
      </w:r>
    </w:p>
    <w:p>
      <w:pPr>
        <w:jc w:val="both"/>
      </w:pPr>
      <w:r>
        <w:rPr>
          <w:b/>
        </w:rPr>
        <w:t xml:space="preserve">12.2.1.2. </w:t>
      </w:r>
      <w:r>
        <w:t>PROCESSADOR</w:t>
      </w:r>
    </w:p>
    <w:p>
      <w:pPr>
        <w:jc w:val="both"/>
      </w:pPr>
      <w:r>
        <w:rPr>
          <w:b/>
        </w:rPr>
        <w:t xml:space="preserve">12.2.1.2.1. </w:t>
      </w:r>
      <w:r>
        <w:t>O servidor deverá ser fornecido com 02 (dois) processadores originalmente concebidos para ambientes corporativos de missão crítica, contendo, cada unidade, no mínimo, 14 (quatorze) núcleos físicos, suporte a virtualização assistida por hardware, arquitetura x86-64, suporte a memória DDR4 ECC ou superior e recursos avançados de gerenciamento térmico e eficiência energética.</w:t>
      </w:r>
    </w:p>
    <w:p>
      <w:pPr>
        <w:jc w:val="both"/>
      </w:pPr>
      <w:r>
        <w:rPr>
          <w:b/>
        </w:rPr>
        <w:t xml:space="preserve">12.2.1.2.2. </w:t>
      </w:r>
      <w:r>
        <w:t>Os processadores deverão possuir desempenho compatível com ambientes de virtualização corporativa, processamento intensivo e armazenamento distribuído, admitindo-se tecnologias Intel ou AMD equivalentes.</w:t>
      </w:r>
    </w:p>
    <w:p>
      <w:pPr>
        <w:jc w:val="both"/>
      </w:pPr>
      <w:r>
        <w:rPr>
          <w:b/>
        </w:rPr>
        <w:t xml:space="preserve">12.2.1.3. </w:t>
      </w:r>
      <w:r>
        <w:t>MEMÓRIA RAM</w:t>
      </w:r>
    </w:p>
    <w:p>
      <w:pPr>
        <w:jc w:val="both"/>
      </w:pPr>
      <w:r>
        <w:rPr>
          <w:b/>
        </w:rPr>
        <w:t xml:space="preserve">12.2.1.3.1. </w:t>
      </w:r>
      <w:r>
        <w:t>Deverão ser fornecidos no mínimo 512 GBytes de memória RAM por servidor.</w:t>
      </w:r>
    </w:p>
    <w:p>
      <w:pPr>
        <w:jc w:val="both"/>
      </w:pPr>
      <w:r>
        <w:rPr>
          <w:b/>
        </w:rPr>
        <w:t xml:space="preserve">12.2.1.3.2. </w:t>
      </w:r>
      <w:r>
        <w:t>Padrão mínimo do tipo DDR-4 ECC 2666MHz ou superior.</w:t>
      </w:r>
    </w:p>
    <w:p>
      <w:pPr>
        <w:jc w:val="both"/>
      </w:pPr>
      <w:r>
        <w:rPr>
          <w:b/>
        </w:rPr>
        <w:t xml:space="preserve">12.2.1.3.3. </w:t>
      </w:r>
      <w:r>
        <w:t>Módulos de memória com tamanho mínimo de 32 GBytes.</w:t>
      </w:r>
    </w:p>
    <w:p>
      <w:pPr>
        <w:jc w:val="both"/>
      </w:pPr>
      <w:r>
        <w:rPr>
          <w:b/>
        </w:rPr>
        <w:t xml:space="preserve">12.2.1.3.4. </w:t>
      </w:r>
      <w:r>
        <w:t>O servidor deverá suportar expansibilidade de memória a pelo menos 1,5 TByte, sem a substituição de módulos inicialmente ofertados.</w:t>
      </w:r>
    </w:p>
    <w:p>
      <w:pPr>
        <w:jc w:val="both"/>
      </w:pPr>
      <w:r>
        <w:rPr>
          <w:b/>
        </w:rPr>
        <w:t xml:space="preserve">12.2.1.3.5. </w:t>
      </w:r>
      <w:r>
        <w:t>Os servidores deverão disponibilizar no mínimo 24 slots de memória. As memórias deverão estar distribuídas igualmente para cada processador do servidor.</w:t>
      </w:r>
    </w:p>
    <w:p>
      <w:pPr>
        <w:jc w:val="both"/>
      </w:pPr>
      <w:r>
        <w:rPr>
          <w:b/>
        </w:rPr>
        <w:t xml:space="preserve">12.2.1.3.6. </w:t>
      </w:r>
      <w:r>
        <w:t>O equipamento deverá suportar memória RAM não volátil - NVDIMM ou tecnologia de proteção de dados similar.</w:t>
      </w:r>
    </w:p>
    <w:p>
      <w:pPr>
        <w:jc w:val="both"/>
      </w:pPr>
      <w:r>
        <w:rPr>
          <w:b/>
        </w:rPr>
        <w:t xml:space="preserve">12.2.1.4. </w:t>
      </w:r>
      <w:r>
        <w:t>CIRCUITOS INTEGRADOS DE CONTROLE AUXILIAR DO PROCESSADOR (CHIPSET)</w:t>
      </w:r>
    </w:p>
    <w:p>
      <w:pPr>
        <w:jc w:val="both"/>
      </w:pPr>
      <w:r>
        <w:rPr>
          <w:b/>
        </w:rPr>
        <w:t xml:space="preserve">12.2.1.4.1. </w:t>
      </w:r>
      <w:r>
        <w:t>O chipset deverá suportar velocidade do barramento de comunicação com o processador de no mínimo de 10.4 GT/s (Giga Transfers por segundo).</w:t>
      </w:r>
    </w:p>
    <w:p>
      <w:pPr>
        <w:jc w:val="both"/>
      </w:pPr>
      <w:r>
        <w:rPr>
          <w:b/>
        </w:rPr>
        <w:t xml:space="preserve">12.2.1.4.2. </w:t>
      </w:r>
      <w:r>
        <w:t>Controladora de memória (no chipset ou integrada ao processador) deverá suportar no mínimo memória RAM do tipo DDR-4 RDIMM com frequência igual ou superior a 2666MHz.</w:t>
      </w:r>
    </w:p>
    <w:p>
      <w:pPr>
        <w:jc w:val="both"/>
      </w:pPr>
      <w:r>
        <w:rPr>
          <w:b/>
        </w:rPr>
        <w:t xml:space="preserve">12.2.1.4.3. </w:t>
      </w:r>
      <w:r>
        <w:t>Controlador de memória (no chipset ou integrada ao processador) deverá suportar correção de erro de 1 bit e detecção de erro de 2 bits (ECC).</w:t>
      </w:r>
    </w:p>
    <w:p>
      <w:pPr>
        <w:jc w:val="both"/>
      </w:pPr>
      <w:r>
        <w:rPr>
          <w:b/>
        </w:rPr>
        <w:t xml:space="preserve">12.2.1.4.4. </w:t>
      </w:r>
      <w:r>
        <w:t>Suportar tecnologias de proteção da memória RAM por sparing memory e/ou mirroring memory.</w:t>
      </w:r>
    </w:p>
    <w:p>
      <w:pPr>
        <w:jc w:val="both"/>
      </w:pPr>
      <w:r>
        <w:rPr>
          <w:b/>
        </w:rPr>
        <w:t xml:space="preserve">12.2.1.4.5. </w:t>
      </w:r>
      <w:r>
        <w:t>Barramentos de comunicação baseados no padrão PCI-Express.</w:t>
      </w:r>
    </w:p>
    <w:p>
      <w:pPr>
        <w:jc w:val="both"/>
      </w:pPr>
      <w:r>
        <w:rPr>
          <w:b/>
        </w:rPr>
        <w:t xml:space="preserve">12.2.1.4.6. </w:t>
      </w:r>
      <w:r>
        <w:t>Deverá suportar tecnologia de virtualização VT-x ou AMD-v.</w:t>
      </w:r>
    </w:p>
    <w:p>
      <w:pPr>
        <w:jc w:val="both"/>
      </w:pPr>
      <w:r>
        <w:rPr>
          <w:b/>
        </w:rPr>
        <w:t xml:space="preserve">12.2.1.4.7. </w:t>
      </w:r>
      <w:r>
        <w:t>Deverá possuir suporte à tecnologia IOMMU (input/output memory management unit) para permitir que máquinas virtuais utilizem diretamente dispositivos de I/O, tais como placas de rede Ethernet, placas rede FC ou CNA, através da DMA e remapeamento de interrupções. Exemplos: VT-d ou AMD-Vi.</w:t>
      </w:r>
    </w:p>
    <w:p>
      <w:pPr>
        <w:jc w:val="both"/>
      </w:pPr>
      <w:r>
        <w:rPr>
          <w:b/>
        </w:rPr>
        <w:t xml:space="preserve">12.2.1.4.8. </w:t>
      </w:r>
      <w:r>
        <w:t>Deverá implementar mecanismos de redução de consumo de energia compatível com o padrão ACPI versão 2.0 ou superior.</w:t>
      </w:r>
    </w:p>
    <w:p>
      <w:pPr>
        <w:jc w:val="both"/>
      </w:pPr>
      <w:r>
        <w:rPr>
          <w:b/>
        </w:rPr>
        <w:t xml:space="preserve">12.2.1.5. </w:t>
      </w:r>
      <w:r>
        <w:t>BIOS/UEFI</w:t>
      </w:r>
    </w:p>
    <w:p>
      <w:pPr>
        <w:jc w:val="both"/>
      </w:pPr>
      <w:r>
        <w:rPr>
          <w:b/>
        </w:rPr>
        <w:t xml:space="preserve">12.2.1.5.1. </w:t>
      </w:r>
      <w:r>
        <w:t>O BIOS/UEFI deverá ser do tipo Flash Memory, utilizando memória não volátil e eletricamente reprogramável.</w:t>
      </w:r>
    </w:p>
    <w:p>
      <w:pPr>
        <w:jc w:val="both"/>
      </w:pPr>
      <w:r>
        <w:rPr>
          <w:b/>
        </w:rPr>
        <w:t xml:space="preserve">12.2.1.5.2. </w:t>
      </w:r>
      <w:r>
        <w:t>Deverá mostrar no monitor de vídeo o nome do fabricante do servidor sempre que o servidor for inicializado.</w:t>
      </w:r>
    </w:p>
    <w:p>
      <w:pPr>
        <w:jc w:val="both"/>
      </w:pPr>
      <w:r>
        <w:rPr>
          <w:b/>
        </w:rPr>
        <w:t xml:space="preserve">12.2.1.5.3. </w:t>
      </w:r>
      <w:r>
        <w:t>A inicialização do servidor deverá ser realizada na sequência definida pelo usuário, via CDROM e/ou disco rígido, bem como pela placa de rede através do recurso WOL (Wake on LAN).</w:t>
      </w:r>
    </w:p>
    <w:p>
      <w:pPr>
        <w:jc w:val="both"/>
      </w:pPr>
      <w:r>
        <w:rPr>
          <w:b/>
        </w:rPr>
        <w:t xml:space="preserve">12.2.1.5.4. </w:t>
      </w:r>
      <w:r>
        <w:t>Deverá possuir recursos de controle de permissão através de senhas, uma para inicializar o servidor e outra para acesso e alterações das configurações do BIOS/UEFI.</w:t>
      </w:r>
    </w:p>
    <w:p>
      <w:pPr>
        <w:jc w:val="both"/>
      </w:pPr>
      <w:r>
        <w:rPr>
          <w:b/>
        </w:rPr>
        <w:t xml:space="preserve">12.2.1.5.5. </w:t>
      </w:r>
      <w:r>
        <w:t>O servidor deverá ser fornecido com a última versão da BIOS/UEFI disponibilizado pelo fabricante.</w:t>
      </w:r>
    </w:p>
    <w:p>
      <w:pPr>
        <w:jc w:val="both"/>
      </w:pPr>
      <w:r>
        <w:rPr>
          <w:b/>
        </w:rPr>
        <w:t xml:space="preserve">12.2.1.5.6. </w:t>
      </w:r>
      <w:r>
        <w:t>As atualizações de BIOS/UEFI devem possuir (assinatura) autenticação criptográfica segundo as especificações NIST SP800-147В.</w:t>
      </w:r>
    </w:p>
    <w:p>
      <w:pPr>
        <w:jc w:val="both"/>
      </w:pPr>
      <w:r>
        <w:rPr>
          <w:b/>
        </w:rPr>
        <w:t xml:space="preserve">12.2.1.6. </w:t>
      </w:r>
      <w:r>
        <w:t>SLOTS PCI</w:t>
      </w:r>
    </w:p>
    <w:p>
      <w:pPr>
        <w:jc w:val="both"/>
      </w:pPr>
      <w:r>
        <w:rPr>
          <w:b/>
        </w:rPr>
        <w:t xml:space="preserve">12.2.1.6.1. </w:t>
      </w:r>
      <w:r>
        <w:t>Padrão PCI-Express ou superior.</w:t>
      </w:r>
    </w:p>
    <w:p>
      <w:pPr>
        <w:jc w:val="both"/>
      </w:pPr>
      <w:r>
        <w:rPr>
          <w:b/>
        </w:rPr>
        <w:t xml:space="preserve">12.2.1.6.2. </w:t>
      </w:r>
      <w:r>
        <w:t>Disponibilizar no mínimo 02 slots PCI-Express livres, após o servidor estar configurado com os dispositivos solicitados.</w:t>
      </w:r>
    </w:p>
    <w:p>
      <w:pPr>
        <w:jc w:val="both"/>
      </w:pPr>
      <w:r>
        <w:rPr>
          <w:b/>
        </w:rPr>
        <w:t xml:space="preserve">12.2.1.7. </w:t>
      </w:r>
      <w:r>
        <w:t>PORTAS DE COMUNICAÇÃO</w:t>
      </w:r>
    </w:p>
    <w:p>
      <w:pPr>
        <w:jc w:val="both"/>
      </w:pPr>
      <w:r>
        <w:rPr>
          <w:b/>
        </w:rPr>
        <w:t xml:space="preserve">12.2.1.7.1. </w:t>
      </w:r>
      <w:r>
        <w:t>Todos os conectores das portas de entrada/saída de sinal devem ser identificados pelos nomes ou símbolos.</w:t>
      </w:r>
    </w:p>
    <w:p>
      <w:pPr>
        <w:jc w:val="both"/>
      </w:pPr>
      <w:r>
        <w:rPr>
          <w:b/>
        </w:rPr>
        <w:t xml:space="preserve">12.2.1.7.2. </w:t>
      </w:r>
      <w:r>
        <w:t>No mínimo 03 (três) portas USB, sendo no mínimo 02 (duas) na versão 3.0;</w:t>
      </w:r>
    </w:p>
    <w:p>
      <w:pPr>
        <w:jc w:val="both"/>
      </w:pPr>
      <w:r>
        <w:rPr>
          <w:b/>
        </w:rPr>
        <w:t xml:space="preserve">12.2.1.7.3. </w:t>
      </w:r>
      <w:r>
        <w:t>01 (uma) porta para monitor de vídeo local ou remota compatível com as funcionalidades de gerenciamento e manutenção do equipamento, admitindo-se conexões VGA, DisplayPort, Mini DisplayPort ou console virtual integrada.</w:t>
      </w:r>
    </w:p>
    <w:p>
      <w:pPr>
        <w:jc w:val="both"/>
      </w:pPr>
      <w:r>
        <w:rPr>
          <w:b/>
        </w:rPr>
        <w:t xml:space="preserve">12.2.1.7.4. </w:t>
      </w:r>
      <w:r>
        <w:t>02 (duas) portas RJ45 para rede Gigabit Ethernet.</w:t>
      </w:r>
    </w:p>
    <w:p>
      <w:pPr>
        <w:jc w:val="both"/>
      </w:pPr>
      <w:r>
        <w:rPr>
          <w:b/>
        </w:rPr>
        <w:t xml:space="preserve">12.2.1.7.5. </w:t>
      </w:r>
      <w:r>
        <w:t>02 (duas) portas SFP+ para rede 10 Gb Ethernet.</w:t>
      </w:r>
    </w:p>
    <w:p>
      <w:pPr>
        <w:jc w:val="both"/>
      </w:pPr>
      <w:r>
        <w:rPr>
          <w:b/>
        </w:rPr>
        <w:t xml:space="preserve">12.2.1.7.6. </w:t>
      </w:r>
      <w:r>
        <w:t>As interfaces de rede de alta velocidade deverão operar integralmente sobre protocolo Ethernet/IP, compatíveis com ambientes hiperconvergentes, virtualização corporativa, replicação de dados e armazenamento distribuído baseado em Ceph.</w:t>
      </w:r>
    </w:p>
    <w:p>
      <w:pPr>
        <w:jc w:val="both"/>
      </w:pPr>
      <w:r>
        <w:rPr>
          <w:b/>
        </w:rPr>
        <w:t xml:space="preserve">12.2.1.7.7. </w:t>
      </w:r>
      <w:r>
        <w:t>01 (uma) porta RJ45 para rede Gigabit Ethernet de gerenciamento.</w:t>
      </w:r>
    </w:p>
    <w:p>
      <w:pPr>
        <w:jc w:val="both"/>
      </w:pPr>
      <w:r>
        <w:rPr>
          <w:b/>
        </w:rPr>
        <w:t xml:space="preserve">12.2.1.8. </w:t>
      </w:r>
      <w:r>
        <w:t>CONTROLADORA DE VÍDEO</w:t>
      </w:r>
    </w:p>
    <w:p>
      <w:pPr>
        <w:jc w:val="both"/>
      </w:pPr>
      <w:r>
        <w:rPr>
          <w:b/>
        </w:rPr>
        <w:t xml:space="preserve">12.2.1.8.1. </w:t>
      </w:r>
      <w:r>
        <w:t>01 (uma) controladora de vídeo por servidor.</w:t>
      </w:r>
    </w:p>
    <w:p>
      <w:pPr>
        <w:jc w:val="both"/>
      </w:pPr>
      <w:r>
        <w:rPr>
          <w:b/>
        </w:rPr>
        <w:t xml:space="preserve">12.2.1.8.2. </w:t>
      </w:r>
      <w:r>
        <w:t>Tamanho de memória de vídeo de no mínimo 8MBytes.</w:t>
      </w:r>
    </w:p>
    <w:p>
      <w:pPr>
        <w:jc w:val="both"/>
      </w:pPr>
      <w:r>
        <w:rPr>
          <w:b/>
        </w:rPr>
        <w:t xml:space="preserve">12.2.1.8.3. </w:t>
      </w:r>
      <w:r>
        <w:t>Resolução gráfica de 1024 x 768 pixels.</w:t>
      </w:r>
    </w:p>
    <w:p>
      <w:pPr>
        <w:jc w:val="both"/>
      </w:pPr>
      <w:r>
        <w:rPr>
          <w:b/>
        </w:rPr>
        <w:t xml:space="preserve">12.2.1.9. </w:t>
      </w:r>
      <w:r>
        <w:t>CONTROLADORA DE DISCO (RAID)</w:t>
      </w:r>
    </w:p>
    <w:p>
      <w:pPr>
        <w:jc w:val="both"/>
      </w:pPr>
      <w:r>
        <w:rPr>
          <w:b/>
        </w:rPr>
        <w:t xml:space="preserve">12.2.1.9.1. </w:t>
      </w:r>
      <w:r>
        <w:t>No mínimo 01 controladora para controle dos discos rígidos.</w:t>
      </w:r>
    </w:p>
    <w:p>
      <w:pPr>
        <w:jc w:val="both"/>
      </w:pPr>
      <w:r>
        <w:rPr>
          <w:b/>
        </w:rPr>
        <w:t xml:space="preserve">12.2.1.9.2. </w:t>
      </w:r>
      <w:r>
        <w:t>Onboard e/ou offboard padrão PCI-Express.</w:t>
      </w:r>
    </w:p>
    <w:p>
      <w:pPr>
        <w:jc w:val="both"/>
      </w:pPr>
      <w:r>
        <w:rPr>
          <w:b/>
        </w:rPr>
        <w:t xml:space="preserve">12.2.1.9.3. </w:t>
      </w:r>
      <w:r>
        <w:t>Deverá possuir canais suficientes para o controle dos discos rígidos solicitados.</w:t>
      </w:r>
    </w:p>
    <w:p>
      <w:pPr>
        <w:jc w:val="both"/>
      </w:pPr>
      <w:r>
        <w:rPr>
          <w:b/>
        </w:rPr>
        <w:t xml:space="preserve">12.2.1.9.4. </w:t>
      </w:r>
      <w:r>
        <w:t>Padrão SAS ou superior.</w:t>
      </w:r>
    </w:p>
    <w:p>
      <w:pPr>
        <w:jc w:val="both"/>
      </w:pPr>
      <w:r>
        <w:rPr>
          <w:b/>
        </w:rPr>
        <w:t xml:space="preserve">12.2.1.9.5. </w:t>
      </w:r>
      <w:r>
        <w:t>Memória cachê implementada na controladora com no mínimo de 2GBytes com bateria (batterybacked cache) para gravação ou proteção através de memória flash.</w:t>
      </w:r>
    </w:p>
    <w:p>
      <w:pPr>
        <w:jc w:val="both"/>
      </w:pPr>
      <w:r>
        <w:rPr>
          <w:b/>
        </w:rPr>
        <w:t xml:space="preserve">12.2.1.9.6. </w:t>
      </w:r>
      <w:r>
        <w:t>Taxa de transferência de dados de no mínimo 12Gbps.</w:t>
      </w:r>
    </w:p>
    <w:p>
      <w:pPr>
        <w:jc w:val="both"/>
      </w:pPr>
      <w:r>
        <w:rPr>
          <w:b/>
        </w:rPr>
        <w:t xml:space="preserve">12.2.1.9.7. </w:t>
      </w:r>
      <w:r>
        <w:t>Deverá suportar a implementação dos níveis de RAID 0 + 1 ou 10, 1, 5</w:t>
      </w:r>
    </w:p>
    <w:p>
      <w:pPr>
        <w:jc w:val="both"/>
      </w:pPr>
      <w:r>
        <w:rPr>
          <w:b/>
        </w:rPr>
        <w:t xml:space="preserve">12.2.1.9.8. </w:t>
      </w:r>
      <w:r>
        <w:t>Deverá possibilitar a implementação de no mínimo 8 (oito) drives lógicos</w:t>
      </w:r>
    </w:p>
    <w:p>
      <w:pPr>
        <w:jc w:val="both"/>
      </w:pPr>
      <w:r>
        <w:rPr>
          <w:b/>
        </w:rPr>
        <w:t xml:space="preserve">12.2.1.9.9. </w:t>
      </w:r>
      <w:r>
        <w:t>As funcionalidades de array devem ser implementáveis e configuráveis por hardware através de utilitário específico;</w:t>
      </w:r>
    </w:p>
    <w:p>
      <w:pPr>
        <w:jc w:val="both"/>
      </w:pPr>
      <w:r>
        <w:rPr>
          <w:b/>
        </w:rPr>
        <w:t xml:space="preserve">12.2.1.10. </w:t>
      </w:r>
      <w:r>
        <w:t>INTERFACE DE REDE 1GE</w:t>
      </w:r>
    </w:p>
    <w:p>
      <w:pPr>
        <w:jc w:val="both"/>
      </w:pPr>
      <w:r>
        <w:rPr>
          <w:b/>
        </w:rPr>
        <w:t xml:space="preserve">12.2.1.10.1. </w:t>
      </w:r>
      <w:r>
        <w:t>No mínimo 02 portas de rede por servidor.</w:t>
      </w:r>
    </w:p>
    <w:p>
      <w:pPr>
        <w:jc w:val="both"/>
      </w:pPr>
      <w:r>
        <w:rPr>
          <w:b/>
        </w:rPr>
        <w:t xml:space="preserve">12.2.1.10.2. </w:t>
      </w:r>
      <w:r>
        <w:t>Padrão de barramento PCI-Express, onboard e/ou offboard.</w:t>
      </w:r>
    </w:p>
    <w:p>
      <w:pPr>
        <w:jc w:val="both"/>
      </w:pPr>
      <w:r>
        <w:rPr>
          <w:b/>
        </w:rPr>
        <w:t xml:space="preserve">12.2.1.10.3. </w:t>
      </w:r>
      <w:r>
        <w:t>Padrão Gigabit Ethernet com tecnologia TOE (TCP/IP Offload Engine) integrado ou similar como TSO ou MSI-X e RSS para redução do overhead e otimização do uso de CPU.</w:t>
      </w:r>
    </w:p>
    <w:p>
      <w:pPr>
        <w:jc w:val="both"/>
      </w:pPr>
      <w:r>
        <w:rPr>
          <w:b/>
        </w:rPr>
        <w:t xml:space="preserve">12.2.1.10.4. </w:t>
      </w:r>
      <w:r>
        <w:t>Deverá operar na velocidade de comunicação de 1000Mbps, bem como no modo full-duplex.</w:t>
      </w:r>
    </w:p>
    <w:p>
      <w:pPr>
        <w:jc w:val="both"/>
      </w:pPr>
      <w:r>
        <w:rPr>
          <w:b/>
        </w:rPr>
        <w:t xml:space="preserve">12.2.1.10.5. </w:t>
      </w:r>
      <w:r>
        <w:t>Compatibilidade funcional e operacional com o padrão IEEE 802.3ab para 1000baseT (Gigabit Ethernet).</w:t>
      </w:r>
    </w:p>
    <w:p>
      <w:pPr>
        <w:jc w:val="both"/>
      </w:pPr>
      <w:r>
        <w:rPr>
          <w:b/>
        </w:rPr>
        <w:t xml:space="preserve">12.2.1.10.6. </w:t>
      </w:r>
      <w:r>
        <w:t>Deverão possuir recursos de Wake on LAN (WOL).</w:t>
      </w:r>
    </w:p>
    <w:p>
      <w:pPr>
        <w:jc w:val="both"/>
      </w:pPr>
      <w:r>
        <w:rPr>
          <w:b/>
        </w:rPr>
        <w:t xml:space="preserve">12.2.1.10.7. </w:t>
      </w:r>
      <w:r>
        <w:t>Suporte à VLAN e Link Agregation.</w:t>
      </w:r>
    </w:p>
    <w:p>
      <w:pPr>
        <w:jc w:val="both"/>
      </w:pPr>
      <w:r>
        <w:rPr>
          <w:b/>
        </w:rPr>
        <w:t xml:space="preserve">12.2.1.11. </w:t>
      </w:r>
      <w:r>
        <w:t>INTERFACE DE REDE 10GE</w:t>
      </w:r>
    </w:p>
    <w:p>
      <w:pPr>
        <w:jc w:val="both"/>
      </w:pPr>
      <w:r>
        <w:rPr>
          <w:b/>
        </w:rPr>
        <w:t xml:space="preserve">12.2.1.11.1. </w:t>
      </w:r>
      <w:r>
        <w:t>Cada servidor deverá possuir, no mínimo, 02 (duas) interfaces de rede dedicadas de 10 Gigabits Ethernet destinadas à comunicação do ambiente hiperconvergente e/ou armazenamento distribuído baseado em Ceph e Proxmox Virtual Environment.</w:t>
      </w:r>
    </w:p>
    <w:p>
      <w:pPr>
        <w:jc w:val="both"/>
      </w:pPr>
      <w:r>
        <w:rPr>
          <w:b/>
        </w:rPr>
        <w:t xml:space="preserve">12.2.1.11.2. </w:t>
      </w:r>
      <w:r>
        <w:t>As interfaces de rede deverão possuir padrão de barramento PCI-Express, podendo ser fornecidas na modalidade onboard e/ou offboard.</w:t>
      </w:r>
    </w:p>
    <w:p>
      <w:pPr>
        <w:jc w:val="both"/>
      </w:pPr>
      <w:r>
        <w:rPr>
          <w:b/>
        </w:rPr>
        <w:t xml:space="preserve">12.2.1.11.3. </w:t>
      </w:r>
      <w:r>
        <w:t>Deverão ser fornecidos módulos transceptores SFP+ compatíveis com todas as portas disponibilizadas. Não será necessário o fornecimento de cabeamento óptico, uma vez que a CONTRATANTE já possui infraestrutura óptica instalada.</w:t>
      </w:r>
    </w:p>
    <w:p>
      <w:pPr>
        <w:jc w:val="both"/>
      </w:pPr>
      <w:r>
        <w:rPr>
          <w:b/>
        </w:rPr>
        <w:t xml:space="preserve">12.2.1.11.4. </w:t>
      </w:r>
      <w:r>
        <w:t>As interfaces deverão possuir drivers, firmwares e suporte compatíveis com sistemas operacionais Linux corporativos e ambientes de virtualização baseados em Kernel Linux, incluindo, mas não se limitando a Debian GNU/Linux 12 ou superior, Red Hat Enterprise Linux 8 ou superior, SUSE Linux Enterprise Server 15 ou superior e Microsoft Windows Server 2019 ou superior.</w:t>
      </w:r>
    </w:p>
    <w:p>
      <w:pPr>
        <w:jc w:val="both"/>
      </w:pPr>
      <w:r>
        <w:rPr>
          <w:b/>
        </w:rPr>
        <w:t xml:space="preserve">12.2.1.11.5. </w:t>
      </w:r>
      <w:r>
        <w:t>As interfaces deverão possuir plena compatibilidade operacional com ambientes de virtualização baseados em Proxmox Virtual Environment, KVM/QEMU, Linux Kernel e Microsoft Hyper-V Server 2019 ou superior.</w:t>
      </w:r>
    </w:p>
    <w:p>
      <w:pPr>
        <w:jc w:val="both"/>
      </w:pPr>
      <w:r>
        <w:rPr>
          <w:b/>
        </w:rPr>
        <w:t xml:space="preserve">12.2.1.11.6. </w:t>
      </w:r>
      <w:r>
        <w:t>O modelo das interfaces ofertadas deverá possuir suporte oficial ao Kernel Linux e compatibilidade comprovada com ambientes de armazenamento distribuído baseados em Ceph, não sendo admitidos componentes com incompatibilidades conhecidas, restrições de firmware, limitação de drivers ou funcionalidades parciais no ambiente ofertado.</w:t>
      </w:r>
    </w:p>
    <w:p>
      <w:pPr>
        <w:jc w:val="both"/>
      </w:pPr>
      <w:r>
        <w:rPr>
          <w:b/>
        </w:rPr>
        <w:t xml:space="preserve">12.2.1.11.6.1. </w:t>
      </w:r>
      <w:r>
        <w:t>A solução deverá permitir segregação lógica ou física das redes de gerenciamento, sincronização do cluster, replicação de armazenamento distribuído, backup e tráfego das máquinas virtuais, mediante utilização de VLANs, bonding/LACP, bridges Linux ou interfaces dedicadas.</w:t>
      </w:r>
    </w:p>
    <w:p>
      <w:pPr>
        <w:jc w:val="both"/>
      </w:pPr>
      <w:r>
        <w:rPr>
          <w:b/>
        </w:rPr>
        <w:t xml:space="preserve">12.2.1.12. </w:t>
      </w:r>
      <w:r>
        <w:t>ARMAZENAMENTO DISTRIBUÍDO PARA O CLUSTER HIPERCONVERGENTE</w:t>
      </w:r>
    </w:p>
    <w:p>
      <w:pPr>
        <w:jc w:val="both"/>
      </w:pPr>
      <w:r>
        <w:rPr>
          <w:b/>
        </w:rPr>
        <w:t xml:space="preserve">12.2.1.12.1. </w:t>
      </w:r>
      <w:r>
        <w:t>Cada servidor deverá possuir, no mínimo, 08 (oito) unidades de armazenamento SSD NVMe destinadas à composição do armazenamento distribuído baseado em Ceph, com capacidade individual mínima de 15,36 TB.</w:t>
      </w:r>
    </w:p>
    <w:p>
      <w:pPr>
        <w:jc w:val="both"/>
      </w:pPr>
      <w:r>
        <w:rPr>
          <w:b/>
        </w:rPr>
        <w:t xml:space="preserve">12.2.1.12.2. </w:t>
      </w:r>
      <w:r>
        <w:t>As unidades de armazenamento deverão possuir interface mínima NVMe PCI Express Gen4 x4 ou superior, compatíveis com operação contínua em ambiente hiperconvergente de alta disponibilidade.</w:t>
      </w:r>
    </w:p>
    <w:p>
      <w:pPr>
        <w:jc w:val="both"/>
      </w:pPr>
      <w:r>
        <w:rPr>
          <w:b/>
        </w:rPr>
        <w:t xml:space="preserve">12.2.1.12.3. </w:t>
      </w:r>
      <w:r>
        <w:t>A capacidade bruta mínima disponibilizada por nó deverá ser de 120 TB.</w:t>
      </w:r>
    </w:p>
    <w:p>
      <w:pPr>
        <w:jc w:val="both"/>
      </w:pPr>
      <w:r>
        <w:rPr>
          <w:b/>
        </w:rPr>
        <w:t xml:space="preserve">12.2.1.12.4. </w:t>
      </w:r>
      <w:r>
        <w:t>A solução hiperconvergente composta por 03 (três) nós deverá disponibilizará capacidade líquida útil mínima de 100 TB, já considerados os mecanismos de replicação, tolerância a falhas, overhead operacional, reserva técnica, rebalanceamento, recuperação automática e políticas de resiliência do cluster Ceph em configuração mínima size=3 e min_size=2.</w:t>
      </w:r>
    </w:p>
    <w:p>
      <w:pPr>
        <w:jc w:val="both"/>
      </w:pPr>
      <w:r>
        <w:rPr>
          <w:b/>
        </w:rPr>
        <w:t xml:space="preserve">12.2.1.12.5. </w:t>
      </w:r>
      <w:r>
        <w:t>As unidades SSD NVMe deverão possuir perfil enterprise/datacenter, próprias para operação contínua 24x7 em ambientes de virtualização e armazenamento distribuído.</w:t>
      </w:r>
    </w:p>
    <w:p>
      <w:pPr>
        <w:jc w:val="both"/>
      </w:pPr>
      <w:r>
        <w:rPr>
          <w:b/>
        </w:rPr>
        <w:t xml:space="preserve">12.2.1.12.6. </w:t>
      </w:r>
      <w:r>
        <w:t>As unidades SSD NVMe deverão possuir endurance mínima de 1 DWPD (Drive Writes Per Day) durante todo o período de garantia do fabricante.</w:t>
      </w:r>
    </w:p>
    <w:p>
      <w:pPr>
        <w:jc w:val="both"/>
      </w:pPr>
      <w:r>
        <w:rPr>
          <w:b/>
        </w:rPr>
        <w:t xml:space="preserve">12.2.1.12.7. </w:t>
      </w:r>
      <w:r>
        <w:t>As unidades de armazenamento deverão suportar, no mínimo, 500.000 IOPS de leitura randômica 4K e 100.000 IOPS de gravação randômica 4K, considerando workload enterprise e operação em estado estável (steady state).</w:t>
      </w:r>
    </w:p>
    <w:p>
      <w:pPr>
        <w:jc w:val="both"/>
      </w:pPr>
      <w:r>
        <w:rPr>
          <w:b/>
        </w:rPr>
        <w:t xml:space="preserve">12.2.1.12.8. </w:t>
      </w:r>
      <w:r>
        <w:t>As unidades poderão ser fornecidas em baias hot plug/hot swap padrão U.2/U.3, EDSFF, ou diretamente conectadas ao barramento PCI Express do servidor, desde que plenamente compatíveis com a solução Proxmox Virtual Environment e com o ambiente distribuído baseado em Ceph.</w:t>
      </w:r>
    </w:p>
    <w:p>
      <w:pPr>
        <w:jc w:val="both"/>
      </w:pPr>
      <w:r>
        <w:rPr>
          <w:b/>
        </w:rPr>
        <w:t xml:space="preserve">12.2.1.12.9. </w:t>
      </w:r>
      <w:r>
        <w:t>Os dispositivos destinados à composição dos OSDs do cluster Ceph deverão operar em modo passthrough, HBA ou JBOD, sendo vedada a utilização de arranjos RAID lógicos para composição do armazenamento distribuído.</w:t>
      </w:r>
    </w:p>
    <w:p>
      <w:pPr>
        <w:jc w:val="both"/>
      </w:pPr>
      <w:r>
        <w:rPr>
          <w:b/>
        </w:rPr>
        <w:t xml:space="preserve">12.2.1.12.10. </w:t>
      </w:r>
      <w:r>
        <w:t>A solução deverá suportar substituição de unidades em operação (hot swap), sem necessidade de desligamento do servidor ou interrupção do funcionamento do cluster hiperconvergente.</w:t>
      </w:r>
    </w:p>
    <w:p>
      <w:pPr>
        <w:jc w:val="both"/>
      </w:pPr>
      <w:r>
        <w:rPr>
          <w:b/>
        </w:rPr>
        <w:t xml:space="preserve">12.2.1.12.11. </w:t>
      </w:r>
      <w:r>
        <w:t>As unidades ofertadas deverão possuir firmware corporativo homologado pelo fabricante do servidor ou da solução ofertada, garantindo plena compatibilidade operacional e suporte técnico integrado.</w:t>
      </w:r>
    </w:p>
    <w:p>
      <w:pPr>
        <w:jc w:val="both"/>
      </w:pPr>
      <w:r>
        <w:rPr>
          <w:b/>
        </w:rPr>
        <w:t xml:space="preserve">12.2.1.13. </w:t>
      </w:r>
      <w:r>
        <w:t>ARMAZENAMENTO PARA SISTEMA OPERACIONAL E SERVIÇOS DE INFRAESTRUTURA DOS NÓS HIPERCONVERGENTES</w:t>
      </w:r>
    </w:p>
    <w:p>
      <w:pPr>
        <w:jc w:val="both"/>
      </w:pPr>
      <w:r>
        <w:rPr>
          <w:b/>
        </w:rPr>
        <w:t xml:space="preserve">12.2.1.13.1. </w:t>
      </w:r>
      <w:r>
        <w:t>Cada servidor deverá possuir, no mínimo, 02 (duas) unidades SSD NVMe dedicadas exclusivamente ao sistema operacional do hipervisor, serviços locais de infraestrutura e particionamentos auxiliares da solução hiperconvergente.</w:t>
      </w:r>
    </w:p>
    <w:p>
      <w:pPr>
        <w:jc w:val="both"/>
      </w:pPr>
      <w:r>
        <w:rPr>
          <w:b/>
        </w:rPr>
        <w:t xml:space="preserve">12.2.1.13.2. </w:t>
      </w:r>
      <w:r>
        <w:t>As unidades deverão ser configuradas em espelhamento (RAID 1), garantindo redundância local do sistema operacional do host.</w:t>
      </w:r>
    </w:p>
    <w:p>
      <w:pPr>
        <w:jc w:val="both"/>
      </w:pPr>
      <w:r>
        <w:rPr>
          <w:b/>
        </w:rPr>
        <w:t xml:space="preserve">12.2.1.13.3. </w:t>
      </w:r>
      <w:r>
        <w:t>Cada unidade deverá possuir capacidade individual mínima de 960 GB.</w:t>
      </w:r>
    </w:p>
    <w:p>
      <w:pPr>
        <w:jc w:val="both"/>
      </w:pPr>
      <w:r>
        <w:rPr>
          <w:b/>
        </w:rPr>
        <w:t xml:space="preserve">12.2.1.13.4. </w:t>
      </w:r>
      <w:r>
        <w:t>As unidades deverão possuir interface mínima NVMe PCI Express Gen4 x4 ou superior.</w:t>
      </w:r>
    </w:p>
    <w:p>
      <w:pPr>
        <w:jc w:val="both"/>
      </w:pPr>
      <w:r>
        <w:rPr>
          <w:b/>
        </w:rPr>
        <w:t xml:space="preserve">12.2.1.13.5. </w:t>
      </w:r>
      <w:r>
        <w:t>As unidades deverão possuir perfil enterprise/datacenter, próprias para operação contínua 24x7 em ambientes de virtualização corporativa.</w:t>
      </w:r>
    </w:p>
    <w:p>
      <w:pPr>
        <w:jc w:val="both"/>
      </w:pPr>
      <w:r>
        <w:rPr>
          <w:b/>
        </w:rPr>
        <w:t xml:space="preserve">12.2.1.13.6. </w:t>
      </w:r>
      <w:r>
        <w:t>As unidades deverão possuir endurance mínima de 1 DWPD (Drive Writes Per Day) durante todo o período de garantia do fabricante.</w:t>
      </w:r>
    </w:p>
    <w:p>
      <w:pPr>
        <w:jc w:val="both"/>
      </w:pPr>
      <w:r>
        <w:rPr>
          <w:b/>
        </w:rPr>
        <w:t xml:space="preserve">12.2.1.13.7. </w:t>
      </w:r>
      <w:r>
        <w:t>As unidades deverão suportar, no mínimo, 500.000 IOPS de leitura randômica 4K e 100.000 IOPS de gravação randômica 4K, considerando workload enterprise e operação em estado estável (steady state).</w:t>
      </w:r>
    </w:p>
    <w:p>
      <w:pPr>
        <w:jc w:val="both"/>
      </w:pPr>
      <w:r>
        <w:rPr>
          <w:b/>
        </w:rPr>
        <w:t xml:space="preserve">12.2.1.13.8. </w:t>
      </w:r>
      <w:r>
        <w:t>As unidades poderão ser fornecidas em baias hot plug/hot swap padrão U.2/U.3, M.2 enterprise, EDSFF ou diretamente conectadas ao barramento PCI Express do servidor, desde que plenamente compatíveis com a solução Proxmox Virtual Environment ofertada.</w:t>
      </w:r>
    </w:p>
    <w:p>
      <w:pPr>
        <w:jc w:val="both"/>
      </w:pPr>
      <w:r>
        <w:rPr>
          <w:b/>
        </w:rPr>
        <w:t xml:space="preserve">12.2.1.13.9. </w:t>
      </w:r>
      <w:r>
        <w:t>As unidades destinadas ao sistema operacional não poderão compartilhar OSDs, pools ou volumes destinados ao armazenamento distribuído Ceph.</w:t>
      </w:r>
    </w:p>
    <w:p>
      <w:pPr>
        <w:jc w:val="both"/>
      </w:pPr>
      <w:r>
        <w:rPr>
          <w:b/>
        </w:rPr>
        <w:t xml:space="preserve">12.2.1.13.10. </w:t>
      </w:r>
      <w:r>
        <w:t>A solução deverá suportar substituição das unidades sem necessidade de reinstalação integral do ambiente ou interrupção completa do cluster hiperconvergente.</w:t>
      </w:r>
    </w:p>
    <w:p>
      <w:pPr>
        <w:jc w:val="both"/>
      </w:pPr>
      <w:r>
        <w:rPr>
          <w:b/>
        </w:rPr>
        <w:t xml:space="preserve">12.2.1.13.11. </w:t>
      </w:r>
      <w:r>
        <w:t>As unidades ofertadas deverão possuir firmware corporativo homologado pelo fabricante do servidor ou da solução ofertada, garantindo plena compatibilidade operacional e suporte técnico integrado.</w:t>
      </w:r>
    </w:p>
    <w:p>
      <w:pPr>
        <w:jc w:val="both"/>
      </w:pPr>
      <w:r>
        <w:rPr>
          <w:b/>
        </w:rPr>
        <w:t xml:space="preserve">12.2.1.14. </w:t>
      </w:r>
      <w:r>
        <w:t>GABINETE DA CPU</w:t>
      </w:r>
    </w:p>
    <w:p>
      <w:pPr>
        <w:jc w:val="both"/>
      </w:pPr>
      <w:r>
        <w:rPr>
          <w:b/>
        </w:rPr>
        <w:t xml:space="preserve">12.2.1.14.1. </w:t>
      </w:r>
      <w:r>
        <w:t>Gabinete tipo rack com altura máxima de 2U.</w:t>
      </w:r>
    </w:p>
    <w:p>
      <w:pPr>
        <w:jc w:val="both"/>
      </w:pPr>
      <w:r>
        <w:rPr>
          <w:b/>
        </w:rPr>
        <w:t xml:space="preserve">12.2.1.14.2. </w:t>
      </w:r>
      <w:r>
        <w:t>Deverá possuir no mínimo 16 baias tipo hot pluggable de 2,5" para disco rígido hot pluggable.</w:t>
      </w:r>
    </w:p>
    <w:p>
      <w:pPr>
        <w:jc w:val="both"/>
      </w:pPr>
      <w:r>
        <w:rPr>
          <w:b/>
        </w:rPr>
        <w:t xml:space="preserve">12.2.1.14.3. </w:t>
      </w:r>
      <w:r>
        <w:t>Deverá possuir display ou leds acoplados no painel frontal do servidor para indicar e permitir monitorar as condições de funcionamento do mesmo, indicando alertas e falhas de hardware.</w:t>
      </w:r>
    </w:p>
    <w:p>
      <w:pPr>
        <w:jc w:val="both"/>
      </w:pPr>
      <w:r>
        <w:rPr>
          <w:b/>
        </w:rPr>
        <w:t xml:space="preserve">12.2.1.15. </w:t>
      </w:r>
      <w:r>
        <w:t>FONTE DE ALIMENTAÇÃO DA CPU</w:t>
      </w:r>
    </w:p>
    <w:p>
      <w:pPr>
        <w:jc w:val="both"/>
      </w:pPr>
      <w:r>
        <w:rPr>
          <w:b/>
        </w:rPr>
        <w:t xml:space="preserve">12.2.1.15.1. </w:t>
      </w:r>
      <w:r>
        <w:t>O servidor deverá ser fornecido com todas as fontes de alimentação principal e hot pluggable, com capacidade de suportar a configuração solicitada do servidor mesmo em caso de falha de uma das fontes.</w:t>
      </w:r>
    </w:p>
    <w:p>
      <w:pPr>
        <w:jc w:val="both"/>
      </w:pPr>
      <w:r>
        <w:rPr>
          <w:b/>
        </w:rPr>
        <w:t xml:space="preserve">12.2.1.15.2. </w:t>
      </w:r>
      <w:r>
        <w:t>O servidor deverá ser fornecido com todas as fontes de alimentação redundantes e hot pluggable, para automaticamente substituir fonte de alimentação principal em caso de falha, mantendo assim o seu funcionamento.</w:t>
      </w:r>
    </w:p>
    <w:p>
      <w:pPr>
        <w:jc w:val="both"/>
      </w:pPr>
      <w:r>
        <w:rPr>
          <w:b/>
        </w:rPr>
        <w:t xml:space="preserve">12.2.1.15.3. </w:t>
      </w:r>
      <w:r>
        <w:t>Tensão de entrada de 110VAC e 220VAC ou 220VAC à 60Hz, capaz de sustentar a configuração solicitada do servidor.</w:t>
      </w:r>
    </w:p>
    <w:p>
      <w:pPr>
        <w:jc w:val="both"/>
      </w:pPr>
      <w:r>
        <w:rPr>
          <w:b/>
        </w:rPr>
        <w:t xml:space="preserve">12.2.1.15.4. </w:t>
      </w:r>
      <w:r>
        <w:t>Deverá ser fornecido cabo de alimentação para cada fonte de alimentação com plugue padrão NBR 14136 (novo).</w:t>
      </w:r>
    </w:p>
    <w:p>
      <w:pPr>
        <w:jc w:val="both"/>
      </w:pPr>
      <w:r>
        <w:rPr>
          <w:b/>
        </w:rPr>
        <w:t xml:space="preserve">12.2.1.16. </w:t>
      </w:r>
      <w:r>
        <w:t>SISTEMA DE VENTILAÇÃO DA CPU</w:t>
      </w:r>
    </w:p>
    <w:p>
      <w:pPr>
        <w:jc w:val="both"/>
      </w:pPr>
      <w:r>
        <w:rPr>
          <w:b/>
        </w:rPr>
        <w:t xml:space="preserve">12.2.1.16.1. </w:t>
      </w:r>
      <w:r>
        <w:t>Deverão ser fornecidos todos os ventiladores principais e redundantes, sendo todos hot pluggable, necessários para a refrigeração do sistema interno do servidor na sua configuração máxima e dentro dos limites de temperatura adequados para operação, de forma a manter o funcionamento do computador mesmo em caso de falha de um dos ventiladores.</w:t>
      </w:r>
    </w:p>
    <w:p>
      <w:pPr>
        <w:jc w:val="both"/>
      </w:pPr>
      <w:r>
        <w:rPr>
          <w:b/>
        </w:rPr>
        <w:t xml:space="preserve">12.2.1.17. </w:t>
      </w:r>
      <w:r>
        <w:t>COMPATIBILIDADES</w:t>
      </w:r>
    </w:p>
    <w:p>
      <w:pPr>
        <w:jc w:val="both"/>
      </w:pPr>
      <w:r>
        <w:rPr>
          <w:b/>
        </w:rPr>
        <w:t xml:space="preserve">12.2.1.17.1. </w:t>
      </w:r>
      <w:r>
        <w:t>O servidor ofertado deverá possuir compatibilidade integral com a plataforma de virtualização Proxmox Virtual Environment (Proxmox VE) versão 8.x ou superior.</w:t>
      </w:r>
    </w:p>
    <w:p>
      <w:pPr>
        <w:jc w:val="both"/>
      </w:pPr>
      <w:r>
        <w:rPr>
          <w:b/>
        </w:rPr>
        <w:t xml:space="preserve">12.2.1.17.2. </w:t>
      </w:r>
      <w:r>
        <w:t>O equipamento deverá possuir compatibilidade operacional com Virtualização KVM, Containers LXC e Kernel Linux Debian 12 ou superior.</w:t>
      </w:r>
    </w:p>
    <w:p>
      <w:pPr>
        <w:jc w:val="both"/>
      </w:pPr>
      <w:r>
        <w:rPr>
          <w:b/>
        </w:rPr>
        <w:t xml:space="preserve">12.2.1.17.3. </w:t>
      </w:r>
      <w:r>
        <w:t>O servidor ofertado deverá suportar Intel VT-x e VT-d ou AMD-V e AMD-Vi/IOMMU, CI Passthrough, SR-IOV e Boot UEFI.</w:t>
      </w:r>
    </w:p>
    <w:p>
      <w:pPr>
        <w:jc w:val="both"/>
      </w:pPr>
      <w:r>
        <w:rPr>
          <w:b/>
        </w:rPr>
        <w:t xml:space="preserve">12.2.1.17.4. </w:t>
      </w:r>
      <w:r>
        <w:t>As interfaces de rede ofertadas deverão possuir drivers nativos compatíveis com o kernel Linux utilizado pelo Proxmox Virtual Environment, suportando VLAN IEEE 802.1Q, Bonding/LACP e Bridges Linux.</w:t>
      </w:r>
    </w:p>
    <w:p>
      <w:pPr>
        <w:jc w:val="both"/>
      </w:pPr>
      <w:r>
        <w:rPr>
          <w:b/>
        </w:rPr>
        <w:t xml:space="preserve">12.2.1.17.5. </w:t>
      </w:r>
      <w:r>
        <w:t>As controladoras de armazenamento deverão possuir compatibilidade com ambiente Linux e operação em modo HBA, JBOD ou passthrough, sendo vedada a exigência exclusiva de RAID proprietário para funcionamento da solução.</w:t>
      </w:r>
    </w:p>
    <w:p>
      <w:pPr>
        <w:jc w:val="both"/>
      </w:pPr>
      <w:r>
        <w:rPr>
          <w:b/>
        </w:rPr>
        <w:t xml:space="preserve">12.2.1.17.6. </w:t>
      </w:r>
      <w:r>
        <w:t>O equipamento deverá possuir compatibilidade operacional com ambientes hiperconvergentes baseados em Ceph.</w:t>
      </w:r>
    </w:p>
    <w:p>
      <w:pPr>
        <w:jc w:val="both"/>
      </w:pPr>
      <w:r>
        <w:rPr>
          <w:b/>
        </w:rPr>
        <w:t xml:space="preserve">12.2.1.17.7. </w:t>
      </w:r>
      <w:r>
        <w:t>A compatibilidade exigida poderá ser comprovada mediante documentação oficial do fabricante do equipamento, dos componentes ofertados ou da própria solução Proxmox Virtual Environment.</w:t>
      </w:r>
    </w:p>
    <w:p>
      <w:pPr>
        <w:jc w:val="both"/>
      </w:pPr>
      <w:r>
        <w:rPr>
          <w:b/>
        </w:rPr>
        <w:t xml:space="preserve">12.2.1.18. </w:t>
      </w:r>
      <w:r>
        <w:t>DRIVERS</w:t>
      </w:r>
    </w:p>
    <w:p>
      <w:pPr>
        <w:jc w:val="both"/>
      </w:pPr>
      <w:r>
        <w:rPr>
          <w:b/>
        </w:rPr>
        <w:t xml:space="preserve">12.2.1.18.1. </w:t>
      </w:r>
      <w:r>
        <w:t>Deverá ser fornecida, junto com o servidor, CD/DVD ou software específico em partição interna, para realizar a inicialização e configuração do sistema operacional e dos drivers de todos os dispositivos que integram o servidor, devendo ser do mesmo abricante e próprio para o servidor ofertado, para as versões dos sistemas operacionais citados no item "Compatibilidade", possibilitando ao usuário facilidades na instalação do sistema operacional.</w:t>
      </w:r>
    </w:p>
    <w:p>
      <w:pPr>
        <w:jc w:val="both"/>
      </w:pPr>
      <w:r>
        <w:rPr>
          <w:b/>
        </w:rPr>
        <w:t xml:space="preserve">12.2.1.19. </w:t>
      </w:r>
      <w:r>
        <w:t>AGENTE PARA GERENCIAMENTO E INVENTÁRIO</w:t>
      </w:r>
    </w:p>
    <w:p>
      <w:pPr>
        <w:jc w:val="both"/>
      </w:pPr>
      <w:r>
        <w:rPr>
          <w:b/>
        </w:rPr>
        <w:t xml:space="preserve">12.2.1.19.1. </w:t>
      </w:r>
      <w:r>
        <w:t>O equipamento ofertado deverá possuir placa de gerenciamento remoto que possibilite gerenciamento "out-of-band", ou seja, gerenciamento do equipamento mesmo quando o sistema operacional estiver inoperante. Deve possuir interface RJ-45 exclusiva para utilização em rede de gerenciamento dedicada, não sendo essa interface de controladora de rede;</w:t>
      </w:r>
    </w:p>
    <w:p>
      <w:pPr>
        <w:jc w:val="both"/>
      </w:pPr>
      <w:r>
        <w:rPr>
          <w:b/>
        </w:rPr>
        <w:t xml:space="preserve">12.2.1.19.2. </w:t>
      </w:r>
      <w:r>
        <w:t>A placa de gerenciamento deve ser do mesmo fabricante do servidor mantendo sua total compatibilidade com o mesmo e integração total com software de gerenciamento. Tal solução deve possuir as seguintes características:</w:t>
      </w:r>
    </w:p>
    <w:p>
      <w:pPr>
        <w:jc w:val="both"/>
      </w:pPr>
      <w:r>
        <w:rPr>
          <w:b/>
        </w:rPr>
        <w:t xml:space="preserve">12.2.1.19.2.1. </w:t>
      </w:r>
      <w:r>
        <w:t>Se utilizar de protocolos para criptografia padrão SSL e SSH, no mínimo, para acesso a console de gerenciamento WEВ;</w:t>
      </w:r>
    </w:p>
    <w:p>
      <w:pPr>
        <w:jc w:val="both"/>
      </w:pPr>
      <w:r>
        <w:rPr>
          <w:b/>
        </w:rPr>
        <w:t xml:space="preserve">12.2.1.19.2.2. </w:t>
      </w:r>
      <w:r>
        <w:t>Acesso via console web, com definição de direitos administrativos;</w:t>
      </w:r>
    </w:p>
    <w:p>
      <w:pPr>
        <w:jc w:val="both"/>
      </w:pPr>
      <w:r>
        <w:rPr>
          <w:b/>
        </w:rPr>
        <w:t xml:space="preserve">12.2.1.19.2.3. </w:t>
      </w:r>
      <w:r>
        <w:t>Deve permitir acesso remoto a console (teclado, mouse e monitor) no modo gráfico do sistema operacional ou quando o mesmo estiver inoperante;</w:t>
      </w:r>
    </w:p>
    <w:p>
      <w:pPr>
        <w:jc w:val="both"/>
      </w:pPr>
      <w:r>
        <w:rPr>
          <w:b/>
        </w:rPr>
        <w:t xml:space="preserve">12.2.1.19.2.4. </w:t>
      </w:r>
      <w:r>
        <w:t>Deve informar o status do equipamento indicando componentes com falha e log de ocorrências;</w:t>
      </w:r>
    </w:p>
    <w:p>
      <w:pPr>
        <w:jc w:val="both"/>
      </w:pPr>
      <w:r>
        <w:rPr>
          <w:b/>
        </w:rPr>
        <w:t xml:space="preserve">12.2.1.19.2.5. </w:t>
      </w:r>
      <w:r>
        <w:t>Deve permitir a configuração remota e boot do equipamento através de driver virtual (CD, DVD) localizado em estação remota;</w:t>
      </w:r>
    </w:p>
    <w:p>
      <w:pPr>
        <w:jc w:val="both"/>
      </w:pPr>
      <w:r>
        <w:rPr>
          <w:b/>
        </w:rPr>
        <w:t xml:space="preserve">12.2.1.19.2.6. </w:t>
      </w:r>
      <w:r>
        <w:t>Deve permitir a ativação e desativação do servidor (power on/off) mesmo em condições de indisponibilidade do sistema operacional;</w:t>
      </w:r>
    </w:p>
    <w:p>
      <w:pPr>
        <w:jc w:val="both"/>
      </w:pPr>
      <w:r>
        <w:rPr>
          <w:b/>
        </w:rPr>
        <w:t xml:space="preserve">12.2.1.19.3. </w:t>
      </w:r>
      <w:r>
        <w:t>Disponibilizar solução de software de gerenciamento cliente/agente ou através de appliances virtuais. A solução deve ser compatível com o padrão SNMP ou IPMI 2.0 e suportar, no mínimo, os seguintes recursos:</w:t>
      </w:r>
    </w:p>
    <w:p>
      <w:pPr>
        <w:jc w:val="both"/>
      </w:pPr>
      <w:r>
        <w:rPr>
          <w:b/>
        </w:rPr>
        <w:t xml:space="preserve">12.2.1.19.3.1. </w:t>
      </w:r>
      <w:r>
        <w:t>Permitir o gerenciamento centralizado dos servidores através de interface WEB;</w:t>
      </w:r>
    </w:p>
    <w:p>
      <w:pPr>
        <w:jc w:val="both"/>
      </w:pPr>
      <w:r>
        <w:rPr>
          <w:b/>
        </w:rPr>
        <w:t xml:space="preserve">12.2.1.19.3.2. </w:t>
      </w:r>
      <w:r>
        <w:t>Realizar inventário de hardware, BIOS, firmware e drivers.</w:t>
      </w:r>
    </w:p>
    <w:p>
      <w:pPr>
        <w:jc w:val="both"/>
      </w:pPr>
      <w:r>
        <w:rPr>
          <w:b/>
        </w:rPr>
        <w:t xml:space="preserve">12.2.1.19.3.3. </w:t>
      </w:r>
      <w:r>
        <w:t>Possuir recurso de update de BIOS, Firmware e Drivers através de repositório de update;</w:t>
      </w:r>
    </w:p>
    <w:p>
      <w:pPr>
        <w:jc w:val="both"/>
      </w:pPr>
      <w:r>
        <w:rPr>
          <w:b/>
        </w:rPr>
        <w:t xml:space="preserve">12.2.1.19.3.4. </w:t>
      </w:r>
      <w:r>
        <w:t>Permitir o monitoramento de consumo de energia dos servidores;</w:t>
      </w:r>
    </w:p>
    <w:p>
      <w:pPr>
        <w:jc w:val="both"/>
      </w:pPr>
      <w:r>
        <w:rPr>
          <w:b/>
        </w:rPr>
        <w:t xml:space="preserve">12.2.1.19.3.5. </w:t>
      </w:r>
      <w:r>
        <w:t>Emitir alertas de falha de hardware e permitir a criação de filtros de alertas isolados e notificação por e-mail;</w:t>
      </w:r>
    </w:p>
    <w:p>
      <w:pPr>
        <w:jc w:val="both"/>
      </w:pPr>
      <w:r>
        <w:rPr>
          <w:b/>
        </w:rPr>
        <w:t xml:space="preserve">12.2.1.19.3.6. </w:t>
      </w:r>
      <w:r>
        <w:t>Suporte aos padrões SNMP e IPMI ou RestFul API/RedFish;</w:t>
      </w:r>
    </w:p>
    <w:p>
      <w:pPr>
        <w:jc w:val="both"/>
      </w:pPr>
      <w:r>
        <w:rPr>
          <w:b/>
        </w:rPr>
        <w:t xml:space="preserve">12.2.1.19.3.7. </w:t>
      </w:r>
      <w:r>
        <w:t>Compatibilidade com os sistemas operacionais Linux;</w:t>
      </w:r>
    </w:p>
    <w:p>
      <w:pPr>
        <w:jc w:val="both"/>
      </w:pPr>
      <w:r>
        <w:rPr>
          <w:b/>
        </w:rPr>
        <w:t xml:space="preserve">12.2.1.19.3.8. </w:t>
      </w:r>
      <w:r>
        <w:t>Possuir integração para abertura automática de chamados de suporte diretamente no fabricante do equipamento</w:t>
      </w:r>
    </w:p>
    <w:p>
      <w:pPr>
        <w:jc w:val="both"/>
      </w:pPr>
      <w:r>
        <w:rPr>
          <w:b/>
        </w:rPr>
        <w:t xml:space="preserve">12.2.1.20. </w:t>
      </w:r>
      <w:r>
        <w:t>QUALIDADE DO EQUIPAMENTO</w:t>
      </w:r>
    </w:p>
    <w:p>
      <w:pPr>
        <w:jc w:val="both"/>
      </w:pPr>
      <w:r>
        <w:rPr>
          <w:b/>
        </w:rPr>
        <w:t xml:space="preserve">12.2.1.20.1. </w:t>
      </w:r>
      <w:r>
        <w:t>Deverá ser entregue Certificado ou Relatório de Avaliação de Conformidade emitido por um órgão credenciado pelo INMETRO ou Certificado similar, comprovando que o SERVIDOR está em conformidade com a norma IEC 60950 e/ou EN60950 (Safety of Information Technology Equipment Including Eletrical Business Equipment), para segurança do usuário contra incidentes elétricos e combustão dos materiais elétricos.</w:t>
      </w:r>
    </w:p>
    <w:p>
      <w:pPr>
        <w:jc w:val="both"/>
      </w:pPr>
      <w:r>
        <w:rPr>
          <w:b/>
        </w:rPr>
        <w:t xml:space="preserve">12.2.1.20.2. </w:t>
      </w:r>
      <w:r>
        <w:t>O produto ofertado deverá possuir identificação impressa com o nome do fabricante, modelo e número de série. Tal identificação não poderá ser realizada com etiquetas de fácil remoção ou danificação.</w:t>
      </w:r>
    </w:p>
    <w:p>
      <w:pPr>
        <w:jc w:val="both"/>
      </w:pPr>
      <w:r>
        <w:rPr>
          <w:b/>
        </w:rPr>
        <w:t xml:space="preserve">12.2.1.21. </w:t>
      </w:r>
      <w:r>
        <w:t>RESPONSABILIDADES COM O MEIO AMBIENTE</w:t>
      </w:r>
    </w:p>
    <w:p>
      <w:pPr>
        <w:jc w:val="both"/>
      </w:pPr>
      <w:r>
        <w:rPr>
          <w:b/>
        </w:rPr>
        <w:t xml:space="preserve">12.2.1.21.1. </w:t>
      </w:r>
      <w:r>
        <w:t>O modelo ofertado deve estar em conformidade com o padrão RoHS (Restriction of Hazardous Substances), isto é, ser construído com substâncias que não agridem o meio ambiente tais como: cádmio (Cd), mercúrio (Hg), cromo hexavalente (Cr(VI)), bifenilos polibromados (PBBs), éteres difenilpolibromados (PBDEs) e chumbo (Pb).</w:t>
      </w:r>
    </w:p>
    <w:p>
      <w:pPr>
        <w:jc w:val="both"/>
      </w:pPr>
      <w:r>
        <w:rPr>
          <w:b/>
        </w:rPr>
        <w:t xml:space="preserve">12.2.1.22. </w:t>
      </w:r>
      <w:r>
        <w:t>ACESSÓRIOS</w:t>
      </w:r>
    </w:p>
    <w:p>
      <w:pPr>
        <w:jc w:val="both"/>
      </w:pPr>
      <w:r>
        <w:rPr>
          <w:b/>
        </w:rPr>
        <w:t xml:space="preserve">12.2.1.22.1. </w:t>
      </w:r>
      <w:r>
        <w:t>Deverá ser fornecido junto ao servidor, kit de trilhos para fixação dos servidores em racks padrão 19 polegadas.</w:t>
      </w:r>
    </w:p>
    <w:p>
      <w:pPr>
        <w:jc w:val="both"/>
      </w:pPr>
      <w:r>
        <w:rPr>
          <w:b/>
        </w:rPr>
        <w:t xml:space="preserve">12.2.1.22.2. </w:t>
      </w:r>
      <w:r>
        <w:t>O kit de trilhos para fixação deve ser retrátil, permitindo o deslizamento do servidor a fim de facilitar a manutenção do equipamento.</w:t>
      </w:r>
    </w:p>
    <w:p>
      <w:pPr>
        <w:jc w:val="both"/>
      </w:pPr>
      <w:r>
        <w:rPr>
          <w:b/>
        </w:rPr>
        <w:t xml:space="preserve">12.2.1.23. </w:t>
      </w:r>
      <w:r>
        <w:t>ACONDICIONAMENTO</w:t>
      </w:r>
    </w:p>
    <w:p>
      <w:pPr>
        <w:jc w:val="both"/>
      </w:pPr>
      <w:r>
        <w:rPr>
          <w:b/>
        </w:rPr>
        <w:t xml:space="preserve">12.2.1.23.1. </w:t>
      </w:r>
      <w:r>
        <w:t>Os servidores e os acessórios deverão encontrar se acondicionados em embalagens com caixa calços de proteção especialmente desenvolvidos para suportar o empilhamento e vibrações</w:t>
      </w:r>
    </w:p>
    <w:p>
      <w:pPr>
        <w:jc w:val="both"/>
      </w:pPr>
      <w:r>
        <w:rPr>
          <w:b/>
        </w:rPr>
        <w:t xml:space="preserve">12.2.2. </w:t>
      </w:r>
      <w:r>
        <w:t>01 (HUM) SERVIDOR TORRE</w:t>
      </w:r>
    </w:p>
    <w:p>
      <w:pPr>
        <w:jc w:val="both"/>
      </w:pPr>
      <w:r>
        <w:rPr>
          <w:b/>
        </w:rPr>
        <w:t xml:space="preserve">12.2.2.1. </w:t>
      </w:r>
      <w:r>
        <w:t>TIPO DE SERVIDOR</w:t>
      </w:r>
    </w:p>
    <w:p>
      <w:pPr>
        <w:jc w:val="both"/>
      </w:pPr>
      <w:r>
        <w:rPr>
          <w:b/>
        </w:rPr>
        <w:t xml:space="preserve">12.2.2.1.1. </w:t>
      </w:r>
      <w:r>
        <w:t>Servidor tipo Dualprocessado de arquitetura x86 com 01 processador instalado com tecnologia mínima de 8 Core.</w:t>
      </w:r>
    </w:p>
    <w:p>
      <w:pPr>
        <w:jc w:val="both"/>
      </w:pPr>
      <w:r>
        <w:rPr>
          <w:b/>
        </w:rPr>
        <w:t xml:space="preserve">12.2.2.1.2. </w:t>
      </w:r>
      <w:r>
        <w:t>Gabinete tipo Torre com kit de conversão para Rack de no máximo 5U.</w:t>
      </w:r>
    </w:p>
    <w:p>
      <w:pPr>
        <w:jc w:val="both"/>
      </w:pPr>
      <w:r>
        <w:rPr>
          <w:b/>
        </w:rPr>
        <w:t xml:space="preserve">12.2.2.1.3. </w:t>
      </w:r>
      <w:r>
        <w:t>Deverá possuir expansão para um segundo processador igual ao ofertado.</w:t>
      </w:r>
    </w:p>
    <w:p>
      <w:pPr>
        <w:jc w:val="both"/>
      </w:pPr>
      <w:r>
        <w:rPr>
          <w:b/>
        </w:rPr>
        <w:t xml:space="preserve">12.2.2.2. </w:t>
      </w:r>
      <w:r>
        <w:t>PROCESSADOR</w:t>
      </w:r>
    </w:p>
    <w:p>
      <w:pPr>
        <w:jc w:val="both"/>
      </w:pPr>
      <w:r>
        <w:rPr>
          <w:b/>
        </w:rPr>
        <w:t xml:space="preserve">12.2.2.2.1. </w:t>
      </w:r>
      <w:r>
        <w:t>O servidor deverá ser fornecido com 01 processador com tecnologia mínima de 8 Core, originalmente projetado para servidores.</w:t>
      </w:r>
    </w:p>
    <w:p>
      <w:pPr>
        <w:jc w:val="both"/>
      </w:pPr>
      <w:r>
        <w:rPr>
          <w:b/>
        </w:rPr>
        <w:t xml:space="preserve">12.2.2.2.2. </w:t>
      </w:r>
      <w:r>
        <w:t>Padrão de arquitetura do processador x86 de 32 bits com suporte à extensão 64 bits, com tecnologia de fabricação de 14 nanômetros e memória cache integrada ao processador.</w:t>
      </w:r>
    </w:p>
    <w:p>
      <w:pPr>
        <w:jc w:val="both"/>
      </w:pPr>
      <w:r>
        <w:rPr>
          <w:b/>
        </w:rPr>
        <w:t xml:space="preserve">12.2.2.2.3. </w:t>
      </w:r>
      <w:r>
        <w:t>As Memórias Cachê L2 e/ou L3 deverão estar integradas ao processador.</w:t>
      </w:r>
    </w:p>
    <w:p>
      <w:pPr>
        <w:jc w:val="both"/>
      </w:pPr>
      <w:r>
        <w:rPr>
          <w:b/>
        </w:rPr>
        <w:t xml:space="preserve">12.2.2.2.4. </w:t>
      </w:r>
      <w:r>
        <w:t>A potência máxima de cada processador não deverá exceder a 85W de consumo de energia.</w:t>
      </w:r>
    </w:p>
    <w:p>
      <w:pPr>
        <w:jc w:val="both"/>
      </w:pPr>
      <w:r>
        <w:rPr>
          <w:b/>
        </w:rPr>
        <w:t xml:space="preserve">12.2.2.2.5. </w:t>
      </w:r>
      <w:r>
        <w:t>A velocidade do barramento de comunicação do processador com o restante do sistema deverá ser de no mínimo de 9.6GT/s (Gigatranfer por segundo).</w:t>
      </w:r>
    </w:p>
    <w:p>
      <w:pPr>
        <w:jc w:val="both"/>
      </w:pPr>
      <w:r>
        <w:rPr>
          <w:b/>
        </w:rPr>
        <w:t xml:space="preserve">12.2.2.2.6. </w:t>
      </w:r>
      <w:r>
        <w:t>O processador deve implementar mecanismos de redução de consumo de energia compatível com o</w:t>
      </w:r>
      <w:r>
        <w:br/>
      </w:r>
      <w:r>
        <w:t>padrão ACPI v.2.0 ou superior e controle automático para evitar superaquecimento que possa danificálo.</w:t>
      </w:r>
    </w:p>
    <w:p>
      <w:pPr>
        <w:jc w:val="both"/>
      </w:pPr>
      <w:r>
        <w:rPr>
          <w:b/>
        </w:rPr>
        <w:t xml:space="preserve">12.2.2.3. </w:t>
      </w:r>
      <w:r>
        <w:t>MEMÓRIA RAМ</w:t>
      </w:r>
    </w:p>
    <w:p>
      <w:pPr>
        <w:jc w:val="both"/>
      </w:pPr>
      <w:r>
        <w:rPr>
          <w:b/>
        </w:rPr>
        <w:t xml:space="preserve">12.2.2.3.1. </w:t>
      </w:r>
      <w:r>
        <w:t>Deverão ser fornecidos no mínimo 64 GBytes de memória RAM por servidor.</w:t>
      </w:r>
    </w:p>
    <w:p>
      <w:pPr>
        <w:jc w:val="both"/>
      </w:pPr>
      <w:r>
        <w:rPr>
          <w:b/>
        </w:rPr>
        <w:t xml:space="preserve">12.2.2.3.2. </w:t>
      </w:r>
      <w:r>
        <w:t>Módulos de memória com tamanho mínimo de 16GBytes.</w:t>
      </w:r>
    </w:p>
    <w:p>
      <w:pPr>
        <w:jc w:val="both"/>
      </w:pPr>
      <w:r>
        <w:rPr>
          <w:b/>
        </w:rPr>
        <w:t xml:space="preserve">12.2.2.3.3. </w:t>
      </w:r>
      <w:r>
        <w:t>O servidor deverá suportar escalabilidade de memória de no mínimo 512 GBytes e deverá permitir crescimento de no mínimo o dobro ao solicitado sem a necessidade de substituições dos módulos de memória instalados.</w:t>
      </w:r>
    </w:p>
    <w:p>
      <w:pPr>
        <w:jc w:val="both"/>
      </w:pPr>
      <w:r>
        <w:rPr>
          <w:b/>
        </w:rPr>
        <w:t xml:space="preserve">12.2.2.3.4. </w:t>
      </w:r>
      <w:r>
        <w:t>No mínimo do tipo DDR-4 RDIMM de 2400 MHz ou superior, com suporte a correção de erros EСС.</w:t>
      </w:r>
    </w:p>
    <w:p>
      <w:pPr>
        <w:jc w:val="both"/>
      </w:pPr>
      <w:r>
        <w:rPr>
          <w:b/>
        </w:rPr>
        <w:t xml:space="preserve">12.2.2.4. </w:t>
      </w:r>
      <w:r>
        <w:t>CIRCUITOS INTEGRADOS DE CONTROLE AUXILIAR DO PROCESSADOR (CHIPSEТ)</w:t>
      </w:r>
    </w:p>
    <w:p>
      <w:pPr>
        <w:jc w:val="both"/>
      </w:pPr>
      <w:r>
        <w:rPr>
          <w:b/>
        </w:rPr>
        <w:t xml:space="preserve">12.2.2.4.1. </w:t>
      </w:r>
      <w:r>
        <w:t>O chipset deverá suportar velocidade do barramento de comunicação com o processador de no mínimo de 9.6GT/s.</w:t>
      </w:r>
    </w:p>
    <w:p>
      <w:pPr>
        <w:jc w:val="both"/>
      </w:pPr>
      <w:r>
        <w:rPr>
          <w:b/>
        </w:rPr>
        <w:t xml:space="preserve">12.2.2.4.2. </w:t>
      </w:r>
      <w:r>
        <w:t>Controladora de memória (no chipset ou integrada ao processador) deverá suportar no mínimo memória RAM do tipo DDR-4 RDIMM com frequência igual ou superior a 2400MHz.</w:t>
      </w:r>
    </w:p>
    <w:p>
      <w:pPr>
        <w:jc w:val="both"/>
      </w:pPr>
      <w:r>
        <w:rPr>
          <w:b/>
        </w:rPr>
        <w:t xml:space="preserve">12.2.2.4.3. </w:t>
      </w:r>
      <w:r>
        <w:t>Controlador de memória (no chipset ou integrada ao processador) deverá suportar correção de  erro de 1 bit e detecção de erro de 2 bits (ECC).</w:t>
      </w:r>
    </w:p>
    <w:p>
      <w:pPr>
        <w:jc w:val="both"/>
      </w:pPr>
      <w:r>
        <w:rPr>
          <w:b/>
        </w:rPr>
        <w:t xml:space="preserve">12.2.2.4.4. </w:t>
      </w:r>
      <w:r>
        <w:t>Barramentos de comunicação baseados no padrão PCI-Express</w:t>
      </w:r>
    </w:p>
    <w:p>
      <w:pPr>
        <w:jc w:val="both"/>
      </w:pPr>
      <w:r>
        <w:rPr>
          <w:b/>
        </w:rPr>
        <w:t xml:space="preserve">12.2.2.4.5. </w:t>
      </w:r>
      <w:r>
        <w:t>Deverá implementar mecanismos de redução de consumo de energia compatível com o padrão ACPI versão 2.0 ou superior.</w:t>
      </w:r>
    </w:p>
    <w:p>
      <w:pPr>
        <w:jc w:val="both"/>
      </w:pPr>
      <w:r>
        <w:rPr>
          <w:b/>
        </w:rPr>
        <w:t xml:space="preserve">12.2.2.5. </w:t>
      </w:r>
      <w:r>
        <w:t>BIOS/UEFI</w:t>
      </w:r>
    </w:p>
    <w:p>
      <w:pPr>
        <w:jc w:val="both"/>
      </w:pPr>
      <w:r>
        <w:rPr>
          <w:b/>
        </w:rPr>
        <w:t xml:space="preserve">12.2.2.5.1. </w:t>
      </w:r>
      <w:r>
        <w:t>O BIOS/UEFI deverá ser do tipo Flash Memory, utilizando memória não volátil e eletricamente reprogramável.</w:t>
      </w:r>
    </w:p>
    <w:p>
      <w:pPr>
        <w:jc w:val="both"/>
      </w:pPr>
      <w:r>
        <w:rPr>
          <w:b/>
        </w:rPr>
        <w:t xml:space="preserve">12.2.2.5.2. </w:t>
      </w:r>
      <w:r>
        <w:t>Deverá mostrar no monitor de vídeo o nome do fabricante do servidor sempre que o servidor for inicializado.</w:t>
      </w:r>
    </w:p>
    <w:p>
      <w:pPr>
        <w:jc w:val="both"/>
      </w:pPr>
      <w:r>
        <w:rPr>
          <w:b/>
        </w:rPr>
        <w:t xml:space="preserve">12.2.2.5.3. </w:t>
      </w:r>
      <w:r>
        <w:t>A inicialização do servidor deverá ser realizada na sequência definida pelo usuário, via CDROM e/ou disco rígido, bem como pela placa de rede através do recurso WOL (Wake on LAN).</w:t>
      </w:r>
    </w:p>
    <w:p>
      <w:pPr>
        <w:jc w:val="both"/>
      </w:pPr>
      <w:r>
        <w:rPr>
          <w:b/>
        </w:rPr>
        <w:t xml:space="preserve">12.2.2.5.4. </w:t>
      </w:r>
      <w:r>
        <w:t>Deverão possuir recursos de controle de permissão através de senhas, uma para inicializar o servidor e outra para acesso e alterações das configurações do BIOS/UEFI.</w:t>
      </w:r>
    </w:p>
    <w:p>
      <w:pPr>
        <w:jc w:val="both"/>
      </w:pPr>
      <w:r>
        <w:rPr>
          <w:b/>
        </w:rPr>
        <w:t xml:space="preserve">12.2.2.5.5. </w:t>
      </w:r>
      <w:r>
        <w:t>As atualizações de BIOS/UEFI devem possuir (assinatura) autenticação criptográfica segundo as especificações NIST SP800-147B.</w:t>
      </w:r>
    </w:p>
    <w:p>
      <w:pPr>
        <w:jc w:val="both"/>
      </w:pPr>
      <w:r>
        <w:rPr>
          <w:b/>
        </w:rPr>
        <w:t xml:space="preserve">12.2.2.6. </w:t>
      </w:r>
      <w:r>
        <w:t>SLOTS PCI</w:t>
      </w:r>
    </w:p>
    <w:p>
      <w:pPr>
        <w:jc w:val="both"/>
      </w:pPr>
      <w:r>
        <w:rPr>
          <w:b/>
        </w:rPr>
        <w:t xml:space="preserve">12.2.2.6.1. </w:t>
      </w:r>
      <w:r>
        <w:t>Padrão PCI-Express ou superior.</w:t>
      </w:r>
    </w:p>
    <w:p>
      <w:pPr>
        <w:jc w:val="both"/>
      </w:pPr>
      <w:r>
        <w:rPr>
          <w:b/>
        </w:rPr>
        <w:t xml:space="preserve">12.2.2.6.2. </w:t>
      </w:r>
      <w:r>
        <w:t>O servidor deverá disponibilizar no mínimo 2 slots PCI-Express livres após atendimento de todas as características solicitadas.</w:t>
      </w:r>
    </w:p>
    <w:p>
      <w:pPr>
        <w:jc w:val="both"/>
      </w:pPr>
      <w:r>
        <w:rPr>
          <w:b/>
        </w:rPr>
        <w:t xml:space="preserve">12.2.2.7. </w:t>
      </w:r>
      <w:r>
        <w:t>PORTAS DE COMUNICAÇÃO</w:t>
      </w:r>
    </w:p>
    <w:p>
      <w:pPr>
        <w:jc w:val="both"/>
      </w:pPr>
      <w:r>
        <w:rPr>
          <w:b/>
        </w:rPr>
        <w:t xml:space="preserve">12.2.2.7.1. </w:t>
      </w:r>
      <w:r>
        <w:t>Todos os conectores das portas de entrada/saída de sinal devem ser identificados pelos nomes ou símbolos.</w:t>
      </w:r>
    </w:p>
    <w:p>
      <w:pPr>
        <w:jc w:val="both"/>
      </w:pPr>
      <w:r>
        <w:rPr>
          <w:b/>
        </w:rPr>
        <w:t xml:space="preserve">12.2.2.7.2. </w:t>
      </w:r>
      <w:r>
        <w:t>No mínimo 04 (quatro) portas USB, das quais 02 (duas) deverão estar posicionadas na parte frontal do Gabinete do Servidor, sendo no mínimo 02 portas na versão 3.0 e demais na versão 2.0 ou superior;</w:t>
      </w:r>
    </w:p>
    <w:p>
      <w:pPr>
        <w:jc w:val="both"/>
      </w:pPr>
      <w:r>
        <w:rPr>
          <w:b/>
        </w:rPr>
        <w:t xml:space="preserve">12.2.2.7.3. </w:t>
      </w:r>
      <w:r>
        <w:t>01 (uma) porta para monitor de vídeo padrão DB15 VGA port. ##02 (duas) portas RJ45 para rede Gigabit Ethernet.</w:t>
      </w:r>
    </w:p>
    <w:p>
      <w:pPr>
        <w:jc w:val="both"/>
      </w:pPr>
      <w:r>
        <w:rPr>
          <w:b/>
        </w:rPr>
        <w:t xml:space="preserve">12.2.2.8. </w:t>
      </w:r>
      <w:r>
        <w:t>CONTROLADORA DE VÍDEO</w:t>
      </w:r>
    </w:p>
    <w:p>
      <w:pPr>
        <w:jc w:val="both"/>
      </w:pPr>
      <w:r>
        <w:rPr>
          <w:b/>
        </w:rPr>
        <w:t xml:space="preserve">12.2.2.8.1. </w:t>
      </w:r>
      <w:r>
        <w:t>01 (uma) controladora de vídeo por servidor.</w:t>
      </w:r>
    </w:p>
    <w:p>
      <w:pPr>
        <w:jc w:val="both"/>
      </w:pPr>
      <w:r>
        <w:rPr>
          <w:b/>
        </w:rPr>
        <w:t xml:space="preserve">12.2.2.8.2. </w:t>
      </w:r>
      <w:r>
        <w:t>Tamanho de memória de vídeo de no mínimo 8MBytes.</w:t>
      </w:r>
    </w:p>
    <w:p>
      <w:pPr>
        <w:jc w:val="both"/>
      </w:pPr>
      <w:r>
        <w:rPr>
          <w:b/>
        </w:rPr>
        <w:t xml:space="preserve">12.2.2.8.3. </w:t>
      </w:r>
      <w:r>
        <w:t>Resolução gráfica de 1024 x 768 pixels.</w:t>
      </w:r>
    </w:p>
    <w:p>
      <w:pPr>
        <w:jc w:val="both"/>
      </w:pPr>
      <w:r>
        <w:rPr>
          <w:b/>
        </w:rPr>
        <w:t xml:space="preserve">12.2.2.8.4. </w:t>
      </w:r>
      <w:r>
        <w:t>Padrão do conector DB15 VGA port.</w:t>
      </w:r>
    </w:p>
    <w:p>
      <w:pPr>
        <w:jc w:val="both"/>
      </w:pPr>
      <w:r>
        <w:rPr>
          <w:b/>
        </w:rPr>
        <w:t xml:space="preserve">12.2.2.9. </w:t>
      </w:r>
      <w:r>
        <w:t>CONTROLADORA DE DISCO RÍGIDO (RAID)</w:t>
      </w:r>
    </w:p>
    <w:p>
      <w:pPr>
        <w:jc w:val="both"/>
      </w:pPr>
      <w:r>
        <w:rPr>
          <w:b/>
        </w:rPr>
        <w:t xml:space="preserve">12.2.2.9.1. </w:t>
      </w:r>
      <w:r>
        <w:t>No mínimo 01 controladora para controle dos discos rígidos</w:t>
      </w:r>
    </w:p>
    <w:p>
      <w:pPr>
        <w:jc w:val="both"/>
      </w:pPr>
      <w:r>
        <w:rPr>
          <w:b/>
        </w:rPr>
        <w:t xml:space="preserve">12.2.2.9.2. </w:t>
      </w:r>
      <w:r>
        <w:t>Onboard e/ou offboard padrão PCI-Express</w:t>
      </w:r>
    </w:p>
    <w:p>
      <w:pPr>
        <w:jc w:val="both"/>
      </w:pPr>
      <w:r>
        <w:rPr>
          <w:b/>
        </w:rPr>
        <w:t xml:space="preserve">12.2.2.9.3. </w:t>
      </w:r>
      <w:r>
        <w:t>Deverá possuir canais suficientes para o controle dos discos rígidos solicitados.</w:t>
      </w:r>
    </w:p>
    <w:p>
      <w:pPr>
        <w:jc w:val="both"/>
      </w:pPr>
      <w:r>
        <w:rPr>
          <w:b/>
        </w:rPr>
        <w:t xml:space="preserve">12.2.2.9.4. </w:t>
      </w:r>
      <w:r>
        <w:t>Padrão SAS ou superior.</w:t>
      </w:r>
    </w:p>
    <w:p>
      <w:pPr>
        <w:jc w:val="both"/>
      </w:pPr>
      <w:r>
        <w:rPr>
          <w:b/>
        </w:rPr>
        <w:t xml:space="preserve">12.2.2.9.5. </w:t>
      </w:r>
      <w:r>
        <w:t>Taxa de transferência de dados de no mínimo 12Gbps.</w:t>
      </w:r>
    </w:p>
    <w:p>
      <w:pPr>
        <w:jc w:val="both"/>
      </w:pPr>
      <w:r>
        <w:rPr>
          <w:b/>
        </w:rPr>
        <w:t xml:space="preserve">12.2.2.9.6. </w:t>
      </w:r>
      <w:r>
        <w:t>Deverá suportar a implementação dos níveis de RAID 0 + 1 ou 10, 1, 5</w:t>
      </w:r>
    </w:p>
    <w:p>
      <w:pPr>
        <w:jc w:val="both"/>
      </w:pPr>
      <w:r>
        <w:rPr>
          <w:b/>
        </w:rPr>
        <w:t xml:space="preserve">12.2.2.9.7. </w:t>
      </w:r>
      <w:r>
        <w:t>Deverá possibilitar a implementação de no mínimo 8 (oito) drives lógicos.</w:t>
      </w:r>
    </w:p>
    <w:p>
      <w:pPr>
        <w:jc w:val="both"/>
      </w:pPr>
      <w:r>
        <w:rPr>
          <w:b/>
        </w:rPr>
        <w:t xml:space="preserve">12.2.2.10. </w:t>
      </w:r>
      <w:r>
        <w:t>INTERFACE DE REDE 1GE</w:t>
      </w:r>
    </w:p>
    <w:p>
      <w:pPr>
        <w:jc w:val="both"/>
      </w:pPr>
      <w:r>
        <w:rPr>
          <w:b/>
        </w:rPr>
        <w:t xml:space="preserve">12.2.2.10.1. </w:t>
      </w:r>
      <w:r>
        <w:t>No mínimo 02 portas de rede por servidor.</w:t>
      </w:r>
    </w:p>
    <w:p>
      <w:pPr>
        <w:jc w:val="both"/>
      </w:pPr>
      <w:r>
        <w:rPr>
          <w:b/>
        </w:rPr>
        <w:t xml:space="preserve">12.2.2.10.2. </w:t>
      </w:r>
      <w:r>
        <w:t>Padrão de conector RJ45.</w:t>
      </w:r>
    </w:p>
    <w:p>
      <w:pPr>
        <w:jc w:val="both"/>
      </w:pPr>
      <w:r>
        <w:rPr>
          <w:b/>
        </w:rPr>
        <w:t xml:space="preserve">12.2.2.10.3. </w:t>
      </w:r>
      <w:r>
        <w:t>Padrão Integrada e/ou se offboard deverá ser no mínimo padrão de barramento PCI-Express.</w:t>
      </w:r>
    </w:p>
    <w:p>
      <w:pPr>
        <w:jc w:val="both"/>
      </w:pPr>
      <w:r>
        <w:rPr>
          <w:b/>
        </w:rPr>
        <w:t xml:space="preserve">12.2.2.10.4. </w:t>
      </w:r>
      <w:r>
        <w:t>Interface de rede padrão Gigabit Ethernet com recurso de aceleração por hardware para processamento de fluxo de dados "co-processador integrado", como a tecnologia ТОЕ (TСP/IРP Offload Engine) ou equivalente.</w:t>
      </w:r>
    </w:p>
    <w:p>
      <w:pPr>
        <w:jc w:val="both"/>
      </w:pPr>
      <w:r>
        <w:rPr>
          <w:b/>
        </w:rPr>
        <w:t xml:space="preserve">12.2.2.10.5. </w:t>
      </w:r>
      <w:r>
        <w:t>Deverá operar na velocidade de comunicação de 1000Mbps, bem como no modo full-duplex.</w:t>
      </w:r>
    </w:p>
    <w:p>
      <w:pPr>
        <w:jc w:val="both"/>
      </w:pPr>
      <w:r>
        <w:rPr>
          <w:b/>
        </w:rPr>
        <w:t xml:space="preserve">12.2.2.10.6. </w:t>
      </w:r>
      <w:r>
        <w:t>Compatibilidade funcional e operacional com o padrão IEEE 802.3ab para 1000BaseT (Gigabit Ethernet).</w:t>
      </w:r>
    </w:p>
    <w:p>
      <w:pPr>
        <w:jc w:val="both"/>
      </w:pPr>
      <w:r>
        <w:rPr>
          <w:b/>
        </w:rPr>
        <w:t xml:space="preserve">12.2.2.10.7. </w:t>
      </w:r>
      <w:r>
        <w:t>Deverão possuir recursos de Wake on LAN (WOL).</w:t>
      </w:r>
    </w:p>
    <w:p>
      <w:pPr>
        <w:jc w:val="both"/>
      </w:pPr>
      <w:r>
        <w:rPr>
          <w:b/>
        </w:rPr>
        <w:t xml:space="preserve">12.2.2.10.8. </w:t>
      </w:r>
      <w:r>
        <w:t>Suporte à VLAN e Link Agregation.</w:t>
      </w:r>
    </w:p>
    <w:p>
      <w:pPr>
        <w:jc w:val="both"/>
      </w:pPr>
      <w:r>
        <w:rPr>
          <w:b/>
        </w:rPr>
        <w:t xml:space="preserve">12.2.2.10.9. </w:t>
      </w:r>
      <w:r>
        <w:t>Implementar a funcionalidade de Receive Side Scaling (RSS).</w:t>
      </w:r>
    </w:p>
    <w:p>
      <w:pPr>
        <w:jc w:val="both"/>
      </w:pPr>
      <w:r>
        <w:rPr>
          <w:b/>
        </w:rPr>
        <w:t xml:space="preserve">12.2.2.11. </w:t>
      </w:r>
      <w:r>
        <w:t>DISCO RÍGIDО</w:t>
      </w:r>
    </w:p>
    <w:p>
      <w:pPr>
        <w:jc w:val="both"/>
      </w:pPr>
      <w:r>
        <w:rPr>
          <w:b/>
        </w:rPr>
        <w:t xml:space="preserve">12.2.2.11.1. </w:t>
      </w:r>
      <w:r>
        <w:t>ARMAZENAMENTO PARA SISTEMA OPERACIONAL</w:t>
      </w:r>
    </w:p>
    <w:p>
      <w:pPr>
        <w:jc w:val="both"/>
      </w:pPr>
      <w:r>
        <w:rPr>
          <w:b/>
        </w:rPr>
        <w:t xml:space="preserve">12.2.2.11.1.1. </w:t>
      </w:r>
      <w:r>
        <w:t>No mínimo 02 (duas) unidades SSD de Leitura Intensiva (Read Intensive) ou Uso Misto (Mixed Use) por servidor;</w:t>
      </w:r>
    </w:p>
    <w:p>
      <w:pPr>
        <w:jc w:val="both"/>
      </w:pPr>
      <w:r>
        <w:rPr>
          <w:b/>
        </w:rPr>
        <w:t xml:space="preserve">12.2.2.11.1.2. </w:t>
      </w:r>
      <w:r>
        <w:t>Capacidade mínima de armazenamento por disco de 480 GBytes;</w:t>
      </w:r>
    </w:p>
    <w:p>
      <w:pPr>
        <w:jc w:val="both"/>
      </w:pPr>
      <w:r>
        <w:rPr>
          <w:b/>
        </w:rPr>
        <w:t xml:space="preserve">12.2.2.11.1.3. </w:t>
      </w:r>
      <w:r>
        <w:t>Tipo mínimo SSD para leitura intensiva ou uso misto, hot plug, hot swap, de perfil de, no máximo, 2,5";</w:t>
      </w:r>
    </w:p>
    <w:p>
      <w:pPr>
        <w:jc w:val="both"/>
      </w:pPr>
      <w:r>
        <w:rPr>
          <w:b/>
        </w:rPr>
        <w:t xml:space="preserve">12.2.2.11.1.4. </w:t>
      </w:r>
      <w:r>
        <w:t>Padrão mínimo SATA SSD com taxa de transferência mínima de 6 Gbps ou superior;</w:t>
      </w:r>
    </w:p>
    <w:p>
      <w:pPr>
        <w:jc w:val="both"/>
      </w:pPr>
      <w:r>
        <w:rPr>
          <w:b/>
        </w:rPr>
        <w:t xml:space="preserve">12.2.2.11.1.5. </w:t>
      </w:r>
      <w:r>
        <w:t>No mínimo, durabilidade de escrita (endurance) de 800 TBW (Terabytes Written) ou equivalente a 1 DWPD (Drive Writes Per Day);</w:t>
      </w:r>
    </w:p>
    <w:p>
      <w:pPr>
        <w:jc w:val="both"/>
      </w:pPr>
      <w:r>
        <w:rPr>
          <w:b/>
        </w:rPr>
        <w:t xml:space="preserve">12.2.2.11.1.6. </w:t>
      </w:r>
      <w:r>
        <w:t>Performance randômica em blocos 4K de, no mínimo, 56.000 IOPS de leitura randômica e 30.000 IOPS de gravação randômica;</w:t>
      </w:r>
    </w:p>
    <w:p>
      <w:pPr>
        <w:jc w:val="both"/>
      </w:pPr>
      <w:r>
        <w:rPr>
          <w:b/>
        </w:rPr>
        <w:t xml:space="preserve">12.2.2.11.1.7. </w:t>
      </w:r>
      <w:r>
        <w:t>Poderão ser fornecidos nas baias de discos convencionais ou em placas PCI-e dedicadas internamente para boot (como controladoras M.2 dual SD/BOSS).</w:t>
      </w:r>
    </w:p>
    <w:p>
      <w:pPr>
        <w:jc w:val="both"/>
      </w:pPr>
      <w:r>
        <w:rPr>
          <w:b/>
        </w:rPr>
        <w:t xml:space="preserve">12.2.2.11.2. </w:t>
      </w:r>
      <w:r>
        <w:t>ARMAZENAMENTO PARA DADOS DE BACKUP (DATASTORE)</w:t>
      </w:r>
    </w:p>
    <w:p>
      <w:pPr>
        <w:jc w:val="both"/>
      </w:pPr>
      <w:r>
        <w:rPr>
          <w:b/>
        </w:rPr>
        <w:t xml:space="preserve">12.2.2.11.2.1. </w:t>
      </w:r>
      <w:r>
        <w:t>O servidor de backup deverá possuir, no mínimo, 12 (doze) unidades de armazenamento destinadas à composição do datastore de backup da solução Proxmox Backup Server.</w:t>
      </w:r>
    </w:p>
    <w:p>
      <w:pPr>
        <w:jc w:val="both"/>
      </w:pPr>
      <w:r>
        <w:rPr>
          <w:b/>
        </w:rPr>
        <w:t xml:space="preserve">12.2.2.11.2.2. </w:t>
      </w:r>
      <w:r>
        <w:t>As unidades deverão ser do tipo HDD enterprise nearline, hot plug/hot swap, padrão SAS 12Gbps ou superior, compatíveis com operação contínua 24x7 em ambiente corporativo.</w:t>
      </w:r>
    </w:p>
    <w:p>
      <w:pPr>
        <w:jc w:val="both"/>
      </w:pPr>
      <w:r>
        <w:rPr>
          <w:b/>
        </w:rPr>
        <w:t xml:space="preserve">12.2.2.11.2.3. </w:t>
      </w:r>
      <w:r>
        <w:t>Cada unidade deverá possuir capacidade individual mínima de 18 TB.</w:t>
      </w:r>
    </w:p>
    <w:p>
      <w:pPr>
        <w:jc w:val="both"/>
      </w:pPr>
      <w:r>
        <w:rPr>
          <w:b/>
        </w:rPr>
        <w:t xml:space="preserve">12.2.2.11.2.4. </w:t>
      </w:r>
      <w:r>
        <w:t>As unidades deverão possuir velocidade de rotação mínima de 7.200 RPM.</w:t>
      </w:r>
    </w:p>
    <w:p>
      <w:pPr>
        <w:jc w:val="both"/>
      </w:pPr>
      <w:r>
        <w:rPr>
          <w:b/>
        </w:rPr>
        <w:t xml:space="preserve">12.2.2.11.2.5. </w:t>
      </w:r>
      <w:r>
        <w:t>A capacidade bruta mínima disponibilizada para o datastore de backup deverá ser de 200 TB.</w:t>
      </w:r>
    </w:p>
    <w:p>
      <w:pPr>
        <w:jc w:val="both"/>
      </w:pPr>
      <w:r>
        <w:rPr>
          <w:b/>
        </w:rPr>
        <w:t xml:space="preserve">12.2.2.11.2.6. </w:t>
      </w:r>
      <w:r>
        <w:t>A solução deverá suportar retenção histórica, snapshots, deduplicação, compressão, verificação de integridade, restauração granular e recuperação integral do ambiente virtualizado.</w:t>
      </w:r>
    </w:p>
    <w:p>
      <w:pPr>
        <w:jc w:val="both"/>
      </w:pPr>
      <w:r>
        <w:rPr>
          <w:b/>
        </w:rPr>
        <w:t xml:space="preserve">12.2.2.11.2.7. </w:t>
      </w:r>
      <w:r>
        <w:t>O armazenamento destinado ao datastore deverá operar em arranjo redundante, garantindo tolerância à falha de discos sem perda de dados de backup.</w:t>
      </w:r>
    </w:p>
    <w:p>
      <w:pPr>
        <w:jc w:val="both"/>
      </w:pPr>
      <w:r>
        <w:rPr>
          <w:b/>
        </w:rPr>
        <w:t xml:space="preserve">12.2.2.11.2.8. </w:t>
      </w:r>
      <w:r>
        <w:t>As unidades deverão possuir firmware corporativo homologado pelo fabricante da solução ofertada.</w:t>
      </w:r>
    </w:p>
    <w:p>
      <w:pPr>
        <w:jc w:val="both"/>
      </w:pPr>
      <w:r>
        <w:rPr>
          <w:b/>
        </w:rPr>
        <w:t xml:space="preserve">12.2.2.11.2.9. </w:t>
      </w:r>
      <w:r>
        <w:t>As unidades poderão ser fornecidas em baias padrão 3,5” ou 2,5”, desde que compatíveis com a capacidade mínima exigida e plenamente suportadas pela solução ofertada.</w:t>
      </w:r>
    </w:p>
    <w:p>
      <w:pPr>
        <w:jc w:val="both"/>
      </w:pPr>
      <w:r>
        <w:rPr>
          <w:b/>
        </w:rPr>
        <w:t xml:space="preserve">12.2.2.12. </w:t>
      </w:r>
      <w:r>
        <w:t>UNIDADE DE LEITURA DE DVDROM</w:t>
      </w:r>
    </w:p>
    <w:p>
      <w:pPr>
        <w:jc w:val="both"/>
      </w:pPr>
      <w:r>
        <w:rPr>
          <w:b/>
        </w:rPr>
        <w:t xml:space="preserve">12.2.2.12.1. </w:t>
      </w:r>
      <w:r>
        <w:t>No mínimo 01 (uma) unidade de leitura de DVDROM por servidor.</w:t>
      </w:r>
    </w:p>
    <w:p>
      <w:pPr>
        <w:jc w:val="both"/>
      </w:pPr>
      <w:r>
        <w:rPr>
          <w:b/>
        </w:rPr>
        <w:t xml:space="preserve">12.2.2.12.2. </w:t>
      </w:r>
      <w:r>
        <w:t>Tipo interno ao gabinete.</w:t>
      </w:r>
    </w:p>
    <w:p>
      <w:pPr>
        <w:jc w:val="both"/>
      </w:pPr>
      <w:r>
        <w:rPr>
          <w:b/>
        </w:rPr>
        <w:t xml:space="preserve">12.2.2.12.3. </w:t>
      </w:r>
      <w:r>
        <w:t>Taxa de transferência de leitura no mínimo de 8X para DVDROM e de 16X para CDROM.</w:t>
      </w:r>
    </w:p>
    <w:p>
      <w:pPr>
        <w:jc w:val="both"/>
      </w:pPr>
      <w:r>
        <w:rPr>
          <w:b/>
        </w:rPr>
        <w:t xml:space="preserve">12.2.2.13. </w:t>
      </w:r>
      <w:r>
        <w:t>TECLADO</w:t>
      </w:r>
    </w:p>
    <w:p>
      <w:pPr>
        <w:jc w:val="both"/>
      </w:pPr>
      <w:r>
        <w:rPr>
          <w:b/>
        </w:rPr>
        <w:t xml:space="preserve">12.2.2.13.1. </w:t>
      </w:r>
      <w:r>
        <w:t>Deverá ser fornecido 01 (um) teclado por computador.</w:t>
      </w:r>
    </w:p>
    <w:p>
      <w:pPr>
        <w:jc w:val="both"/>
      </w:pPr>
      <w:r>
        <w:rPr>
          <w:b/>
        </w:rPr>
        <w:t xml:space="preserve">12.2.2.13.2. </w:t>
      </w:r>
      <w:r>
        <w:t>Teclado com conjunto de no mínimo 104 teclas com teclado numérico e teclas de função.</w:t>
      </w:r>
    </w:p>
    <w:p>
      <w:pPr>
        <w:jc w:val="both"/>
      </w:pPr>
      <w:r>
        <w:rPr>
          <w:b/>
        </w:rPr>
        <w:t xml:space="preserve">12.2.2.13.3. </w:t>
      </w:r>
      <w:r>
        <w:t>Compatibilidade com o padrão ABNT Variant 2.</w:t>
      </w:r>
    </w:p>
    <w:p>
      <w:pPr>
        <w:jc w:val="both"/>
      </w:pPr>
      <w:r>
        <w:rPr>
          <w:b/>
        </w:rPr>
        <w:t xml:space="preserve">12.2.2.13.4. </w:t>
      </w:r>
      <w:r>
        <w:t>Conector do cabo de sinal padrão USB.</w:t>
      </w:r>
    </w:p>
    <w:p>
      <w:pPr>
        <w:jc w:val="both"/>
      </w:pPr>
      <w:r>
        <w:rPr>
          <w:b/>
        </w:rPr>
        <w:t xml:space="preserve">12.2.2.14. </w:t>
      </w:r>
      <w:r>
        <w:t>MOUSE</w:t>
      </w:r>
    </w:p>
    <w:p>
      <w:pPr>
        <w:jc w:val="both"/>
      </w:pPr>
      <w:r>
        <w:rPr>
          <w:b/>
        </w:rPr>
        <w:t xml:space="preserve">12.2.2.14.1. </w:t>
      </w:r>
      <w:r>
        <w:t>Deverá ser fornecido 01 (um) mouse por computador.</w:t>
      </w:r>
    </w:p>
    <w:p>
      <w:pPr>
        <w:jc w:val="both"/>
      </w:pPr>
      <w:r>
        <w:rPr>
          <w:b/>
        </w:rPr>
        <w:t xml:space="preserve">12.2.2.14.2. </w:t>
      </w:r>
      <w:r>
        <w:t>Mouse tipo óptico com 3 botões, sendo 2 para seleção de objetos e 1 tipo scroll para rolagem.</w:t>
      </w:r>
    </w:p>
    <w:p>
      <w:pPr>
        <w:jc w:val="both"/>
      </w:pPr>
      <w:r>
        <w:rPr>
          <w:b/>
        </w:rPr>
        <w:t xml:space="preserve">12.2.2.14.3. </w:t>
      </w:r>
      <w:r>
        <w:t>Resolução de no mínimo 800dpi.</w:t>
      </w:r>
    </w:p>
    <w:p>
      <w:pPr>
        <w:jc w:val="both"/>
      </w:pPr>
      <w:r>
        <w:rPr>
          <w:b/>
        </w:rPr>
        <w:t xml:space="preserve">12.2.2.14.4. </w:t>
      </w:r>
      <w:r>
        <w:t>Conector do cabo de sinal padrão USB.</w:t>
      </w:r>
    </w:p>
    <w:p>
      <w:pPr>
        <w:jc w:val="both"/>
      </w:pPr>
      <w:r>
        <w:rPr>
          <w:b/>
        </w:rPr>
        <w:t xml:space="preserve">12.2.2.15. </w:t>
      </w:r>
      <w:r>
        <w:t>MONITOR DE VÍDEO</w:t>
      </w:r>
    </w:p>
    <w:p>
      <w:pPr>
        <w:jc w:val="both"/>
      </w:pPr>
      <w:r>
        <w:rPr>
          <w:b/>
        </w:rPr>
        <w:t xml:space="preserve">12.2.2.15.1. </w:t>
      </w:r>
      <w:r>
        <w:t>Deverá ser fornecido 01 (um) monitor de vídeo por servidor.</w:t>
      </w:r>
    </w:p>
    <w:p>
      <w:pPr>
        <w:jc w:val="both"/>
      </w:pPr>
      <w:r>
        <w:rPr>
          <w:b/>
        </w:rPr>
        <w:t xml:space="preserve">12.2.2.15.2. </w:t>
      </w:r>
      <w:r>
        <w:t>Tipo TFT (Thin Film Transistor) de Matriz Ativa e tecnologia LED policromático de 18,5 polegadas.</w:t>
      </w:r>
    </w:p>
    <w:p>
      <w:pPr>
        <w:jc w:val="both"/>
      </w:pPr>
      <w:r>
        <w:rPr>
          <w:b/>
        </w:rPr>
        <w:t xml:space="preserve">12.2.2.15.3. </w:t>
      </w:r>
      <w:r>
        <w:t>Formato padrão widescreen.</w:t>
      </w:r>
    </w:p>
    <w:p>
      <w:pPr>
        <w:jc w:val="both"/>
      </w:pPr>
      <w:r>
        <w:rPr>
          <w:b/>
        </w:rPr>
        <w:t xml:space="preserve">12.2.2.15.4. </w:t>
      </w:r>
      <w:r>
        <w:t>Resolução gráfica mínima suportada de 1440 x 900 pixels a 60Hz.</w:t>
      </w:r>
    </w:p>
    <w:p>
      <w:pPr>
        <w:jc w:val="both"/>
      </w:pPr>
      <w:r>
        <w:rPr>
          <w:b/>
        </w:rPr>
        <w:t xml:space="preserve">12.2.2.15.5. </w:t>
      </w:r>
      <w:r>
        <w:t>Tempo de resposta no máximo de 6 milissegundos.</w:t>
      </w:r>
    </w:p>
    <w:p>
      <w:pPr>
        <w:jc w:val="both"/>
      </w:pPr>
      <w:r>
        <w:rPr>
          <w:b/>
        </w:rPr>
        <w:t xml:space="preserve">12.2.2.15.6. </w:t>
      </w:r>
      <w:r>
        <w:t>Tratamento de superfície antirreflexivo e antiestático.</w:t>
      </w:r>
    </w:p>
    <w:p>
      <w:pPr>
        <w:jc w:val="both"/>
      </w:pPr>
      <w:r>
        <w:rPr>
          <w:b/>
        </w:rPr>
        <w:t xml:space="preserve">12.2.2.15.7. </w:t>
      </w:r>
      <w:r>
        <w:t>Brilho de no mínimo 250 cd/m2.</w:t>
      </w:r>
    </w:p>
    <w:p>
      <w:pPr>
        <w:jc w:val="both"/>
      </w:pPr>
      <w:r>
        <w:rPr>
          <w:b/>
        </w:rPr>
        <w:t xml:space="preserve">12.2.2.15.8. </w:t>
      </w:r>
      <w:r>
        <w:t>Relação de Contraste típico de no mínimo 1000:1.</w:t>
      </w:r>
    </w:p>
    <w:p>
      <w:pPr>
        <w:jc w:val="both"/>
      </w:pPr>
      <w:r>
        <w:rPr>
          <w:b/>
        </w:rPr>
        <w:t xml:space="preserve">12.2.2.15.9. </w:t>
      </w:r>
      <w:r>
        <w:t>Funções OSD (On Screen Display) para ajuste de brilho, contraste, posição horizontal-vertical, linguagem, regulagem de cor.</w:t>
      </w:r>
    </w:p>
    <w:p>
      <w:pPr>
        <w:jc w:val="both"/>
      </w:pPr>
      <w:r>
        <w:rPr>
          <w:b/>
        </w:rPr>
        <w:t xml:space="preserve">12.2.2.15.10. </w:t>
      </w:r>
      <w:r>
        <w:t>No mínimo 01 conector do cabo de sinal analógico DB15 VGA port compatível com a controladora de vídeo ofertada.</w:t>
      </w:r>
    </w:p>
    <w:p>
      <w:pPr>
        <w:jc w:val="both"/>
      </w:pPr>
      <w:r>
        <w:rPr>
          <w:b/>
        </w:rPr>
        <w:t xml:space="preserve">12.2.2.15.11. </w:t>
      </w:r>
      <w:r>
        <w:t>Fonte de alimentação do monitor de vídeo com ajuste automático, suportando faixa de tensão de 100VAC a 240VAC, a 50 ou 60Hz.</w:t>
      </w:r>
    </w:p>
    <w:p>
      <w:pPr>
        <w:jc w:val="both"/>
      </w:pPr>
      <w:r>
        <w:rPr>
          <w:b/>
        </w:rPr>
        <w:t xml:space="preserve">12.2.2.15.12. </w:t>
      </w:r>
      <w:r>
        <w:t>Deverá ser fornecido cabo de alimentação elétrica padrão brasileiro NBR 14136:2002.</w:t>
      </w:r>
    </w:p>
    <w:p>
      <w:pPr>
        <w:jc w:val="both"/>
      </w:pPr>
      <w:r>
        <w:rPr>
          <w:b/>
        </w:rPr>
        <w:t xml:space="preserve">12.2.2.15.13. </w:t>
      </w:r>
      <w:r>
        <w:t>Deverá ser fornecido 01 cabo VGA para conexão do monitor à controladora de vídeo ofertada.</w:t>
      </w:r>
    </w:p>
    <w:p>
      <w:pPr>
        <w:jc w:val="both"/>
      </w:pPr>
      <w:r>
        <w:rPr>
          <w:b/>
        </w:rPr>
        <w:t xml:space="preserve">12.2.2.15.14. </w:t>
      </w:r>
      <w:r>
        <w:t>O gabinete deverá, externamente, possuir cor semelhante ao do gabinete da CPU, com botões para ligar/desligar e de controle digitais, bem como indicadores visuais para informar os estados de ligado, espera e desligado.</w:t>
      </w:r>
    </w:p>
    <w:p>
      <w:pPr>
        <w:jc w:val="both"/>
      </w:pPr>
      <w:r>
        <w:rPr>
          <w:b/>
        </w:rPr>
        <w:t xml:space="preserve">12.2.2.15.15. </w:t>
      </w:r>
      <w:r>
        <w:t>Em conformidade com a norma TCO'03 ou Energy Star 5.0 e/ou registrado no EPEAT (Eletronic Product Environmental Assessment Tool) como categoria Gold comprovado no site www.epeat.net.</w:t>
      </w:r>
    </w:p>
    <w:p>
      <w:pPr>
        <w:jc w:val="both"/>
      </w:pPr>
      <w:r>
        <w:rPr>
          <w:b/>
        </w:rPr>
        <w:t xml:space="preserve">12.2.2.16. </w:t>
      </w:r>
      <w:r>
        <w:t>GABINETE DA CPU</w:t>
      </w:r>
    </w:p>
    <w:p>
      <w:pPr>
        <w:jc w:val="both"/>
      </w:pPr>
      <w:r>
        <w:rPr>
          <w:b/>
        </w:rPr>
        <w:t xml:space="preserve">12.2.2.16.1. </w:t>
      </w:r>
      <w:r>
        <w:t>Gabinete tipo Torre com conversão para Rack 19".</w:t>
      </w:r>
    </w:p>
    <w:p>
      <w:pPr>
        <w:jc w:val="both"/>
      </w:pPr>
      <w:r>
        <w:rPr>
          <w:b/>
        </w:rPr>
        <w:t xml:space="preserve">12.2.2.16.2. </w:t>
      </w:r>
      <w:r>
        <w:t>Deverá possuir no mínimo 8 baias para disco rígido tipo hot pluggable de 2½ ou 31½ polegadas.</w:t>
      </w:r>
    </w:p>
    <w:p>
      <w:pPr>
        <w:jc w:val="both"/>
      </w:pPr>
      <w:r>
        <w:rPr>
          <w:b/>
        </w:rPr>
        <w:t xml:space="preserve">12.2.2.16.3. </w:t>
      </w:r>
      <w:r>
        <w:t>Deverá possuir display ou leds acoplados no painel frontal do servidor para indicar e permitir monitorar as condições de funcionamento do mesmo indicando alertas e falhas de hardware.</w:t>
      </w:r>
    </w:p>
    <w:p>
      <w:pPr>
        <w:jc w:val="both"/>
      </w:pPr>
      <w:r>
        <w:rPr>
          <w:b/>
        </w:rPr>
        <w:t xml:space="preserve">12.2.2.16.4. </w:t>
      </w:r>
      <w:r>
        <w:t>Deverá ser fornecido Kit de trilhos para Rack 19".</w:t>
      </w:r>
    </w:p>
    <w:p>
      <w:pPr>
        <w:jc w:val="both"/>
      </w:pPr>
      <w:r>
        <w:rPr>
          <w:b/>
        </w:rPr>
        <w:t xml:space="preserve">12.2.2.17. </w:t>
      </w:r>
      <w:r>
        <w:t>FONTE DE ALIMENTAÇÃO DA CPU</w:t>
      </w:r>
    </w:p>
    <w:p>
      <w:pPr>
        <w:jc w:val="both"/>
      </w:pPr>
      <w:r>
        <w:rPr>
          <w:b/>
        </w:rPr>
        <w:t xml:space="preserve">12.2.2.17.1. </w:t>
      </w:r>
      <w:r>
        <w:t>O servidor deverá ser fornecido com todas as fontes de alimentação principal e hot pluggable, com capacidade de suportar a configuração solicitada do servidor mesmo em caso de falha de uma das fontes.</w:t>
      </w:r>
    </w:p>
    <w:p>
      <w:pPr>
        <w:jc w:val="both"/>
      </w:pPr>
      <w:r>
        <w:rPr>
          <w:b/>
        </w:rPr>
        <w:t xml:space="preserve">12.2.2.17.2. </w:t>
      </w:r>
      <w:r>
        <w:t>O servidor deverá ser fornecido com todas as fontes de alimentação redundante e hot pluggable, para automaticamente substituir fonte de alimentação principal em caso de falha, mantendo assim o seu funcionamento.</w:t>
      </w:r>
    </w:p>
    <w:p>
      <w:pPr>
        <w:jc w:val="both"/>
      </w:pPr>
      <w:r>
        <w:rPr>
          <w:b/>
        </w:rPr>
        <w:t xml:space="preserve">12.2.2.17.3. </w:t>
      </w:r>
      <w:r>
        <w:t>Tensão de entrada de 110VAC e 220VAC ou 220VAC à 60Hz, capaz de sustentar a configuração solicitada do servidor.</w:t>
      </w:r>
    </w:p>
    <w:p>
      <w:pPr>
        <w:jc w:val="both"/>
      </w:pPr>
      <w:r>
        <w:rPr>
          <w:b/>
        </w:rPr>
        <w:t xml:space="preserve">12.2.2.17.4. </w:t>
      </w:r>
      <w:r>
        <w:t>Deverá ser fornecido cabo de alimentação para cada fonte de alimentação com plugue padrão NBR 14136 (novo).</w:t>
      </w:r>
    </w:p>
    <w:p>
      <w:pPr>
        <w:jc w:val="both"/>
      </w:pPr>
      <w:r>
        <w:rPr>
          <w:b/>
        </w:rPr>
        <w:t xml:space="preserve">12.2.2.18. </w:t>
      </w:r>
      <w:r>
        <w:t>SISTEMA DE VENTILAÇÃO DA CPU</w:t>
      </w:r>
    </w:p>
    <w:p>
      <w:pPr>
        <w:jc w:val="both"/>
      </w:pPr>
      <w:r>
        <w:rPr>
          <w:b/>
        </w:rPr>
        <w:t xml:space="preserve">12.2.2.18.1. </w:t>
      </w:r>
      <w:r>
        <w:t>Deverão ser fornecidos todos os ventiladores principais e redundantes, necessários para a refrigeração do sistema interno do servidor na sua configuração máxima e dentro dos limites de temperatura adequados para operação, de forma a manter o funcionamento do computador mesmo em caso de falha de um dos ventiladores.</w:t>
      </w:r>
    </w:p>
    <w:p>
      <w:pPr>
        <w:jc w:val="both"/>
      </w:pPr>
      <w:r>
        <w:rPr>
          <w:b/>
        </w:rPr>
        <w:t xml:space="preserve">12.2.2.19. </w:t>
      </w:r>
      <w:r>
        <w:t>COMPATIBILIDADES</w:t>
      </w:r>
    </w:p>
    <w:p>
      <w:pPr>
        <w:jc w:val="both"/>
      </w:pPr>
      <w:r>
        <w:rPr>
          <w:b/>
        </w:rPr>
        <w:t xml:space="preserve">12.2.2.19.1. </w:t>
      </w:r>
      <w:r>
        <w:t>O servidor ofertado deverá possuir compatibilidade integral com a plataforma de backup corporativo Proxmox Backup Server (PBS) versão 3.x ou superior.</w:t>
      </w:r>
    </w:p>
    <w:p>
      <w:pPr>
        <w:jc w:val="both"/>
      </w:pPr>
      <w:r>
        <w:rPr>
          <w:b/>
        </w:rPr>
        <w:t xml:space="preserve">12.2.2.19.2. </w:t>
      </w:r>
      <w:r>
        <w:t>O equipamento deverá possuir compatibilidade operacional com Kernel Linux Debian 12 ou superior, considerando a arquitetura nativamente utilizada pelo Proxmox Backup Server.</w:t>
      </w:r>
    </w:p>
    <w:p>
      <w:pPr>
        <w:jc w:val="both"/>
      </w:pPr>
      <w:r>
        <w:rPr>
          <w:b/>
        </w:rPr>
        <w:t xml:space="preserve">12.2.2.19.3. </w:t>
      </w:r>
      <w:r>
        <w:t>O servidor ofertado deverá suportar Intel VT-x e VT-d ou AMD-V e AMD-Vi/IOMMU, quando aplicável às funcionalidades de virtualização, aceleração de dispositivos e gerenciamento avançado de hardware.</w:t>
      </w:r>
    </w:p>
    <w:p>
      <w:pPr>
        <w:jc w:val="both"/>
      </w:pPr>
      <w:r>
        <w:rPr>
          <w:b/>
        </w:rPr>
        <w:t xml:space="preserve">12.2.2.19.4. </w:t>
      </w:r>
      <w:r>
        <w:t>As interfaces de rede ofertadas deverão possuir drivers nativos compatíveis com o kernel Linux utilizado pelo Proxmox Backup Server, suportando VLAN IEEE 802.1Q, Bonding/LACP e Bridges Linux.</w:t>
      </w:r>
    </w:p>
    <w:p>
      <w:pPr>
        <w:jc w:val="both"/>
      </w:pPr>
      <w:r>
        <w:rPr>
          <w:b/>
        </w:rPr>
        <w:t xml:space="preserve">12.2.2.19.5. </w:t>
      </w:r>
      <w:r>
        <w:t>As interfaces de rede deverão suportar operação contínua em ambientes de alta taxa de transferência de dados, compatíveis com rotinas de backup, restauração, replicação e sincronização de dados.</w:t>
      </w:r>
    </w:p>
    <w:p>
      <w:pPr>
        <w:jc w:val="both"/>
      </w:pPr>
      <w:r>
        <w:rPr>
          <w:b/>
        </w:rPr>
        <w:t xml:space="preserve">12.2.2.19.6. </w:t>
      </w:r>
      <w:r>
        <w:t>A controladora de armazenamento deverá possuir compatibilidade operacional com ambientes Linux corporativos, suportando operação em modo HBA, JBOD ou passthrough integral dos dispositivos de armazenamento físicos, permitindo gerenciamento direto dos discos pelo sistema operacional e pela camada de armazenamento definido por software da solução.</w:t>
      </w:r>
    </w:p>
    <w:p>
      <w:pPr>
        <w:jc w:val="both"/>
      </w:pPr>
      <w:r>
        <w:rPr>
          <w:b/>
        </w:rPr>
        <w:t xml:space="preserve">12.2.2.19.7. </w:t>
      </w:r>
      <w:r>
        <w:t>O equipamento deverá possuir compatibilidade operacional com sistemas de arquivos utilizados pelo Proxmox Backup Server, incluindo ZFS, EXT4 e XFS.</w:t>
      </w:r>
    </w:p>
    <w:p>
      <w:pPr>
        <w:jc w:val="both"/>
      </w:pPr>
      <w:r>
        <w:rPr>
          <w:b/>
        </w:rPr>
        <w:t xml:space="preserve">12.2.2.19.8. </w:t>
      </w:r>
      <w:r>
        <w:t>O servidor deverá possuir compatibilidade operacional com mecanismos de deduplicação, compressão, verificação de integridade (checksum) e snapshots utilizados pelo Proxmox Backup Server.</w:t>
      </w:r>
    </w:p>
    <w:p>
      <w:pPr>
        <w:jc w:val="both"/>
      </w:pPr>
      <w:r>
        <w:rPr>
          <w:b/>
        </w:rPr>
        <w:t xml:space="preserve">12.2.2.19.9. </w:t>
      </w:r>
      <w:r>
        <w:t>O equipamento deverá possuir compatibilidade operacional com ambientes Proxmox Virtual Environment (PVE), permitindo integração nativa para execução de rotinas de backup, restauração, replicação e retenção de máquinas virtuais e containers.</w:t>
      </w:r>
    </w:p>
    <w:p>
      <w:pPr>
        <w:jc w:val="both"/>
      </w:pPr>
      <w:r>
        <w:rPr>
          <w:b/>
        </w:rPr>
        <w:t xml:space="preserve">12.2.2.19.10. </w:t>
      </w:r>
      <w:r>
        <w:t>O equipamento deverá possuir compatibilidade operacional com ambientes hiperconvergentes baseados em Ceph, considerando cenários de backup e restauração de ambientes virtualizados.</w:t>
      </w:r>
    </w:p>
    <w:p>
      <w:pPr>
        <w:jc w:val="both"/>
      </w:pPr>
      <w:r>
        <w:rPr>
          <w:b/>
        </w:rPr>
        <w:t xml:space="preserve">12.2.2.19.11. </w:t>
      </w:r>
      <w:r>
        <w:t>A compatibilidade exigida poderá ser comprovada mediante documentação oficial do fabricante do equipamento, dos componentes ofertados ou da própria solução Proxmox Backup Server.</w:t>
      </w:r>
    </w:p>
    <w:p>
      <w:pPr>
        <w:jc w:val="both"/>
      </w:pPr>
      <w:r>
        <w:rPr>
          <w:b/>
        </w:rPr>
        <w:t xml:space="preserve">12.2.2.20. </w:t>
      </w:r>
      <w:r>
        <w:t>DRIVERS</w:t>
      </w:r>
    </w:p>
    <w:p>
      <w:pPr>
        <w:jc w:val="both"/>
      </w:pPr>
      <w:r>
        <w:rPr>
          <w:b/>
        </w:rPr>
        <w:t xml:space="preserve">12.2.2.20.1. </w:t>
      </w:r>
      <w:r>
        <w:t>Deverá ser fornecida, junto com o servidor, CD/DVD ou software específico em partição interna, para realizar a inicialização e configuração do sistema operacional e dos drivers de todos os dispositivos que integram o servidor, devendo ser do mesmo fabricante e próprio para o servidor ofertado, para as versões dos sistemas operacionais citados no item "Compatibilidade com Sistema Operacional", possibilitando ao usuário facilidades na instalação do sistema operacional.</w:t>
      </w:r>
    </w:p>
    <w:p>
      <w:pPr>
        <w:jc w:val="both"/>
      </w:pPr>
      <w:r>
        <w:rPr>
          <w:b/>
        </w:rPr>
        <w:t xml:space="preserve">12.2.2.21. </w:t>
      </w:r>
      <w:r>
        <w:t>QUALIDADE DO EQUIPAMENTO</w:t>
      </w:r>
    </w:p>
    <w:p>
      <w:pPr>
        <w:jc w:val="both"/>
      </w:pPr>
      <w:r>
        <w:rPr>
          <w:b/>
        </w:rPr>
        <w:t xml:space="preserve">12.2.2.21.1. </w:t>
      </w:r>
      <w:r>
        <w:t>Deverá ser entregue Certificado ou Relatório de Avaliação de Conformidade emitido por um órgão credenciado pelo INMETRO ou Certificado similar, comprovando que o SERVIDOR e o MONITOR DE VÍDEO estão em conformidade com a norma IEC 60950 e/ou EN60950 (Safety of Information Technology Equipment Including Eletrical Business Equipment), para segurança do usuário contra incidentes elétricos e combustão dos materiais elétricos.</w:t>
      </w:r>
    </w:p>
    <w:p>
      <w:pPr>
        <w:jc w:val="both"/>
      </w:pPr>
      <w:r>
        <w:rPr>
          <w:b/>
        </w:rPr>
        <w:t xml:space="preserve">12.2.2.21.2. </w:t>
      </w:r>
      <w:r>
        <w:t>O produto ofertado deverá possuir identificação impressa com o nome do fabricante, modelo e númerо de série. Tal identificação não poderá ser realizada com etiquetas de fácil remoção ou danificação.</w:t>
      </w:r>
    </w:p>
    <w:p>
      <w:pPr>
        <w:jc w:val="both"/>
      </w:pPr>
      <w:r>
        <w:rPr>
          <w:b/>
        </w:rPr>
        <w:t xml:space="preserve">12.2.2.22. </w:t>
      </w:r>
      <w:r>
        <w:t>RESPONSABILIDADES COM O MEIO AMBIENTE</w:t>
      </w:r>
    </w:p>
    <w:p>
      <w:pPr>
        <w:jc w:val="both"/>
      </w:pPr>
      <w:r>
        <w:rPr>
          <w:b/>
        </w:rPr>
        <w:t xml:space="preserve">12.2.2.22.1. </w:t>
      </w:r>
      <w:r>
        <w:t>O modelo ofertado deve estar em conformidade com o padrão ROHS (Restriction of Hazardous Substances), isto é, ser construído com substâncias que não agridem o meio ambiente tais como: cádmio (Cd), mercúrio (Hg), cromo hexavalente (Cr(VI)), bifenilos polibromados (PBBs), éteres difenilpolibromados (PBDES) e chumbo (Pb).</w:t>
      </w:r>
    </w:p>
    <w:p>
      <w:pPr>
        <w:jc w:val="both"/>
      </w:pPr>
      <w:r>
        <w:rPr>
          <w:b/>
        </w:rPr>
        <w:t xml:space="preserve">12.2.2.23. </w:t>
      </w:r>
      <w:r>
        <w:t>ACESSÓRIOS</w:t>
      </w:r>
    </w:p>
    <w:p>
      <w:pPr>
        <w:jc w:val="both"/>
      </w:pPr>
      <w:r>
        <w:rPr>
          <w:b/>
        </w:rPr>
        <w:t xml:space="preserve">12.2.2.23.1. </w:t>
      </w:r>
      <w:r>
        <w:t>Deverão ser fornecidos junto com o servidor, todos os acessórios e cabos para o pleno funcionamento do mesmo.</w:t>
      </w:r>
    </w:p>
    <w:p>
      <w:pPr>
        <w:jc w:val="both"/>
      </w:pPr>
      <w:r>
        <w:rPr>
          <w:b/>
        </w:rPr>
        <w:t xml:space="preserve">12.2.2.23.2. </w:t>
      </w:r>
      <w:r>
        <w:t>Deverá ser fornecido kit de conversão em Rack e trilhos para acomodação do servidor no Rack padrão 19".</w:t>
      </w:r>
    </w:p>
    <w:p>
      <w:pPr>
        <w:jc w:val="both"/>
      </w:pPr>
      <w:r>
        <w:rPr>
          <w:b/>
        </w:rPr>
        <w:t xml:space="preserve">12.2.2.24. </w:t>
      </w:r>
      <w:r>
        <w:t>ACONDICIONAMENTO</w:t>
      </w:r>
    </w:p>
    <w:p>
      <w:pPr>
        <w:jc w:val="both"/>
      </w:pPr>
      <w:r>
        <w:rPr>
          <w:b/>
        </w:rPr>
        <w:t xml:space="preserve">12.2.2.24.1. </w:t>
      </w:r>
      <w:r>
        <w:t>Os servidores e os acessórios deverão encontrar-se acondicionados em embalagens com caixa e calços de proteção especialmente desenvolvidos para suportar o empilhamento e vibrações.</w:t>
      </w:r>
    </w:p>
    <w:p>
      <w:pPr>
        <w:jc w:val="both"/>
      </w:pPr>
      <w:r>
        <w:rPr>
          <w:b/>
        </w:rPr>
        <w:t xml:space="preserve">12.2.2.25. </w:t>
      </w:r>
      <w:r>
        <w:t>DOCUMENTAÇÃO TÉCNICA</w:t>
      </w:r>
    </w:p>
    <w:p>
      <w:pPr>
        <w:jc w:val="both"/>
      </w:pPr>
      <w:r>
        <w:rPr>
          <w:b/>
        </w:rPr>
        <w:t xml:space="preserve">12.2.2.25.1. </w:t>
      </w:r>
      <w:r>
        <w:t>Deverão ser fornecidos manuais técnicos do usuário e de referência contendo todas as informações sobre os produtos com as instruções para instalação, configuração, operação e administração.</w:t>
      </w:r>
    </w:p>
    <w:p>
      <w:pPr>
        <w:jc w:val="both"/>
      </w:pPr>
      <w:r>
        <w:rPr>
          <w:b/>
        </w:rPr>
        <w:t xml:space="preserve">12.2.3. </w:t>
      </w:r>
      <w:r>
        <w:t>NOBREAKS GERENCIADOS</w:t>
      </w:r>
    </w:p>
    <w:p>
      <w:pPr>
        <w:jc w:val="both"/>
      </w:pPr>
      <w:r>
        <w:rPr>
          <w:b/>
        </w:rPr>
        <w:t xml:space="preserve">12.2.3.1. </w:t>
      </w:r>
      <w:r>
        <w:t>02 (dois) nobreak gerenciado, fabricado no Brasil, atendendo às seguintes características técnicas:</w:t>
      </w:r>
    </w:p>
    <w:p>
      <w:pPr>
        <w:jc w:val="both"/>
      </w:pPr>
      <w:r>
        <w:rPr>
          <w:b/>
        </w:rPr>
        <w:t xml:space="preserve">12.2.3.1.1. </w:t>
      </w:r>
      <w:r>
        <w:t>Esses equipamentos serão utilizados para sustentar o cluster de alta disponibilidade</w:t>
      </w:r>
    </w:p>
    <w:p>
      <w:pPr>
        <w:jc w:val="both"/>
      </w:pPr>
      <w:r>
        <w:rPr>
          <w:b/>
        </w:rPr>
        <w:t xml:space="preserve">12.2.3.1.2. </w:t>
      </w:r>
      <w:r>
        <w:t>Deve permitir funções avançadas em tempo real através de tecnologia DSP (Digital Signal Processor);</w:t>
      </w:r>
    </w:p>
    <w:p>
      <w:pPr>
        <w:jc w:val="both"/>
      </w:pPr>
      <w:r>
        <w:rPr>
          <w:b/>
        </w:rPr>
        <w:t xml:space="preserve">12.2.3.1.3. </w:t>
      </w:r>
      <w:r>
        <w:t>Deve permitir que os registros de eventos localizados na memória interna sejam rastreados para análise;</w:t>
      </w:r>
    </w:p>
    <w:p>
      <w:pPr>
        <w:jc w:val="both"/>
      </w:pPr>
      <w:r>
        <w:rPr>
          <w:b/>
        </w:rPr>
        <w:t xml:space="preserve">12.2.3.1.4. </w:t>
      </w:r>
      <w:r>
        <w:t>Deve realizar medição de cargas não lineares através das medições em True RMS;</w:t>
      </w:r>
    </w:p>
    <w:p>
      <w:pPr>
        <w:jc w:val="both"/>
      </w:pPr>
      <w:r>
        <w:rPr>
          <w:b/>
        </w:rPr>
        <w:t xml:space="preserve">12.2.3.1.5. </w:t>
      </w:r>
      <w:r>
        <w:t>Possuir tecnologia on-line de dupla conversão;</w:t>
      </w:r>
    </w:p>
    <w:p>
      <w:pPr>
        <w:jc w:val="both"/>
      </w:pPr>
      <w:r>
        <w:rPr>
          <w:b/>
        </w:rPr>
        <w:t xml:space="preserve">12.2.3.1.6. </w:t>
      </w:r>
      <w:r>
        <w:t>O equipamento deve possuir um sistema de paralelismo ativo, que permita a instalação de quantas unidades forem necessárias, desde que do mesmo fabricante, possibilitando a expansão do sistema, de acordo com a demanda de consumo.</w:t>
      </w:r>
    </w:p>
    <w:p>
      <w:pPr>
        <w:jc w:val="both"/>
      </w:pPr>
      <w:r>
        <w:rPr>
          <w:b/>
        </w:rPr>
        <w:t xml:space="preserve">12.2.3.1.7. </w:t>
      </w:r>
      <w:r>
        <w:t>Possuir controle inteligente de velocidade dos coolers;</w:t>
      </w:r>
    </w:p>
    <w:p>
      <w:pPr>
        <w:jc w:val="both"/>
      </w:pPr>
      <w:r>
        <w:rPr>
          <w:b/>
        </w:rPr>
        <w:t xml:space="preserve">12.2.3.1.8. </w:t>
      </w:r>
      <w:r>
        <w:t>Sobre a entrada do equipamento:</w:t>
      </w:r>
    </w:p>
    <w:p>
      <w:pPr>
        <w:jc w:val="both"/>
      </w:pPr>
      <w:r>
        <w:rPr>
          <w:b/>
        </w:rPr>
        <w:t xml:space="preserve">12.2.3.1.8.1. </w:t>
      </w:r>
      <w:r>
        <w:t>Suportar na entrada do equipamento as tensões de 208/220/380/400/440V, com variação admissível de até 15% da tensão nominal e de ± 5% da frequência;</w:t>
      </w:r>
    </w:p>
    <w:p>
      <w:pPr>
        <w:jc w:val="both"/>
      </w:pPr>
      <w:r>
        <w:rPr>
          <w:b/>
        </w:rPr>
        <w:t xml:space="preserve">12.2.3.1.8.2. </w:t>
      </w:r>
      <w:r>
        <w:t>Configuração Trifásica 3F+N+T;</w:t>
      </w:r>
    </w:p>
    <w:p>
      <w:pPr>
        <w:jc w:val="both"/>
      </w:pPr>
      <w:r>
        <w:rPr>
          <w:b/>
        </w:rPr>
        <w:t xml:space="preserve">12.2.3.1.8.3. </w:t>
      </w:r>
      <w:r>
        <w:t>O nobreak deverá possuir fator de potência igual ou superior a 0,9.</w:t>
      </w:r>
    </w:p>
    <w:p>
      <w:pPr>
        <w:jc w:val="both"/>
      </w:pPr>
      <w:r>
        <w:rPr>
          <w:b/>
        </w:rPr>
        <w:t xml:space="preserve">12.2.3.1.9. </w:t>
      </w:r>
      <w:r>
        <w:t>Sobre a saída do equipamento:</w:t>
      </w:r>
    </w:p>
    <w:p>
      <w:pPr>
        <w:jc w:val="both"/>
      </w:pPr>
      <w:r>
        <w:rPr>
          <w:b/>
        </w:rPr>
        <w:t xml:space="preserve">12.2.3.1.9.1. </w:t>
      </w:r>
      <w:r>
        <w:t>Suportar na saída tensões de 208/220/380/400/440V;</w:t>
      </w:r>
    </w:p>
    <w:p>
      <w:pPr>
        <w:jc w:val="both"/>
      </w:pPr>
      <w:r>
        <w:rPr>
          <w:b/>
        </w:rPr>
        <w:t xml:space="preserve">12.2.3.1.9.2. </w:t>
      </w:r>
      <w:r>
        <w:t>Possuir potência de 05 KVA;</w:t>
      </w:r>
    </w:p>
    <w:p>
      <w:pPr>
        <w:jc w:val="both"/>
      </w:pPr>
      <w:r>
        <w:rPr>
          <w:b/>
        </w:rPr>
        <w:t xml:space="preserve">12.2.3.1.9.3. </w:t>
      </w:r>
      <w:r>
        <w:t>Possuir regulação estática de ± 1% nominal;</w:t>
      </w:r>
    </w:p>
    <w:p>
      <w:pPr>
        <w:jc w:val="both"/>
      </w:pPr>
      <w:r>
        <w:rPr>
          <w:b/>
        </w:rPr>
        <w:t xml:space="preserve">12.2.3.1.9.4. </w:t>
      </w:r>
      <w:r>
        <w:t>Operar na frequência de 50 ou 60 Hz;</w:t>
      </w:r>
    </w:p>
    <w:p>
      <w:pPr>
        <w:jc w:val="both"/>
      </w:pPr>
      <w:r>
        <w:rPr>
          <w:b/>
        </w:rPr>
        <w:t xml:space="preserve">12.2.3.1.9.5. </w:t>
      </w:r>
      <w:r>
        <w:t>Suportar variação de frequência ± 0,05% em modo bateria;</w:t>
      </w:r>
    </w:p>
    <w:p>
      <w:pPr>
        <w:jc w:val="both"/>
      </w:pPr>
      <w:r>
        <w:rPr>
          <w:b/>
        </w:rPr>
        <w:t xml:space="preserve">12.2.3.1.9.6. </w:t>
      </w:r>
      <w:r>
        <w:t>Configuração Trifásica 3F+N+T;</w:t>
      </w:r>
    </w:p>
    <w:p>
      <w:pPr>
        <w:jc w:val="both"/>
      </w:pPr>
      <w:r>
        <w:rPr>
          <w:b/>
        </w:rPr>
        <w:t xml:space="preserve">12.2.3.1.9.7. </w:t>
      </w:r>
      <w:r>
        <w:t>O nobreak deverá possuir fator de potência igual ou superior a 0,9.</w:t>
      </w:r>
    </w:p>
    <w:p>
      <w:pPr>
        <w:jc w:val="both"/>
      </w:pPr>
      <w:r>
        <w:rPr>
          <w:b/>
        </w:rPr>
        <w:t xml:space="preserve">12.2.3.1.9.8. </w:t>
      </w:r>
      <w:r>
        <w:t>Distorção harmônica THD inferior a 1% total;</w:t>
      </w:r>
    </w:p>
    <w:p>
      <w:pPr>
        <w:jc w:val="both"/>
      </w:pPr>
      <w:r>
        <w:rPr>
          <w:b/>
        </w:rPr>
        <w:t xml:space="preserve">12.2.3.1.9.9. </w:t>
      </w:r>
      <w:r>
        <w:t>Fator de cristal de 3:1;</w:t>
      </w:r>
    </w:p>
    <w:p>
      <w:pPr>
        <w:jc w:val="both"/>
      </w:pPr>
      <w:r>
        <w:rPr>
          <w:b/>
        </w:rPr>
        <w:t xml:space="preserve">12.2.3.1.9.10. </w:t>
      </w:r>
      <w:r>
        <w:t>Capacidade de sobrecarga de 125% durante 25s;</w:t>
      </w:r>
    </w:p>
    <w:p>
      <w:pPr>
        <w:jc w:val="both"/>
      </w:pPr>
      <w:r>
        <w:rPr>
          <w:b/>
        </w:rPr>
        <w:t xml:space="preserve">12.2.3.1.9.11. </w:t>
      </w:r>
      <w:r>
        <w:t>Rendimento de 92%;</w:t>
      </w:r>
    </w:p>
    <w:p>
      <w:pPr>
        <w:jc w:val="both"/>
      </w:pPr>
      <w:r>
        <w:rPr>
          <w:b/>
        </w:rPr>
        <w:t xml:space="preserve">12.2.3.1.10. </w:t>
      </w:r>
      <w:r>
        <w:t>Sobre as baterias:</w:t>
      </w:r>
    </w:p>
    <w:p>
      <w:pPr>
        <w:jc w:val="both"/>
      </w:pPr>
      <w:r>
        <w:rPr>
          <w:b/>
        </w:rPr>
        <w:t xml:space="preserve">12.2.3.1.10.1. </w:t>
      </w:r>
      <w:r>
        <w:t>Operar com tensão de linha de 288 VDC;</w:t>
      </w:r>
    </w:p>
    <w:p>
      <w:pPr>
        <w:jc w:val="both"/>
      </w:pPr>
      <w:r>
        <w:rPr>
          <w:b/>
        </w:rPr>
        <w:t xml:space="preserve">12.2.3.1.10.2. </w:t>
      </w:r>
      <w:r>
        <w:t>Suportar autonomia de 40 minutos a plena carga;</w:t>
      </w:r>
    </w:p>
    <w:p>
      <w:pPr>
        <w:jc w:val="both"/>
      </w:pPr>
      <w:r>
        <w:rPr>
          <w:b/>
        </w:rPr>
        <w:t xml:space="preserve">12.2.3.1.10.3. </w:t>
      </w:r>
      <w:r>
        <w:t>Possuir sistema de recarga controlado, automático;</w:t>
      </w:r>
    </w:p>
    <w:p>
      <w:pPr>
        <w:jc w:val="both"/>
      </w:pPr>
      <w:r>
        <w:rPr>
          <w:b/>
        </w:rPr>
        <w:t xml:space="preserve">12.2.3.1.10.4. </w:t>
      </w:r>
      <w:r>
        <w:t>Deve recarregar de 8 a 10 horas para 90% de carga;</w:t>
      </w:r>
    </w:p>
    <w:p>
      <w:pPr>
        <w:jc w:val="both"/>
      </w:pPr>
      <w:r>
        <w:rPr>
          <w:b/>
        </w:rPr>
        <w:t xml:space="preserve">12.2.3.1.10.5. </w:t>
      </w:r>
      <w:r>
        <w:t>As baterias devem ser do tipo seladas, isenta de manutenção;</w:t>
      </w:r>
    </w:p>
    <w:p>
      <w:pPr>
        <w:jc w:val="both"/>
      </w:pPr>
      <w:r>
        <w:rPr>
          <w:b/>
        </w:rPr>
        <w:t xml:space="preserve">12.2.3.1.10.6. </w:t>
      </w:r>
      <w:r>
        <w:t>O banco de bateriais deve possuir módulos de balanceamento ativo de baterias, do mesmo fabricante da solução de nobreak apresentada;</w:t>
      </w:r>
    </w:p>
    <w:p>
      <w:pPr>
        <w:jc w:val="both"/>
      </w:pPr>
      <w:r>
        <w:rPr>
          <w:b/>
        </w:rPr>
        <w:t xml:space="preserve">12.2.3.1.10.7. </w:t>
      </w:r>
      <w:r>
        <w:t>Devem possuir equilização ativa individual das bateriais regulando individualmente a tensão de cada bateria mantendo-as homogêneas, elevando sua durabilidade, capacidade e resistência contra corroção e sulfatação.</w:t>
      </w:r>
    </w:p>
    <w:p>
      <w:pPr>
        <w:jc w:val="both"/>
      </w:pPr>
      <w:r>
        <w:rPr>
          <w:b/>
        </w:rPr>
        <w:t xml:space="preserve">12.2.3.1.10.8. </w:t>
      </w:r>
      <w:r>
        <w:t>Devem proteger individualmente as baterias contra o excesso de carga, prevenindo-as contra exalação de gases, secagem de eletrólito interno e do aquecimento interno em excesso.</w:t>
      </w:r>
    </w:p>
    <w:p>
      <w:pPr>
        <w:jc w:val="both"/>
      </w:pPr>
      <w:r>
        <w:rPr>
          <w:b/>
        </w:rPr>
        <w:t xml:space="preserve">12.2.3.1.10.9. </w:t>
      </w:r>
      <w:r>
        <w:t>Impedir que as baterias recebam menor tensão que deveriam, evitando-se a sulfatação e perda de capacidade.</w:t>
      </w:r>
    </w:p>
    <w:p>
      <w:pPr>
        <w:jc w:val="both"/>
      </w:pPr>
      <w:r>
        <w:rPr>
          <w:b/>
        </w:rPr>
        <w:t xml:space="preserve">12.2.3.1.10.10. </w:t>
      </w:r>
      <w:r>
        <w:t>Possuir indicador de problema de bateria através de medição de tensão, impedância e temperatura, monitorando os problemas típicos da bateria, tais como corrosão, sulfatação, perda de gases, secagem do eletrólito e aquecimento interno.</w:t>
      </w:r>
    </w:p>
    <w:p>
      <w:pPr>
        <w:jc w:val="both"/>
      </w:pPr>
      <w:r>
        <w:rPr>
          <w:b/>
        </w:rPr>
        <w:t xml:space="preserve">12.2.3.1.10.11. </w:t>
      </w:r>
      <w:r>
        <w:t>Devem manter todas as baterias com tensão equilibrada, eliminando a sulfatação das baterias decorrente dos carregadores e retificadores de baterias, que regulam a tensão de flutuação ou equalização na tensão final das baterias não garantindo que em algumas baterias elas recebam maior tensão e, em outras, menor tensão.</w:t>
      </w:r>
    </w:p>
    <w:p>
      <w:pPr>
        <w:jc w:val="both"/>
      </w:pPr>
      <w:r>
        <w:rPr>
          <w:b/>
        </w:rPr>
        <w:t xml:space="preserve">12.2.3.1.10.12. </w:t>
      </w:r>
      <w:r>
        <w:t>Evitar danos de uma bateria a outras baterias próximas, o efeito de contaminação, ou seja, uma bateria ruim danifica as boas.</w:t>
      </w:r>
    </w:p>
    <w:p>
      <w:pPr>
        <w:jc w:val="both"/>
      </w:pPr>
      <w:r>
        <w:rPr>
          <w:b/>
        </w:rPr>
        <w:t xml:space="preserve">12.2.3.1.10.13. </w:t>
      </w:r>
      <w:r>
        <w:t>Garantir a plena recarga e a máxima otimização da bateria.</w:t>
      </w:r>
    </w:p>
    <w:p>
      <w:pPr>
        <w:jc w:val="both"/>
      </w:pPr>
      <w:r>
        <w:rPr>
          <w:b/>
        </w:rPr>
        <w:t xml:space="preserve">12.2.3.1.10.14. </w:t>
      </w:r>
      <w:r>
        <w:t>Possibilitar a análise da curva de impedância, identificando a tendência, já na fase inicial de instalação, se alguma bateria está deteriorada ou simplesmente mais fraca do que as outras, melhorando o restante da vida útil das demais baterias.</w:t>
      </w:r>
    </w:p>
    <w:p>
      <w:pPr>
        <w:jc w:val="both"/>
      </w:pPr>
      <w:r>
        <w:rPr>
          <w:b/>
        </w:rPr>
        <w:t xml:space="preserve">12.2.3.1.10.15. </w:t>
      </w:r>
      <w:r>
        <w:t>Possuir monitoramento dos parâmetros-chave das baterias e medições de limites preestabelecidos, o sistema deve enviar avisos de alarmes automaticamente aos administradores do sistema.</w:t>
      </w:r>
    </w:p>
    <w:p>
      <w:pPr>
        <w:jc w:val="both"/>
      </w:pPr>
      <w:r>
        <w:rPr>
          <w:b/>
        </w:rPr>
        <w:t xml:space="preserve">12.2.3.1.10.16. </w:t>
      </w:r>
      <w:r>
        <w:t>Deve fornecer o monitoramento remoto através da Internet, VPN ou outra rede, para fazer download de dados em tempo real e acesso ao histórico da bateria para análise.</w:t>
      </w:r>
    </w:p>
    <w:p>
      <w:pPr>
        <w:jc w:val="both"/>
      </w:pPr>
      <w:r>
        <w:rPr>
          <w:b/>
        </w:rPr>
        <w:t xml:space="preserve">12.2.3.1.10.17. </w:t>
      </w:r>
      <w:r>
        <w:t>Deve permitir a manutenção e a análise das baterias podendo ser realizadas em condições reais de operação, sem a necessidade de paradas no sistema.</w:t>
      </w:r>
    </w:p>
    <w:p>
      <w:pPr>
        <w:jc w:val="both"/>
      </w:pPr>
      <w:r>
        <w:rPr>
          <w:b/>
        </w:rPr>
        <w:t xml:space="preserve">12.2.3.1.10.18. </w:t>
      </w:r>
      <w:r>
        <w:t>Otimizar a manutenção em campo deslocando a equipe de manutenção da CONTRATADA somente quando houver intervenções corretivas e diretas na bateria que apresentar defeito na ocorrência de alarmes.</w:t>
      </w:r>
    </w:p>
    <w:p>
      <w:pPr>
        <w:jc w:val="both"/>
      </w:pPr>
      <w:r>
        <w:rPr>
          <w:b/>
        </w:rPr>
        <w:t xml:space="preserve">12.2.3.1.11. </w:t>
      </w:r>
      <w:r>
        <w:t>Sobre o By-pass:</w:t>
      </w:r>
    </w:p>
    <w:p>
      <w:pPr>
        <w:jc w:val="both"/>
      </w:pPr>
      <w:r>
        <w:rPr>
          <w:b/>
        </w:rPr>
        <w:t xml:space="preserve">12.2.3.1.11.1. </w:t>
      </w:r>
      <w:r>
        <w:t>Deve ser estático;</w:t>
      </w:r>
    </w:p>
    <w:p>
      <w:pPr>
        <w:jc w:val="both"/>
      </w:pPr>
      <w:r>
        <w:rPr>
          <w:b/>
        </w:rPr>
        <w:t xml:space="preserve">12.2.3.1.11.2. </w:t>
      </w:r>
      <w:r>
        <w:t>O acionamento automático deve ser controlado através do DSP;</w:t>
      </w:r>
    </w:p>
    <w:p>
      <w:pPr>
        <w:jc w:val="both"/>
      </w:pPr>
      <w:r>
        <w:rPr>
          <w:b/>
        </w:rPr>
        <w:t xml:space="preserve">12.2.3.1.11.3. </w:t>
      </w:r>
      <w:r>
        <w:t>O acionamento manual deve ser através de disjuntor;</w:t>
      </w:r>
    </w:p>
    <w:p>
      <w:pPr>
        <w:jc w:val="both"/>
      </w:pPr>
      <w:r>
        <w:rPr>
          <w:b/>
        </w:rPr>
        <w:t xml:space="preserve">12.2.3.1.11.4. </w:t>
      </w:r>
      <w:r>
        <w:t>Reposição ao modo normal sem interrupção.</w:t>
      </w:r>
    </w:p>
    <w:p>
      <w:pPr>
        <w:jc w:val="both"/>
      </w:pPr>
      <w:r>
        <w:rPr>
          <w:b/>
        </w:rPr>
        <w:t xml:space="preserve">12.2.3.1.11.5. </w:t>
      </w:r>
      <w:r>
        <w:t>Permitir a manutenção do nobreak sem desligar a carga.</w:t>
      </w:r>
    </w:p>
    <w:p>
      <w:pPr>
        <w:jc w:val="both"/>
      </w:pPr>
      <w:r>
        <w:rPr>
          <w:b/>
        </w:rPr>
        <w:t xml:space="preserve">12.2.3.1.12. </w:t>
      </w:r>
      <w:r>
        <w:t>Sobre proteções elétricas:</w:t>
      </w:r>
    </w:p>
    <w:p>
      <w:pPr>
        <w:jc w:val="both"/>
      </w:pPr>
      <w:r>
        <w:rPr>
          <w:b/>
        </w:rPr>
        <w:t xml:space="preserve">12.2.3.1.12.1. </w:t>
      </w:r>
      <w:r>
        <w:t>Deve proteger de Sub e sobretensão de entrada e saída;</w:t>
      </w:r>
    </w:p>
    <w:p>
      <w:pPr>
        <w:jc w:val="both"/>
      </w:pPr>
      <w:r>
        <w:rPr>
          <w:b/>
        </w:rPr>
        <w:t xml:space="preserve">12.2.3.1.12.2. </w:t>
      </w:r>
      <w:r>
        <w:t>Deve proteger de Sub e sobretensão DC e bateria;</w:t>
      </w:r>
    </w:p>
    <w:p>
      <w:pPr>
        <w:jc w:val="both"/>
      </w:pPr>
      <w:r>
        <w:rPr>
          <w:b/>
        </w:rPr>
        <w:t xml:space="preserve">12.2.3.1.12.3. </w:t>
      </w:r>
      <w:r>
        <w:t>Deve proteger de sobrecarga e curto circuito;</w:t>
      </w:r>
    </w:p>
    <w:p>
      <w:pPr>
        <w:jc w:val="both"/>
      </w:pPr>
      <w:r>
        <w:rPr>
          <w:b/>
        </w:rPr>
        <w:t xml:space="preserve">12.2.3.1.12.4. </w:t>
      </w:r>
      <w:r>
        <w:t>Deve proteger de sobre temperatura.</w:t>
      </w:r>
    </w:p>
    <w:p>
      <w:pPr>
        <w:jc w:val="both"/>
      </w:pPr>
      <w:r>
        <w:rPr>
          <w:b/>
        </w:rPr>
        <w:t xml:space="preserve">12.2.3.1.13. </w:t>
      </w:r>
      <w:r>
        <w:t>Sobre as Medições:</w:t>
      </w:r>
    </w:p>
    <w:p>
      <w:pPr>
        <w:jc w:val="both"/>
      </w:pPr>
      <w:r>
        <w:rPr>
          <w:b/>
        </w:rPr>
        <w:t xml:space="preserve">12.2.3.1.13.1. </w:t>
      </w:r>
      <w:r>
        <w:t>Possuir True RMS;</w:t>
      </w:r>
    </w:p>
    <w:p>
      <w:pPr>
        <w:jc w:val="both"/>
      </w:pPr>
      <w:r>
        <w:rPr>
          <w:b/>
        </w:rPr>
        <w:t xml:space="preserve">12.2.3.1.13.2. </w:t>
      </w:r>
      <w:r>
        <w:t>Deve medir potência de Saída em kVA e KW;</w:t>
      </w:r>
    </w:p>
    <w:p>
      <w:pPr>
        <w:jc w:val="both"/>
      </w:pPr>
      <w:r>
        <w:rPr>
          <w:b/>
        </w:rPr>
        <w:t xml:space="preserve">12.2.3.1.13.3. </w:t>
      </w:r>
      <w:r>
        <w:t>Fator de Potência de Saída;</w:t>
      </w:r>
    </w:p>
    <w:p>
      <w:pPr>
        <w:jc w:val="both"/>
      </w:pPr>
      <w:r>
        <w:rPr>
          <w:b/>
        </w:rPr>
        <w:t xml:space="preserve">12.2.3.1.13.4. </w:t>
      </w:r>
      <w:r>
        <w:t>Deve medir tensão, corrente e frequências de Saída;</w:t>
      </w:r>
    </w:p>
    <w:p>
      <w:pPr>
        <w:jc w:val="both"/>
      </w:pPr>
      <w:r>
        <w:rPr>
          <w:b/>
        </w:rPr>
        <w:t xml:space="preserve">12.2.3.1.13.5. </w:t>
      </w:r>
      <w:r>
        <w:t>Deve medir tensão de Bateria;</w:t>
      </w:r>
    </w:p>
    <w:p>
      <w:pPr>
        <w:jc w:val="both"/>
      </w:pPr>
      <w:r>
        <w:rPr>
          <w:b/>
        </w:rPr>
        <w:t xml:space="preserve">12.2.3.1.13.6. </w:t>
      </w:r>
      <w:r>
        <w:t>Deve medir tensão e frequência de Entrada;</w:t>
      </w:r>
    </w:p>
    <w:p>
      <w:pPr>
        <w:jc w:val="both"/>
      </w:pPr>
      <w:r>
        <w:rPr>
          <w:b/>
        </w:rPr>
        <w:t xml:space="preserve">12.2.3.1.14. </w:t>
      </w:r>
      <w:r>
        <w:t>Sobre os Alarmes:</w:t>
      </w:r>
    </w:p>
    <w:p>
      <w:pPr>
        <w:jc w:val="both"/>
      </w:pPr>
      <w:r>
        <w:rPr>
          <w:b/>
        </w:rPr>
        <w:t xml:space="preserve">12.2.3.1.14.1. </w:t>
      </w:r>
      <w:r>
        <w:t>Devem ser controlados pelo processador DSP:</w:t>
      </w:r>
    </w:p>
    <w:p>
      <w:pPr>
        <w:jc w:val="both"/>
      </w:pPr>
      <w:r>
        <w:rPr>
          <w:b/>
        </w:rPr>
        <w:t xml:space="preserve">12.2.3.1.14.2. </w:t>
      </w:r>
      <w:r>
        <w:t>Sonoros:</w:t>
      </w:r>
    </w:p>
    <w:p>
      <w:pPr>
        <w:jc w:val="both"/>
      </w:pPr>
      <w:r>
        <w:rPr>
          <w:b/>
        </w:rPr>
        <w:t xml:space="preserve">12.2.3.1.14.2.1. </w:t>
      </w:r>
      <w:r>
        <w:t>Falta de rede: 1 toque por segundo;</w:t>
      </w:r>
    </w:p>
    <w:p>
      <w:pPr>
        <w:jc w:val="both"/>
      </w:pPr>
      <w:r>
        <w:rPr>
          <w:b/>
        </w:rPr>
        <w:t xml:space="preserve">12.2.3.1.14.2.2. </w:t>
      </w:r>
      <w:r>
        <w:t>Pré-alarme das baterias: 2 toques por segundo;</w:t>
      </w:r>
    </w:p>
    <w:p>
      <w:pPr>
        <w:jc w:val="both"/>
      </w:pPr>
      <w:r>
        <w:rPr>
          <w:b/>
        </w:rPr>
        <w:t xml:space="preserve">12.2.3.1.14.2.3. </w:t>
      </w:r>
      <w:r>
        <w:t>Falha interna do nobreak: alarme contínuo</w:t>
      </w:r>
    </w:p>
    <w:p>
      <w:pPr>
        <w:jc w:val="both"/>
      </w:pPr>
      <w:r>
        <w:rPr>
          <w:b/>
        </w:rPr>
        <w:t xml:space="preserve">12.2.3.1.14.3. </w:t>
      </w:r>
      <w:r>
        <w:t>Mensagens de Alerta</w:t>
      </w:r>
    </w:p>
    <w:p>
      <w:pPr>
        <w:jc w:val="both"/>
      </w:pPr>
      <w:r>
        <w:rPr>
          <w:b/>
        </w:rPr>
        <w:t xml:space="preserve">12.2.3.1.14.3.1. </w:t>
      </w:r>
      <w:r>
        <w:t>Display de cristal líquido;</w:t>
      </w:r>
    </w:p>
    <w:p>
      <w:pPr>
        <w:jc w:val="both"/>
      </w:pPr>
      <w:r>
        <w:rPr>
          <w:b/>
        </w:rPr>
        <w:t xml:space="preserve">12.2.3.1.14.3.2. </w:t>
      </w:r>
      <w:r>
        <w:t>Software IP power via TCP/IP;</w:t>
      </w:r>
    </w:p>
    <w:p>
      <w:pPr>
        <w:jc w:val="both"/>
      </w:pPr>
      <w:r>
        <w:rPr>
          <w:b/>
        </w:rPr>
        <w:t xml:space="preserve">12.2.3.1.14.4. </w:t>
      </w:r>
      <w:r>
        <w:t>Mensagem por email ou pop-up;</w:t>
      </w:r>
    </w:p>
    <w:p>
      <w:pPr>
        <w:jc w:val="both"/>
      </w:pPr>
      <w:r>
        <w:rPr>
          <w:b/>
        </w:rPr>
        <w:t xml:space="preserve">12.2.3.1.14.4.1. </w:t>
      </w:r>
      <w:r>
        <w:t>Operação Normal;</w:t>
      </w:r>
    </w:p>
    <w:p>
      <w:pPr>
        <w:jc w:val="both"/>
      </w:pPr>
      <w:r>
        <w:rPr>
          <w:b/>
        </w:rPr>
        <w:t xml:space="preserve">12.2.3.1.14.4.2. </w:t>
      </w:r>
      <w:r>
        <w:t>Falha de Rede;</w:t>
      </w:r>
    </w:p>
    <w:p>
      <w:pPr>
        <w:jc w:val="both"/>
      </w:pPr>
      <w:r>
        <w:rPr>
          <w:b/>
        </w:rPr>
        <w:t xml:space="preserve">12.2.3.1.14.4.3. </w:t>
      </w:r>
      <w:r>
        <w:t>Pré-alarme de Baterias;</w:t>
      </w:r>
    </w:p>
    <w:p>
      <w:pPr>
        <w:jc w:val="both"/>
      </w:pPr>
      <w:r>
        <w:rPr>
          <w:b/>
        </w:rPr>
        <w:t xml:space="preserve">12.2.3.1.14.4.4. </w:t>
      </w:r>
      <w:r>
        <w:t>Bypass Estático;</w:t>
      </w:r>
    </w:p>
    <w:p>
      <w:pPr>
        <w:jc w:val="both"/>
      </w:pPr>
      <w:r>
        <w:rPr>
          <w:b/>
        </w:rPr>
        <w:t xml:space="preserve">12.2.3.1.14.4.5. </w:t>
      </w:r>
      <w:r>
        <w:t>Bypass Manual;</w:t>
      </w:r>
    </w:p>
    <w:p>
      <w:pPr>
        <w:jc w:val="both"/>
      </w:pPr>
      <w:r>
        <w:rPr>
          <w:b/>
        </w:rPr>
        <w:t xml:space="preserve">12.2.3.1.14.4.6. </w:t>
      </w:r>
      <w:r>
        <w:t>Sobrecarga de Saída;</w:t>
      </w:r>
    </w:p>
    <w:p>
      <w:pPr>
        <w:jc w:val="both"/>
      </w:pPr>
      <w:r>
        <w:rPr>
          <w:b/>
        </w:rPr>
        <w:t xml:space="preserve">12.2.3.1.14.4.7. </w:t>
      </w:r>
      <w:r>
        <w:t>Falha Interna.</w:t>
      </w:r>
    </w:p>
    <w:p>
      <w:pPr>
        <w:jc w:val="both"/>
      </w:pPr>
      <w:r>
        <w:rPr>
          <w:b/>
        </w:rPr>
        <w:t xml:space="preserve">12.2.3.1.15. </w:t>
      </w:r>
      <w:r>
        <w:t>Log de Eventos:</w:t>
      </w:r>
    </w:p>
    <w:p>
      <w:pPr>
        <w:jc w:val="both"/>
      </w:pPr>
      <w:r>
        <w:rPr>
          <w:b/>
        </w:rPr>
        <w:t xml:space="preserve">12.2.3.1.15.1. </w:t>
      </w:r>
      <w:r>
        <w:t>Deve possuir memória com capacidade de armazenar 25.500 registros:</w:t>
      </w:r>
    </w:p>
    <w:p>
      <w:pPr>
        <w:jc w:val="both"/>
      </w:pPr>
      <w:r>
        <w:rPr>
          <w:b/>
        </w:rPr>
        <w:t xml:space="preserve">12.2.3.1.15.2. </w:t>
      </w:r>
      <w:r>
        <w:t>Indicação de data, hora e ocorrência;</w:t>
      </w:r>
    </w:p>
    <w:p>
      <w:pPr>
        <w:jc w:val="both"/>
      </w:pPr>
      <w:r>
        <w:rPr>
          <w:b/>
        </w:rPr>
        <w:t xml:space="preserve">12.2.3.1.15.3. </w:t>
      </w:r>
      <w:r>
        <w:t>Medições;</w:t>
      </w:r>
    </w:p>
    <w:p>
      <w:pPr>
        <w:jc w:val="both"/>
      </w:pPr>
      <w:r>
        <w:rPr>
          <w:b/>
        </w:rPr>
        <w:t xml:space="preserve">12.2.3.1.15.4. </w:t>
      </w:r>
      <w:r>
        <w:t>Status de operação e alarmes do painel;</w:t>
      </w:r>
    </w:p>
    <w:p>
      <w:pPr>
        <w:jc w:val="both"/>
      </w:pPr>
      <w:r>
        <w:rPr>
          <w:b/>
        </w:rPr>
        <w:t xml:space="preserve">12.2.3.1.15.5. </w:t>
      </w:r>
      <w:r>
        <w:t>Status de chaves internas</w:t>
      </w:r>
    </w:p>
    <w:p>
      <w:pPr>
        <w:jc w:val="both"/>
      </w:pPr>
      <w:r>
        <w:rPr>
          <w:b/>
        </w:rPr>
        <w:t xml:space="preserve">12.2.3.1.16. </w:t>
      </w:r>
      <w:r>
        <w:t>Outras configurações:</w:t>
      </w:r>
    </w:p>
    <w:p>
      <w:pPr>
        <w:jc w:val="both"/>
      </w:pPr>
      <w:r>
        <w:rPr>
          <w:b/>
        </w:rPr>
        <w:t xml:space="preserve">12.2.3.1.16.1. </w:t>
      </w:r>
      <w:r>
        <w:t>Deve possuir display touch screen;</w:t>
      </w:r>
    </w:p>
    <w:p>
      <w:pPr>
        <w:jc w:val="both"/>
      </w:pPr>
      <w:r>
        <w:rPr>
          <w:b/>
        </w:rPr>
        <w:t xml:space="preserve">12.2.3.1.16.2. </w:t>
      </w:r>
      <w:r>
        <w:t>Transformador Isolador com blindagem eletrostática;</w:t>
      </w:r>
    </w:p>
    <w:p>
      <w:pPr>
        <w:jc w:val="both"/>
      </w:pPr>
      <w:r>
        <w:rPr>
          <w:b/>
        </w:rPr>
        <w:t xml:space="preserve">12.2.3.1.17. </w:t>
      </w:r>
      <w:r>
        <w:t>Porta de Comunicação;</w:t>
      </w:r>
    </w:p>
    <w:p>
      <w:pPr>
        <w:jc w:val="both"/>
      </w:pPr>
      <w:r>
        <w:rPr>
          <w:b/>
        </w:rPr>
        <w:t xml:space="preserve">12.2.3.1.17.1. </w:t>
      </w:r>
      <w:r>
        <w:t>Serial RS232C Isolada Full Duplex -DB9 Fêmea;</w:t>
      </w:r>
    </w:p>
    <w:p>
      <w:pPr>
        <w:jc w:val="both"/>
      </w:pPr>
      <w:r>
        <w:rPr>
          <w:b/>
        </w:rPr>
        <w:t xml:space="preserve">12.2.3.1.17.2. </w:t>
      </w:r>
      <w:r>
        <w:t>Contato Seco DB9 Fêmea.</w:t>
      </w:r>
    </w:p>
    <w:p>
      <w:pPr>
        <w:jc w:val="both"/>
      </w:pPr>
      <w:r>
        <w:rPr>
          <w:b/>
        </w:rPr>
        <w:t xml:space="preserve">12.2.3.1.18. </w:t>
      </w:r>
      <w:r>
        <w:t>Interface de Gerenciamento Remoto</w:t>
      </w:r>
    </w:p>
    <w:p>
      <w:pPr>
        <w:jc w:val="both"/>
      </w:pPr>
      <w:r>
        <w:rPr>
          <w:b/>
        </w:rPr>
        <w:t xml:space="preserve">12.2.3.1.18.1. </w:t>
      </w:r>
      <w:r>
        <w:t>A solução de nobreak apresentada deve conter ao menos 01 (uma) interface de gerenciamento remoto;</w:t>
      </w:r>
    </w:p>
    <w:p>
      <w:pPr>
        <w:jc w:val="both"/>
      </w:pPr>
      <w:r>
        <w:rPr>
          <w:b/>
        </w:rPr>
        <w:t xml:space="preserve">12.2.3.1.18.2. </w:t>
      </w:r>
      <w:r>
        <w:t>Ser compatível com a solução de nobreak instalada;</w:t>
      </w:r>
    </w:p>
    <w:p>
      <w:pPr>
        <w:jc w:val="both"/>
      </w:pPr>
      <w:r>
        <w:rPr>
          <w:b/>
        </w:rPr>
        <w:t xml:space="preserve">12.2.3.1.18.3. </w:t>
      </w:r>
      <w:r>
        <w:t>Deve possuir funcionalidades mono e multiusuário, cliente- server e multi-server;</w:t>
      </w:r>
    </w:p>
    <w:p>
      <w:pPr>
        <w:jc w:val="both"/>
      </w:pPr>
      <w:r>
        <w:rPr>
          <w:b/>
        </w:rPr>
        <w:t xml:space="preserve">12.2.3.1.18.4. </w:t>
      </w:r>
      <w:r>
        <w:t>Deve gerenciar o shutdown de vários servidores ligados ao nobreak;</w:t>
      </w:r>
    </w:p>
    <w:p>
      <w:pPr>
        <w:jc w:val="both"/>
      </w:pPr>
      <w:r>
        <w:rPr>
          <w:b/>
        </w:rPr>
        <w:t xml:space="preserve">12.2.3.1.18.5. </w:t>
      </w:r>
      <w:r>
        <w:t>Realizar medições de parâmetros internos do nobreak como tensão de entrada e saída, frequência, nível de bateria e potência de saída;</w:t>
      </w:r>
    </w:p>
    <w:p>
      <w:pPr>
        <w:jc w:val="both"/>
      </w:pPr>
      <w:r>
        <w:rPr>
          <w:b/>
        </w:rPr>
        <w:t xml:space="preserve">12.2.3.2. </w:t>
      </w:r>
      <w:r>
        <w:t>06 (seis) nobreak gerenciado, fabricado no Brasil, atendendo às seguintes características técnicas:</w:t>
      </w:r>
    </w:p>
    <w:p>
      <w:pPr>
        <w:jc w:val="both"/>
      </w:pPr>
      <w:r>
        <w:rPr>
          <w:b/>
        </w:rPr>
        <w:t xml:space="preserve">12.2.3.2.1. </w:t>
      </w:r>
      <w:r>
        <w:t>Esses equipamentos serão responsáveis por sustentar os demais racks do Data Center da Secretaria</w:t>
      </w:r>
    </w:p>
    <w:p>
      <w:pPr>
        <w:jc w:val="both"/>
      </w:pPr>
      <w:r>
        <w:rPr>
          <w:b/>
        </w:rPr>
        <w:t xml:space="preserve">12.2.3.2.2. </w:t>
      </w:r>
      <w:r>
        <w:t>Deve permitir funções avançadas em tempo real através de tecnologia DSP (Digital Signal Processor);</w:t>
      </w:r>
    </w:p>
    <w:p>
      <w:pPr>
        <w:jc w:val="both"/>
      </w:pPr>
      <w:r>
        <w:rPr>
          <w:b/>
        </w:rPr>
        <w:t xml:space="preserve">12.2.3.2.3. </w:t>
      </w:r>
      <w:r>
        <w:t>Deve permitir que os registros de eventos localizados na memória interna sejam rastreados para análise;</w:t>
      </w:r>
    </w:p>
    <w:p>
      <w:pPr>
        <w:jc w:val="both"/>
      </w:pPr>
      <w:r>
        <w:rPr>
          <w:b/>
        </w:rPr>
        <w:t xml:space="preserve">12.2.3.2.4. </w:t>
      </w:r>
      <w:r>
        <w:t>Deve realizar medição de cargas não lineares através das medições em True RMS;</w:t>
      </w:r>
    </w:p>
    <w:p>
      <w:pPr>
        <w:jc w:val="both"/>
      </w:pPr>
      <w:r>
        <w:rPr>
          <w:b/>
        </w:rPr>
        <w:t xml:space="preserve">12.2.3.2.5. </w:t>
      </w:r>
      <w:r>
        <w:t>Possuir tecnologia on-line de dupla conversão;</w:t>
      </w:r>
    </w:p>
    <w:p>
      <w:pPr>
        <w:jc w:val="both"/>
      </w:pPr>
      <w:r>
        <w:rPr>
          <w:b/>
        </w:rPr>
        <w:t xml:space="preserve">12.2.3.2.6. </w:t>
      </w:r>
      <w:r>
        <w:t>O equipamento deve possuir um sistema de paralelismo ativo, que permita a instalação de quantas unidades forem necessárias, desde que do mesmo fabricante, possibilitando a expansão do sistema, de acordo com a demanda de consumo.</w:t>
      </w:r>
    </w:p>
    <w:p>
      <w:pPr>
        <w:jc w:val="both"/>
      </w:pPr>
      <w:r>
        <w:rPr>
          <w:b/>
        </w:rPr>
        <w:t xml:space="preserve">12.2.3.2.7. </w:t>
      </w:r>
      <w:r>
        <w:t>Possuir controle inteligente de velocidade dos coolers;</w:t>
      </w:r>
    </w:p>
    <w:p>
      <w:pPr>
        <w:jc w:val="both"/>
      </w:pPr>
      <w:r>
        <w:rPr>
          <w:b/>
        </w:rPr>
        <w:t xml:space="preserve">12.2.3.2.8. </w:t>
      </w:r>
      <w:r>
        <w:t>Sobre a entrada do equipamento:</w:t>
      </w:r>
    </w:p>
    <w:p>
      <w:pPr>
        <w:jc w:val="both"/>
      </w:pPr>
      <w:r>
        <w:rPr>
          <w:b/>
        </w:rPr>
        <w:t xml:space="preserve">12.2.3.2.8.1. </w:t>
      </w:r>
      <w:r>
        <w:t>Suportar na entrada do equipamento as tensões de 208/220/380/400/440V, com variação admissível de até 15% da tensão nominal e de ± 5% da frequência;</w:t>
      </w:r>
    </w:p>
    <w:p>
      <w:pPr>
        <w:jc w:val="both"/>
      </w:pPr>
      <w:r>
        <w:rPr>
          <w:b/>
        </w:rPr>
        <w:t xml:space="preserve">12.2.3.2.8.2. </w:t>
      </w:r>
      <w:r>
        <w:t>Configuração Trifásica 3F+N+T;</w:t>
      </w:r>
    </w:p>
    <w:p>
      <w:pPr>
        <w:jc w:val="both"/>
      </w:pPr>
      <w:r>
        <w:rPr>
          <w:b/>
        </w:rPr>
        <w:t xml:space="preserve">12.2.3.2.8.3. </w:t>
      </w:r>
      <w:r>
        <w:t>O nobreak deverá possuir fator de potência igual ou superior a 0,9.</w:t>
      </w:r>
    </w:p>
    <w:p>
      <w:pPr>
        <w:jc w:val="both"/>
      </w:pPr>
      <w:r>
        <w:rPr>
          <w:b/>
        </w:rPr>
        <w:t xml:space="preserve">12.2.3.2.9. </w:t>
      </w:r>
      <w:r>
        <w:t>Sobre a saída do equipamento:</w:t>
      </w:r>
    </w:p>
    <w:p>
      <w:pPr>
        <w:jc w:val="both"/>
      </w:pPr>
      <w:r>
        <w:rPr>
          <w:b/>
        </w:rPr>
        <w:t xml:space="preserve">12.2.3.2.9.1. </w:t>
      </w:r>
      <w:r>
        <w:t>Suportar na saída tensões de 208/220/380/400/440V;</w:t>
      </w:r>
    </w:p>
    <w:p>
      <w:pPr>
        <w:jc w:val="both"/>
      </w:pPr>
      <w:r>
        <w:rPr>
          <w:b/>
        </w:rPr>
        <w:t xml:space="preserve">12.2.3.2.9.2. </w:t>
      </w:r>
      <w:r>
        <w:t>Possuir potência de 03 KVA;</w:t>
      </w:r>
    </w:p>
    <w:p>
      <w:pPr>
        <w:jc w:val="both"/>
      </w:pPr>
      <w:r>
        <w:rPr>
          <w:b/>
        </w:rPr>
        <w:t xml:space="preserve">12.2.3.2.9.3. </w:t>
      </w:r>
      <w:r>
        <w:t>Possuir regulação estática de ± 1% nominal;</w:t>
      </w:r>
    </w:p>
    <w:p>
      <w:pPr>
        <w:jc w:val="both"/>
      </w:pPr>
      <w:r>
        <w:rPr>
          <w:b/>
        </w:rPr>
        <w:t xml:space="preserve">12.2.3.2.9.4. </w:t>
      </w:r>
      <w:r>
        <w:t>Operar na frequência de 50 ou 60 Hz;</w:t>
      </w:r>
    </w:p>
    <w:p>
      <w:pPr>
        <w:jc w:val="both"/>
      </w:pPr>
      <w:r>
        <w:rPr>
          <w:b/>
        </w:rPr>
        <w:t xml:space="preserve">12.2.3.2.9.5. </w:t>
      </w:r>
      <w:r>
        <w:t>Suportar variação de frequência ± 0,05% em modo bateria;</w:t>
      </w:r>
    </w:p>
    <w:p>
      <w:pPr>
        <w:jc w:val="both"/>
      </w:pPr>
      <w:r>
        <w:rPr>
          <w:b/>
        </w:rPr>
        <w:t xml:space="preserve">12.2.3.2.9.6. </w:t>
      </w:r>
      <w:r>
        <w:t>Configuração Trifásica 3F+N+T;</w:t>
      </w:r>
    </w:p>
    <w:p>
      <w:pPr>
        <w:jc w:val="both"/>
      </w:pPr>
      <w:r>
        <w:rPr>
          <w:b/>
        </w:rPr>
        <w:t xml:space="preserve">12.2.3.2.9.7. </w:t>
      </w:r>
      <w:r>
        <w:t>O nobreak deverá possuir fator de potência igual ou superior a 0,9.</w:t>
      </w:r>
    </w:p>
    <w:p>
      <w:pPr>
        <w:jc w:val="both"/>
      </w:pPr>
      <w:r>
        <w:rPr>
          <w:b/>
        </w:rPr>
        <w:t xml:space="preserve">12.2.3.2.9.8. </w:t>
      </w:r>
      <w:r>
        <w:t>Forma de onda senoidal;</w:t>
      </w:r>
    </w:p>
    <w:p>
      <w:pPr>
        <w:jc w:val="both"/>
      </w:pPr>
      <w:r>
        <w:rPr>
          <w:b/>
        </w:rPr>
        <w:t xml:space="preserve">12.2.3.2.9.9. </w:t>
      </w:r>
      <w:r>
        <w:t>Distorção harmônica THD inferior a 1% total;</w:t>
      </w:r>
    </w:p>
    <w:p>
      <w:pPr>
        <w:jc w:val="both"/>
      </w:pPr>
      <w:r>
        <w:rPr>
          <w:b/>
        </w:rPr>
        <w:t xml:space="preserve">12.2.3.2.9.10. </w:t>
      </w:r>
      <w:r>
        <w:t>Fator de cristal de 3:1;</w:t>
      </w:r>
    </w:p>
    <w:p>
      <w:pPr>
        <w:jc w:val="both"/>
      </w:pPr>
      <w:r>
        <w:rPr>
          <w:b/>
        </w:rPr>
        <w:t xml:space="preserve">12.2.3.2.9.11. </w:t>
      </w:r>
      <w:r>
        <w:t>Capacidade de sobrecarga de 125% durante 25s;</w:t>
      </w:r>
    </w:p>
    <w:p>
      <w:pPr>
        <w:jc w:val="both"/>
      </w:pPr>
      <w:r>
        <w:rPr>
          <w:b/>
        </w:rPr>
        <w:t xml:space="preserve">12.2.3.2.9.12. </w:t>
      </w:r>
      <w:r>
        <w:t>Rendimento de 92%;</w:t>
      </w:r>
    </w:p>
    <w:p>
      <w:pPr>
        <w:jc w:val="both"/>
      </w:pPr>
      <w:r>
        <w:rPr>
          <w:b/>
        </w:rPr>
        <w:t xml:space="preserve">12.2.3.2.10. </w:t>
      </w:r>
      <w:r>
        <w:t>Sobre as baterias:</w:t>
      </w:r>
    </w:p>
    <w:p>
      <w:pPr>
        <w:jc w:val="both"/>
      </w:pPr>
      <w:r>
        <w:rPr>
          <w:b/>
        </w:rPr>
        <w:t xml:space="preserve">12.2.3.2.10.1. </w:t>
      </w:r>
      <w:r>
        <w:t>Operar com tensão de linha de 288 VDC;</w:t>
      </w:r>
    </w:p>
    <w:p>
      <w:pPr>
        <w:jc w:val="both"/>
      </w:pPr>
      <w:r>
        <w:rPr>
          <w:b/>
        </w:rPr>
        <w:t xml:space="preserve">12.2.3.2.10.2. </w:t>
      </w:r>
      <w:r>
        <w:t>Suportar autonomia de 40 minutos a plena carga;</w:t>
      </w:r>
    </w:p>
    <w:p>
      <w:pPr>
        <w:jc w:val="both"/>
      </w:pPr>
      <w:r>
        <w:rPr>
          <w:b/>
        </w:rPr>
        <w:t xml:space="preserve">12.2.3.2.10.3. </w:t>
      </w:r>
      <w:r>
        <w:t>Possuir sistema de recarga controlado, automático;</w:t>
      </w:r>
    </w:p>
    <w:p>
      <w:pPr>
        <w:jc w:val="both"/>
      </w:pPr>
      <w:r>
        <w:rPr>
          <w:b/>
        </w:rPr>
        <w:t xml:space="preserve">12.2.3.2.10.4. </w:t>
      </w:r>
      <w:r>
        <w:t>Deve recarregar de 8 a 10 horas para 90% de carga;</w:t>
      </w:r>
    </w:p>
    <w:p>
      <w:pPr>
        <w:jc w:val="both"/>
      </w:pPr>
      <w:r>
        <w:rPr>
          <w:b/>
        </w:rPr>
        <w:t xml:space="preserve">12.2.3.2.10.5. </w:t>
      </w:r>
      <w:r>
        <w:t>As baterias devem ser do tipo seladas, isenta de manutenção;</w:t>
      </w:r>
    </w:p>
    <w:p>
      <w:pPr>
        <w:jc w:val="both"/>
      </w:pPr>
      <w:r>
        <w:rPr>
          <w:b/>
        </w:rPr>
        <w:t xml:space="preserve">12.2.3.2.10.6. </w:t>
      </w:r>
      <w:r>
        <w:t>O banco de bateriais deve possuir módulos de balanceamento ativo de baterias, do mesmo fabricante da solução de nobreak apresentada;</w:t>
      </w:r>
    </w:p>
    <w:p>
      <w:pPr>
        <w:jc w:val="both"/>
      </w:pPr>
      <w:r>
        <w:rPr>
          <w:b/>
        </w:rPr>
        <w:t xml:space="preserve">12.2.3.2.10.7. </w:t>
      </w:r>
      <w:r>
        <w:t>Devem possuir equilização ativa individual das bateriais regulando individualmente a tensão de cada bateria mantendo-as homogêneas, elevando sua durabilidade, capacidade e resistência contra corroção e sulfatação.</w:t>
      </w:r>
    </w:p>
    <w:p>
      <w:pPr>
        <w:jc w:val="both"/>
      </w:pPr>
      <w:r>
        <w:rPr>
          <w:b/>
        </w:rPr>
        <w:t xml:space="preserve">12.2.3.2.10.8. </w:t>
      </w:r>
      <w:r>
        <w:t>Devem proteger individualmente as baterias contra o excesso de carga, prevenindo-as contra exalação de gases, secagem de eletrólito interno e do aquecimento interno em excesso.</w:t>
      </w:r>
    </w:p>
    <w:p>
      <w:pPr>
        <w:jc w:val="both"/>
      </w:pPr>
      <w:r>
        <w:rPr>
          <w:b/>
        </w:rPr>
        <w:t xml:space="preserve">12.2.3.2.10.9. </w:t>
      </w:r>
      <w:r>
        <w:t>Impedir que as baterias recebam menor tensão que deveriam, evitando-se a sulfatação e perda de capacidade.</w:t>
      </w:r>
    </w:p>
    <w:p>
      <w:pPr>
        <w:jc w:val="both"/>
      </w:pPr>
      <w:r>
        <w:rPr>
          <w:b/>
        </w:rPr>
        <w:t xml:space="preserve">12.2.3.2.10.10. </w:t>
      </w:r>
      <w:r>
        <w:t>Possuir indicador de problema de bateria através de medição de tensão, impedância e temperatura, monitorando os problemas típicos da bateria, tais como corrosão, sulfatação, perda de gases, secagem do eletrólito e aquecimento interno.</w:t>
      </w:r>
    </w:p>
    <w:p>
      <w:pPr>
        <w:jc w:val="both"/>
      </w:pPr>
      <w:r>
        <w:rPr>
          <w:b/>
        </w:rPr>
        <w:t xml:space="preserve">12.2.3.2.10.11. </w:t>
      </w:r>
      <w:r>
        <w:t>Devem manter todas as baterias com tensão equilibrada, eliminando a sulfatação das baterias decorrente dos carregadores e retificadores de baterias, que regulam a tensão de flutuação ou equalização na tensão final das baterias não garantindo que em algumas baterias elas recebam maior tensão e, em outras, menor tensão.</w:t>
      </w:r>
    </w:p>
    <w:p>
      <w:pPr>
        <w:jc w:val="both"/>
      </w:pPr>
      <w:r>
        <w:rPr>
          <w:b/>
        </w:rPr>
        <w:t xml:space="preserve">12.2.3.2.10.12. </w:t>
      </w:r>
      <w:r>
        <w:t>Evitar danos de uma bateria a outras baterias próximas, o efeito de contaminação, ou seja, uma bateria ruim danifica as boas.</w:t>
      </w:r>
    </w:p>
    <w:p>
      <w:pPr>
        <w:jc w:val="both"/>
      </w:pPr>
      <w:r>
        <w:rPr>
          <w:b/>
        </w:rPr>
        <w:t xml:space="preserve">12.2.3.2.10.13. </w:t>
      </w:r>
      <w:r>
        <w:t>Garantir a plena recarga e a máxima otimização da bateria.</w:t>
      </w:r>
    </w:p>
    <w:p>
      <w:pPr>
        <w:jc w:val="both"/>
      </w:pPr>
      <w:r>
        <w:rPr>
          <w:b/>
        </w:rPr>
        <w:t xml:space="preserve">12.2.3.2.10.14. </w:t>
      </w:r>
      <w:r>
        <w:t>Possibilitar a análise da curva de impedância, identificando a tendência, já na fase inicial de instalação, se alguma bateria está deteriorada ou simplesmente mais fraca do que as outras, melhorando o restante da vida útil das demais baterias.</w:t>
      </w:r>
    </w:p>
    <w:p>
      <w:pPr>
        <w:jc w:val="both"/>
      </w:pPr>
      <w:r>
        <w:rPr>
          <w:b/>
        </w:rPr>
        <w:t xml:space="preserve">12.2.3.2.10.15. </w:t>
      </w:r>
      <w:r>
        <w:t>Possuir monitoramento dos parâmetros-chave das baterias e medições de limites preestabelecidos, o sistema deve enviar avisos de alarmes automaticamente aos administradores do sistema.</w:t>
      </w:r>
    </w:p>
    <w:p>
      <w:pPr>
        <w:jc w:val="both"/>
      </w:pPr>
      <w:r>
        <w:rPr>
          <w:b/>
        </w:rPr>
        <w:t xml:space="preserve">12.2.3.2.10.16. </w:t>
      </w:r>
      <w:r>
        <w:t>Deve fornecer o monitoramento remoto através da Internet, VPN ou outra rede, para fazer download de dados em tempo real e acesso ao histórico da bateria para análise.</w:t>
      </w:r>
    </w:p>
    <w:p>
      <w:pPr>
        <w:jc w:val="both"/>
      </w:pPr>
      <w:r>
        <w:rPr>
          <w:b/>
        </w:rPr>
        <w:t xml:space="preserve">12.2.3.2.10.17. </w:t>
      </w:r>
      <w:r>
        <w:t>Deve permitir a manutenção e a análise das baterias podendo ser realizadas em condições reais de operação, sem a necessidade de paradas no sistema.</w:t>
      </w:r>
    </w:p>
    <w:p>
      <w:pPr>
        <w:jc w:val="both"/>
      </w:pPr>
      <w:r>
        <w:rPr>
          <w:b/>
        </w:rPr>
        <w:t xml:space="preserve">12.2.3.2.10.18. </w:t>
      </w:r>
      <w:r>
        <w:t>Otimizar a manutenção em campo deslocando a equipe de manutenção da CONTRATADA somente quando houver intervenções corretivas e diretas na bateria que apresentar defeito na ocorrência de alarmes.</w:t>
      </w:r>
    </w:p>
    <w:p>
      <w:pPr>
        <w:jc w:val="both"/>
      </w:pPr>
      <w:r>
        <w:rPr>
          <w:b/>
        </w:rPr>
        <w:t xml:space="preserve">12.2.3.2.11. </w:t>
      </w:r>
      <w:r>
        <w:t>Sobre o By-pass:</w:t>
      </w:r>
    </w:p>
    <w:p>
      <w:pPr>
        <w:jc w:val="both"/>
      </w:pPr>
      <w:r>
        <w:rPr>
          <w:b/>
        </w:rPr>
        <w:t xml:space="preserve">12.2.3.2.11.1. </w:t>
      </w:r>
      <w:r>
        <w:t>Deve ser estático;</w:t>
      </w:r>
    </w:p>
    <w:p>
      <w:pPr>
        <w:jc w:val="both"/>
      </w:pPr>
      <w:r>
        <w:rPr>
          <w:b/>
        </w:rPr>
        <w:t xml:space="preserve">12.2.3.2.11.2. </w:t>
      </w:r>
      <w:r>
        <w:t>O acionamento automático deve ser controlado através do DSP;</w:t>
      </w:r>
    </w:p>
    <w:p>
      <w:pPr>
        <w:jc w:val="both"/>
      </w:pPr>
      <w:r>
        <w:rPr>
          <w:b/>
        </w:rPr>
        <w:t xml:space="preserve">12.2.3.2.11.3. </w:t>
      </w:r>
      <w:r>
        <w:t>O acionamento manual deve ser através de disjuntor;</w:t>
      </w:r>
    </w:p>
    <w:p>
      <w:pPr>
        <w:jc w:val="both"/>
      </w:pPr>
      <w:r>
        <w:rPr>
          <w:b/>
        </w:rPr>
        <w:t xml:space="preserve">12.2.3.2.11.4. </w:t>
      </w:r>
      <w:r>
        <w:t>Reposição ao modo normal sem interrupção.</w:t>
      </w:r>
    </w:p>
    <w:p>
      <w:pPr>
        <w:jc w:val="both"/>
      </w:pPr>
      <w:r>
        <w:rPr>
          <w:b/>
        </w:rPr>
        <w:t xml:space="preserve">12.2.3.2.11.5. </w:t>
      </w:r>
      <w:r>
        <w:t>Permitir a manutenção do nobreak sem desligar a carga.</w:t>
      </w:r>
    </w:p>
    <w:p>
      <w:pPr>
        <w:jc w:val="both"/>
      </w:pPr>
      <w:r>
        <w:rPr>
          <w:b/>
        </w:rPr>
        <w:t xml:space="preserve">12.2.3.2.12. </w:t>
      </w:r>
      <w:r>
        <w:t>Sobre proteções elétricas:</w:t>
      </w:r>
    </w:p>
    <w:p>
      <w:pPr>
        <w:jc w:val="both"/>
      </w:pPr>
      <w:r>
        <w:rPr>
          <w:b/>
        </w:rPr>
        <w:t xml:space="preserve">12.2.3.2.12.1. </w:t>
      </w:r>
      <w:r>
        <w:t>Deve proteger de Sub e sobretensão de entrada e saída;</w:t>
      </w:r>
    </w:p>
    <w:p>
      <w:pPr>
        <w:jc w:val="both"/>
      </w:pPr>
      <w:r>
        <w:rPr>
          <w:b/>
        </w:rPr>
        <w:t xml:space="preserve">12.2.3.2.12.2. </w:t>
      </w:r>
      <w:r>
        <w:t>Deve proteger de Sub e sobretensão DC e bateria;</w:t>
      </w:r>
    </w:p>
    <w:p>
      <w:pPr>
        <w:jc w:val="both"/>
      </w:pPr>
      <w:r>
        <w:rPr>
          <w:b/>
        </w:rPr>
        <w:t xml:space="preserve">12.2.3.2.12.3. </w:t>
      </w:r>
      <w:r>
        <w:t>Deve proteger de sobrecarga e curto circuito;</w:t>
      </w:r>
    </w:p>
    <w:p>
      <w:pPr>
        <w:jc w:val="both"/>
      </w:pPr>
      <w:r>
        <w:rPr>
          <w:b/>
        </w:rPr>
        <w:t xml:space="preserve">12.2.3.2.12.4. </w:t>
      </w:r>
      <w:r>
        <w:t>Deve proteger de sobre temperatura.</w:t>
      </w:r>
    </w:p>
    <w:p>
      <w:pPr>
        <w:jc w:val="both"/>
      </w:pPr>
      <w:r>
        <w:rPr>
          <w:b/>
        </w:rPr>
        <w:t xml:space="preserve">12.2.3.2.13. </w:t>
      </w:r>
      <w:r>
        <w:t>Sobre as Medições:</w:t>
      </w:r>
    </w:p>
    <w:p>
      <w:pPr>
        <w:jc w:val="both"/>
      </w:pPr>
      <w:r>
        <w:rPr>
          <w:b/>
        </w:rPr>
        <w:t xml:space="preserve">12.2.3.2.13.1. </w:t>
      </w:r>
      <w:r>
        <w:t>Possuir True RMS;</w:t>
      </w:r>
    </w:p>
    <w:p>
      <w:pPr>
        <w:jc w:val="both"/>
      </w:pPr>
      <w:r>
        <w:rPr>
          <w:b/>
        </w:rPr>
        <w:t xml:space="preserve">12.2.3.2.13.2. </w:t>
      </w:r>
      <w:r>
        <w:t>Deve medir potência de Saída em kVA e KW;</w:t>
      </w:r>
    </w:p>
    <w:p>
      <w:pPr>
        <w:jc w:val="both"/>
      </w:pPr>
      <w:r>
        <w:rPr>
          <w:b/>
        </w:rPr>
        <w:t xml:space="preserve">12.2.3.2.13.3. </w:t>
      </w:r>
      <w:r>
        <w:t>Fator de Potência de Saída;</w:t>
      </w:r>
    </w:p>
    <w:p>
      <w:pPr>
        <w:jc w:val="both"/>
      </w:pPr>
      <w:r>
        <w:rPr>
          <w:b/>
        </w:rPr>
        <w:t xml:space="preserve">12.2.3.2.13.4. </w:t>
      </w:r>
      <w:r>
        <w:t>Deve medir tensão, corrente e frequências de Saída;</w:t>
      </w:r>
    </w:p>
    <w:p>
      <w:pPr>
        <w:jc w:val="both"/>
      </w:pPr>
      <w:r>
        <w:rPr>
          <w:b/>
        </w:rPr>
        <w:t xml:space="preserve">12.2.3.2.13.5. </w:t>
      </w:r>
      <w:r>
        <w:t>Deve medir tensão de Bateria;</w:t>
      </w:r>
    </w:p>
    <w:p>
      <w:pPr>
        <w:jc w:val="both"/>
      </w:pPr>
      <w:r>
        <w:rPr>
          <w:b/>
        </w:rPr>
        <w:t xml:space="preserve">12.2.3.2.13.6. </w:t>
      </w:r>
      <w:r>
        <w:t>Deve medir tensão e frequência de Entrada;</w:t>
      </w:r>
    </w:p>
    <w:p>
      <w:pPr>
        <w:jc w:val="both"/>
      </w:pPr>
      <w:r>
        <w:rPr>
          <w:b/>
        </w:rPr>
        <w:t xml:space="preserve">12.2.3.2.14. </w:t>
      </w:r>
      <w:r>
        <w:t>Sobre os Alarmes:</w:t>
      </w:r>
    </w:p>
    <w:p>
      <w:pPr>
        <w:jc w:val="both"/>
      </w:pPr>
      <w:r>
        <w:rPr>
          <w:b/>
        </w:rPr>
        <w:t xml:space="preserve">12.2.3.2.14.1. </w:t>
      </w:r>
      <w:r>
        <w:t>Devem ser controlados pelo processador DSP:</w:t>
      </w:r>
    </w:p>
    <w:p>
      <w:pPr>
        <w:jc w:val="both"/>
      </w:pPr>
      <w:r>
        <w:rPr>
          <w:b/>
        </w:rPr>
        <w:t xml:space="preserve">12.2.3.2.14.2. </w:t>
      </w:r>
      <w:r>
        <w:t>Sonoros:</w:t>
      </w:r>
    </w:p>
    <w:p>
      <w:pPr>
        <w:jc w:val="both"/>
      </w:pPr>
      <w:r>
        <w:rPr>
          <w:b/>
        </w:rPr>
        <w:t xml:space="preserve">12.2.3.2.14.2.1. </w:t>
      </w:r>
      <w:r>
        <w:t>Falta de rede: 1 toque por segundo;</w:t>
      </w:r>
    </w:p>
    <w:p>
      <w:pPr>
        <w:jc w:val="both"/>
      </w:pPr>
      <w:r>
        <w:rPr>
          <w:b/>
        </w:rPr>
        <w:t xml:space="preserve">12.2.3.2.14.2.2. </w:t>
      </w:r>
      <w:r>
        <w:t>Pré-alarme das baterias: 2 toques por segundo;</w:t>
      </w:r>
    </w:p>
    <w:p>
      <w:pPr>
        <w:jc w:val="both"/>
      </w:pPr>
      <w:r>
        <w:rPr>
          <w:b/>
        </w:rPr>
        <w:t xml:space="preserve">12.2.3.2.14.2.3. </w:t>
      </w:r>
      <w:r>
        <w:t>Falha interna do nobreak: alarme contínuo</w:t>
      </w:r>
    </w:p>
    <w:p>
      <w:pPr>
        <w:jc w:val="both"/>
      </w:pPr>
      <w:r>
        <w:rPr>
          <w:b/>
        </w:rPr>
        <w:t xml:space="preserve">12.2.3.2.14.3. </w:t>
      </w:r>
      <w:r>
        <w:t>Mensagens de Alerta</w:t>
      </w:r>
    </w:p>
    <w:p>
      <w:pPr>
        <w:jc w:val="both"/>
      </w:pPr>
      <w:r>
        <w:rPr>
          <w:b/>
        </w:rPr>
        <w:t xml:space="preserve">12.2.3.2.14.3.1. </w:t>
      </w:r>
      <w:r>
        <w:t>Display de cristal líquido;</w:t>
      </w:r>
    </w:p>
    <w:p>
      <w:pPr>
        <w:jc w:val="both"/>
      </w:pPr>
      <w:r>
        <w:rPr>
          <w:b/>
        </w:rPr>
        <w:t xml:space="preserve">12.2.3.2.14.3.2. </w:t>
      </w:r>
      <w:r>
        <w:t>Software IP power via TCP/IP;</w:t>
      </w:r>
    </w:p>
    <w:p>
      <w:pPr>
        <w:jc w:val="both"/>
      </w:pPr>
      <w:r>
        <w:rPr>
          <w:b/>
        </w:rPr>
        <w:t xml:space="preserve">12.2.3.2.14.4. </w:t>
      </w:r>
      <w:r>
        <w:t>Mensagem por email ou pop-up;</w:t>
      </w:r>
    </w:p>
    <w:p>
      <w:pPr>
        <w:jc w:val="both"/>
      </w:pPr>
      <w:r>
        <w:rPr>
          <w:b/>
        </w:rPr>
        <w:t xml:space="preserve">12.2.3.2.14.4.1. </w:t>
      </w:r>
      <w:r>
        <w:t>Operação Normal;</w:t>
      </w:r>
    </w:p>
    <w:p>
      <w:pPr>
        <w:jc w:val="both"/>
      </w:pPr>
      <w:r>
        <w:rPr>
          <w:b/>
        </w:rPr>
        <w:t xml:space="preserve">12.2.3.2.14.4.2. </w:t>
      </w:r>
      <w:r>
        <w:t>Falha de Rede;</w:t>
      </w:r>
    </w:p>
    <w:p>
      <w:pPr>
        <w:jc w:val="both"/>
      </w:pPr>
      <w:r>
        <w:rPr>
          <w:b/>
        </w:rPr>
        <w:t xml:space="preserve">12.2.3.2.14.4.3. </w:t>
      </w:r>
      <w:r>
        <w:t>Pré-alarme de Baterias;</w:t>
      </w:r>
    </w:p>
    <w:p>
      <w:pPr>
        <w:jc w:val="both"/>
      </w:pPr>
      <w:r>
        <w:rPr>
          <w:b/>
        </w:rPr>
        <w:t xml:space="preserve">12.2.3.2.14.4.4. </w:t>
      </w:r>
      <w:r>
        <w:t>Bypass Estático;</w:t>
      </w:r>
    </w:p>
    <w:p>
      <w:pPr>
        <w:jc w:val="both"/>
      </w:pPr>
      <w:r>
        <w:rPr>
          <w:b/>
        </w:rPr>
        <w:t xml:space="preserve">12.2.3.2.14.4.5. </w:t>
      </w:r>
      <w:r>
        <w:t>Bypass Manual;</w:t>
      </w:r>
    </w:p>
    <w:p>
      <w:pPr>
        <w:jc w:val="both"/>
      </w:pPr>
      <w:r>
        <w:rPr>
          <w:b/>
        </w:rPr>
        <w:t xml:space="preserve">12.2.3.2.14.4.6. </w:t>
      </w:r>
      <w:r>
        <w:t>Sobrecarga de Saída;</w:t>
      </w:r>
    </w:p>
    <w:p>
      <w:pPr>
        <w:jc w:val="both"/>
      </w:pPr>
      <w:r>
        <w:rPr>
          <w:b/>
        </w:rPr>
        <w:t xml:space="preserve">12.2.3.2.14.4.7. </w:t>
      </w:r>
      <w:r>
        <w:t>Falha Interna.</w:t>
      </w:r>
    </w:p>
    <w:p>
      <w:pPr>
        <w:jc w:val="both"/>
      </w:pPr>
      <w:r>
        <w:rPr>
          <w:b/>
        </w:rPr>
        <w:t xml:space="preserve">12.2.3.2.15. </w:t>
      </w:r>
      <w:r>
        <w:t>Log de Eventos:</w:t>
      </w:r>
    </w:p>
    <w:p>
      <w:pPr>
        <w:jc w:val="both"/>
      </w:pPr>
      <w:r>
        <w:rPr>
          <w:b/>
        </w:rPr>
        <w:t xml:space="preserve">12.2.3.2.15.1. </w:t>
      </w:r>
      <w:r>
        <w:t>Deve possuir memória com capacidade de armazenar 25.500 registros:</w:t>
      </w:r>
    </w:p>
    <w:p>
      <w:pPr>
        <w:jc w:val="both"/>
      </w:pPr>
      <w:r>
        <w:rPr>
          <w:b/>
        </w:rPr>
        <w:t xml:space="preserve">12.2.3.2.15.2. </w:t>
      </w:r>
      <w:r>
        <w:t>Indicação de data, hora e ocorrência;</w:t>
      </w:r>
    </w:p>
    <w:p>
      <w:pPr>
        <w:jc w:val="both"/>
      </w:pPr>
      <w:r>
        <w:rPr>
          <w:b/>
        </w:rPr>
        <w:t xml:space="preserve">12.2.3.2.15.3. </w:t>
      </w:r>
      <w:r>
        <w:t>Medições;</w:t>
      </w:r>
    </w:p>
    <w:p>
      <w:pPr>
        <w:jc w:val="both"/>
      </w:pPr>
      <w:r>
        <w:rPr>
          <w:b/>
        </w:rPr>
        <w:t xml:space="preserve">12.2.3.2.15.4. </w:t>
      </w:r>
      <w:r>
        <w:t>Status de operação e alarmes do painel;</w:t>
      </w:r>
    </w:p>
    <w:p>
      <w:pPr>
        <w:jc w:val="both"/>
      </w:pPr>
      <w:r>
        <w:rPr>
          <w:b/>
        </w:rPr>
        <w:t xml:space="preserve">12.2.3.2.15.5. </w:t>
      </w:r>
      <w:r>
        <w:t>Status de chaves internas</w:t>
      </w:r>
    </w:p>
    <w:p>
      <w:pPr>
        <w:jc w:val="both"/>
      </w:pPr>
      <w:r>
        <w:rPr>
          <w:b/>
        </w:rPr>
        <w:t xml:space="preserve">12.2.3.2.16. </w:t>
      </w:r>
      <w:r>
        <w:t>Outras configurações:</w:t>
      </w:r>
    </w:p>
    <w:p>
      <w:pPr>
        <w:jc w:val="both"/>
      </w:pPr>
      <w:r>
        <w:rPr>
          <w:b/>
        </w:rPr>
        <w:t xml:space="preserve">12.2.3.2.16.1. </w:t>
      </w:r>
      <w:r>
        <w:t>Deve possuir display touch screen;</w:t>
      </w:r>
    </w:p>
    <w:p>
      <w:pPr>
        <w:jc w:val="both"/>
      </w:pPr>
      <w:r>
        <w:rPr>
          <w:b/>
        </w:rPr>
        <w:t xml:space="preserve">12.2.3.2.16.2. </w:t>
      </w:r>
      <w:r>
        <w:t>Transformador Isolador com blindagem eletrostática;</w:t>
      </w:r>
    </w:p>
    <w:p>
      <w:pPr>
        <w:jc w:val="both"/>
      </w:pPr>
      <w:r>
        <w:rPr>
          <w:b/>
        </w:rPr>
        <w:t xml:space="preserve">12.2.3.2.17. </w:t>
      </w:r>
      <w:r>
        <w:t>Porta de Comunicação;</w:t>
      </w:r>
    </w:p>
    <w:p>
      <w:pPr>
        <w:jc w:val="both"/>
      </w:pPr>
      <w:r>
        <w:rPr>
          <w:b/>
        </w:rPr>
        <w:t xml:space="preserve">12.2.3.2.17.1. </w:t>
      </w:r>
      <w:r>
        <w:t>Serial RS232C Isolada Full Duplex -DB9 Fêmea;</w:t>
      </w:r>
    </w:p>
    <w:p>
      <w:pPr>
        <w:jc w:val="both"/>
      </w:pPr>
      <w:r>
        <w:rPr>
          <w:b/>
        </w:rPr>
        <w:t xml:space="preserve">12.2.3.2.17.2. </w:t>
      </w:r>
      <w:r>
        <w:t>Contato Seco DB9 Fêmea.</w:t>
      </w:r>
    </w:p>
    <w:p>
      <w:pPr>
        <w:jc w:val="both"/>
      </w:pPr>
      <w:r>
        <w:rPr>
          <w:b/>
        </w:rPr>
        <w:t xml:space="preserve">12.2.3.2.18. </w:t>
      </w:r>
      <w:r>
        <w:t>Interface de Gerenciamento Remoto</w:t>
      </w:r>
    </w:p>
    <w:p>
      <w:pPr>
        <w:jc w:val="both"/>
      </w:pPr>
      <w:r>
        <w:rPr>
          <w:b/>
        </w:rPr>
        <w:t xml:space="preserve">12.2.3.2.18.1. </w:t>
      </w:r>
      <w:r>
        <w:t>A solução de nobreak apresentada deve conter ao menos 01 (uma) interface de gerenciamento remoto;</w:t>
      </w:r>
    </w:p>
    <w:p>
      <w:pPr>
        <w:jc w:val="both"/>
      </w:pPr>
      <w:r>
        <w:rPr>
          <w:b/>
        </w:rPr>
        <w:t xml:space="preserve">12.2.3.2.18.2. </w:t>
      </w:r>
      <w:r>
        <w:t>Ser compatível com a solução de nobreak instalada;</w:t>
      </w:r>
    </w:p>
    <w:p>
      <w:pPr>
        <w:jc w:val="both"/>
      </w:pPr>
      <w:r>
        <w:rPr>
          <w:b/>
        </w:rPr>
        <w:t xml:space="preserve">12.2.3.2.18.3. </w:t>
      </w:r>
      <w:r>
        <w:t>Deve possuir funcionalidades mono e multiusuário, cliente- server e multi-server;</w:t>
      </w:r>
    </w:p>
    <w:p>
      <w:pPr>
        <w:jc w:val="both"/>
      </w:pPr>
      <w:r>
        <w:rPr>
          <w:b/>
        </w:rPr>
        <w:t xml:space="preserve">12.2.3.2.18.4. </w:t>
      </w:r>
      <w:r>
        <w:t>Deve gerenciar o shutdown de vários servidores ligados ao nobreak;</w:t>
      </w:r>
    </w:p>
    <w:p>
      <w:pPr>
        <w:jc w:val="both"/>
      </w:pPr>
      <w:r>
        <w:rPr>
          <w:b/>
        </w:rPr>
        <w:t xml:space="preserve">12.2.3.2.18.5. </w:t>
      </w:r>
      <w:r>
        <w:t>Realizar medições de parâmetros internos do nobreak como tensão de entrada e saída, frequência, nível de bateria e potência de saída;</w:t>
      </w:r>
    </w:p>
    <w:p>
      <w:pPr>
        <w:jc w:val="both"/>
      </w:pPr>
      <w:r>
        <w:rPr>
          <w:b/>
        </w:rPr>
        <w:t xml:space="preserve">12.2.4. </w:t>
      </w:r>
      <w:r>
        <w:t>SWITCHES DE AGREGAÇÃO</w:t>
      </w:r>
    </w:p>
    <w:p>
      <w:pPr>
        <w:jc w:val="both"/>
      </w:pPr>
      <w:r>
        <w:rPr>
          <w:b/>
        </w:rPr>
        <w:t xml:space="preserve">12.2.4.1. </w:t>
      </w:r>
      <w:r>
        <w:t>Deverá ser disponibilizado pela CONTRATADA, no mínimo, 02 (dois) switches de agregação destinados à composição da infraestrutura redundante de comunicação do cluster hiperconvergente baseado em Proxmox Virtual Environment e Ceph.</w:t>
      </w:r>
    </w:p>
    <w:p>
      <w:pPr>
        <w:jc w:val="both"/>
      </w:pPr>
      <w:r>
        <w:rPr>
          <w:b/>
        </w:rPr>
        <w:t xml:space="preserve">12.2.4.2. </w:t>
      </w:r>
      <w:r>
        <w:t>Os switches deverão operar em arquitetura redundante ativa-ativa, eliminando pontos únicos de falha (Single Point of Failure - SPOF) da camada de conectividade do ambiente computacional.</w:t>
      </w:r>
    </w:p>
    <w:p>
      <w:pPr>
        <w:jc w:val="both"/>
      </w:pPr>
      <w:r>
        <w:rPr>
          <w:b/>
        </w:rPr>
        <w:t xml:space="preserve">12.2.4.3. </w:t>
      </w:r>
      <w:r>
        <w:t>O modelo ofertado deverá estar em linha de produção, sem previsão de encerramento de fabricação na data da entrega da proposta, não sendo aceitas soluções em roadmap, descontinuadas ou em fim de suporte do fabricante.</w:t>
      </w:r>
    </w:p>
    <w:p>
      <w:pPr>
        <w:jc w:val="both"/>
      </w:pPr>
      <w:r>
        <w:rPr>
          <w:b/>
        </w:rPr>
        <w:t xml:space="preserve">12.2.4.4. </w:t>
      </w:r>
      <w:r>
        <w:t>Para garantir interoperabilidade, padronização operacional e gerenciamento unificado, os switches de agregação e eventuais switches de acesso/PoE fornecidos no âmbito da solução deverão ser do mesmo fabricante.</w:t>
      </w:r>
    </w:p>
    <w:p>
      <w:pPr>
        <w:jc w:val="both"/>
      </w:pPr>
      <w:r>
        <w:rPr>
          <w:b/>
        </w:rPr>
        <w:t xml:space="preserve">12.2.4.5. </w:t>
      </w:r>
      <w:r>
        <w:t>O equipamento deverá possuir homologação válida junto à ANATEL, com certificação disponível publicamente.</w:t>
      </w:r>
    </w:p>
    <w:p>
      <w:pPr>
        <w:jc w:val="both"/>
      </w:pPr>
      <w:r>
        <w:rPr>
          <w:b/>
        </w:rPr>
        <w:t xml:space="preserve">12.2.4.6. </w:t>
      </w:r>
      <w:r>
        <w:t>Os equipamentos deverão possuir gabinete padrão rack 19 polegadas EIA/TIA, com altura máxima de 1U.</w:t>
      </w:r>
    </w:p>
    <w:p>
      <w:pPr>
        <w:jc w:val="both"/>
      </w:pPr>
      <w:r>
        <w:rPr>
          <w:b/>
        </w:rPr>
        <w:t xml:space="preserve">12.2.4.7. </w:t>
      </w:r>
      <w:r>
        <w:t>Cada switch deverá possuir, no mínimo, 16 (dezesseis) portas SFP28 compatíveis com velocidades de 10Gbps e 25Gbps.</w:t>
      </w:r>
    </w:p>
    <w:p>
      <w:pPr>
        <w:jc w:val="both"/>
      </w:pPr>
      <w:r>
        <w:rPr>
          <w:b/>
        </w:rPr>
        <w:t xml:space="preserve">12.2.4.8. </w:t>
      </w:r>
      <w:r>
        <w:t>A solução deverá suportar comunicação redundante simultânea entre os nós do cluster, permitindo segregação lógica e operação dedicada para:</w:t>
      </w:r>
    </w:p>
    <w:p>
      <w:pPr>
        <w:jc w:val="both"/>
      </w:pPr>
      <w:r>
        <w:rPr>
          <w:b/>
        </w:rPr>
        <w:t xml:space="preserve">12.2.4.8.1. </w:t>
      </w:r>
      <w:r>
        <w:t>Rede de gerenciamento;</w:t>
      </w:r>
    </w:p>
    <w:p>
      <w:pPr>
        <w:jc w:val="both"/>
      </w:pPr>
      <w:r>
        <w:rPr>
          <w:b/>
        </w:rPr>
        <w:t xml:space="preserve">12.2.4.8.2. </w:t>
      </w:r>
      <w:r>
        <w:t>Rede de virtualização;</w:t>
      </w:r>
    </w:p>
    <w:p>
      <w:pPr>
        <w:jc w:val="both"/>
      </w:pPr>
      <w:r>
        <w:rPr>
          <w:b/>
        </w:rPr>
        <w:t xml:space="preserve">12.2.4.8.3. </w:t>
      </w:r>
      <w:r>
        <w:t>Rede de migração de máquinas virtuais;</w:t>
      </w:r>
    </w:p>
    <w:p>
      <w:pPr>
        <w:jc w:val="both"/>
      </w:pPr>
      <w:r>
        <w:rPr>
          <w:b/>
        </w:rPr>
        <w:t xml:space="preserve">12.2.4.8.4. </w:t>
      </w:r>
      <w:r>
        <w:t>Rede de armazenamento distribuído;</w:t>
      </w:r>
    </w:p>
    <w:p>
      <w:pPr>
        <w:jc w:val="both"/>
      </w:pPr>
      <w:r>
        <w:rPr>
          <w:b/>
        </w:rPr>
        <w:t xml:space="preserve">12.2.4.8.5. </w:t>
      </w:r>
      <w:r>
        <w:t>Uplinks de conectividade.</w:t>
      </w:r>
    </w:p>
    <w:p>
      <w:pPr>
        <w:jc w:val="both"/>
      </w:pPr>
      <w:r>
        <w:rPr>
          <w:b/>
        </w:rPr>
        <w:t xml:space="preserve">12.2.4.9. </w:t>
      </w:r>
      <w:r>
        <w:t>Cada servidor do cluster deverá possuir conexões redundantes simultâneas com ambos os switches de agregação, mediante utilização de múltiplas interfaces físicas distribuídas entre os equipamentos.</w:t>
      </w:r>
    </w:p>
    <w:p>
      <w:pPr>
        <w:jc w:val="both"/>
      </w:pPr>
      <w:r>
        <w:rPr>
          <w:b/>
        </w:rPr>
        <w:t xml:space="preserve">12.2.4.10. </w:t>
      </w:r>
      <w:r>
        <w:t>Os switches deverão suportar mecanismos de alta disponibilidade e balanceamento de tráfego, incluindo:</w:t>
      </w:r>
    </w:p>
    <w:p>
      <w:pPr>
        <w:jc w:val="both"/>
      </w:pPr>
      <w:r>
        <w:rPr>
          <w:b/>
        </w:rPr>
        <w:t xml:space="preserve">12.2.4.10.1. </w:t>
      </w:r>
      <w:r>
        <w:t>LACP;</w:t>
      </w:r>
    </w:p>
    <w:p>
      <w:pPr>
        <w:jc w:val="both"/>
      </w:pPr>
      <w:r>
        <w:rPr>
          <w:b/>
        </w:rPr>
        <w:t xml:space="preserve">12.2.4.10.2. </w:t>
      </w:r>
      <w:r>
        <w:t>MLAG, VSX, VLT, Stack Virtual ou tecnologia equivalente;</w:t>
      </w:r>
    </w:p>
    <w:p>
      <w:pPr>
        <w:jc w:val="both"/>
      </w:pPr>
      <w:r>
        <w:rPr>
          <w:b/>
        </w:rPr>
        <w:t xml:space="preserve">12.2.4.10.3. </w:t>
      </w:r>
      <w:r>
        <w:t>ECMP;</w:t>
      </w:r>
    </w:p>
    <w:p>
      <w:pPr>
        <w:jc w:val="both"/>
      </w:pPr>
      <w:r>
        <w:rPr>
          <w:b/>
        </w:rPr>
        <w:t xml:space="preserve">12.2.4.10.4. </w:t>
      </w:r>
      <w:r>
        <w:t>Jumbo Frames;</w:t>
      </w:r>
    </w:p>
    <w:p>
      <w:pPr>
        <w:jc w:val="both"/>
      </w:pPr>
      <w:r>
        <w:rPr>
          <w:b/>
        </w:rPr>
        <w:t xml:space="preserve">12.2.4.10.5. </w:t>
      </w:r>
      <w:r>
        <w:t>VLAN IEEE 802.1Q;</w:t>
      </w:r>
    </w:p>
    <w:p>
      <w:pPr>
        <w:jc w:val="both"/>
      </w:pPr>
      <w:r>
        <w:rPr>
          <w:b/>
        </w:rPr>
        <w:t xml:space="preserve">12.2.4.10.6. </w:t>
      </w:r>
      <w:r>
        <w:t>QoS;</w:t>
      </w:r>
    </w:p>
    <w:p>
      <w:pPr>
        <w:jc w:val="both"/>
      </w:pPr>
      <w:r>
        <w:rPr>
          <w:b/>
        </w:rPr>
        <w:t xml:space="preserve">12.2.4.10.7. </w:t>
      </w:r>
      <w:r>
        <w:t>Data Center Bridging (DCB), quando aplicável.</w:t>
      </w:r>
    </w:p>
    <w:p>
      <w:pPr>
        <w:jc w:val="both"/>
      </w:pPr>
      <w:r>
        <w:rPr>
          <w:b/>
        </w:rPr>
        <w:t xml:space="preserve">12.2.4.11. </w:t>
      </w:r>
      <w:r>
        <w:t>A solução deverá possuir arquitetura non-blocking.</w:t>
      </w:r>
    </w:p>
    <w:p>
      <w:pPr>
        <w:jc w:val="both"/>
      </w:pPr>
      <w:r>
        <w:rPr>
          <w:b/>
        </w:rPr>
        <w:t xml:space="preserve">12.2.4.12. </w:t>
      </w:r>
      <w:r>
        <w:t>Deverá possuir capacidade mínima de switching fabric de 1,6 Tbps.</w:t>
      </w:r>
    </w:p>
    <w:p>
      <w:pPr>
        <w:jc w:val="both"/>
      </w:pPr>
      <w:r>
        <w:rPr>
          <w:b/>
        </w:rPr>
        <w:t xml:space="preserve">12.2.4.13. </w:t>
      </w:r>
      <w:r>
        <w:t>Deverá possuir capacidade mínima de encaminhamento de 1 bilhão de pacotes por segundo (1 Bpps) ou superior.</w:t>
      </w:r>
    </w:p>
    <w:p>
      <w:pPr>
        <w:jc w:val="both"/>
      </w:pPr>
      <w:r>
        <w:rPr>
          <w:b/>
        </w:rPr>
        <w:t xml:space="preserve">12.2.4.14. </w:t>
      </w:r>
      <w:r>
        <w:t>Deverá possuir latência máxima de 3 μs para pacotes de 64 bytes.</w:t>
      </w:r>
    </w:p>
    <w:p>
      <w:pPr>
        <w:jc w:val="both"/>
      </w:pPr>
      <w:r>
        <w:rPr>
          <w:b/>
        </w:rPr>
        <w:t xml:space="preserve">12.2.4.15. </w:t>
      </w:r>
      <w:r>
        <w:t>Deverá possuir buffers dedicados adequados para ambientes de armazenamento distribuído e tráfego East-West intensivo, com capacidade mínima de 8 MB.</w:t>
      </w:r>
    </w:p>
    <w:p>
      <w:pPr>
        <w:jc w:val="both"/>
      </w:pPr>
      <w:r>
        <w:rPr>
          <w:b/>
        </w:rPr>
        <w:t xml:space="preserve">12.2.4.16. </w:t>
      </w:r>
      <w:r>
        <w:t>Deverá possuir suporte a empilhamento físico ou lógico, permitindo gerenciamento centralizado da infraestrutura através de endereço IP único ou tecnologia equivalente.</w:t>
      </w:r>
    </w:p>
    <w:p>
      <w:pPr>
        <w:jc w:val="both"/>
      </w:pPr>
      <w:r>
        <w:rPr>
          <w:b/>
        </w:rPr>
        <w:t xml:space="preserve">12.2.4.17. </w:t>
      </w:r>
      <w:r>
        <w:t>Deverá possuir fontes redundantes hot swap instaladas de fábrica.</w:t>
      </w:r>
    </w:p>
    <w:p>
      <w:pPr>
        <w:jc w:val="both"/>
      </w:pPr>
      <w:r>
        <w:rPr>
          <w:b/>
        </w:rPr>
        <w:t xml:space="preserve">12.2.4.18. </w:t>
      </w:r>
      <w:r>
        <w:t>Deverá possuir sistema de ventilação redundante hot swap.</w:t>
      </w:r>
    </w:p>
    <w:p>
      <w:pPr>
        <w:jc w:val="both"/>
      </w:pPr>
      <w:r>
        <w:rPr>
          <w:b/>
        </w:rPr>
        <w:t xml:space="preserve">12.2.4.19. </w:t>
      </w:r>
      <w:r>
        <w:t>As portas de comunicação deverão possuir suporte operacional pleno aos ambientes Linux corporativos, virtualização KVM/QEMU, Proxmox Virtual Environment e Ceph.</w:t>
      </w:r>
    </w:p>
    <w:p>
      <w:pPr>
        <w:jc w:val="both"/>
      </w:pPr>
      <w:r>
        <w:rPr>
          <w:b/>
        </w:rPr>
        <w:t xml:space="preserve">12.2.4.20. </w:t>
      </w:r>
      <w:r>
        <w:t>Funcionalidades mínimas de camada 2:</w:t>
      </w:r>
    </w:p>
    <w:p>
      <w:pPr>
        <w:jc w:val="both"/>
      </w:pPr>
      <w:r>
        <w:rPr>
          <w:b/>
        </w:rPr>
        <w:t xml:space="preserve">12.2.4.20.1. </w:t>
      </w:r>
      <w:r>
        <w:t>IEEE 802.1Q;</w:t>
      </w:r>
    </w:p>
    <w:p>
      <w:pPr>
        <w:jc w:val="both"/>
      </w:pPr>
      <w:r>
        <w:rPr>
          <w:b/>
        </w:rPr>
        <w:t xml:space="preserve">12.2.4.20.2. </w:t>
      </w:r>
      <w:r>
        <w:t>LACP;</w:t>
      </w:r>
    </w:p>
    <w:p>
      <w:pPr>
        <w:jc w:val="both"/>
      </w:pPr>
      <w:r>
        <w:rPr>
          <w:b/>
        </w:rPr>
        <w:t xml:space="preserve">12.2.4.20.3. </w:t>
      </w:r>
      <w:r>
        <w:t>LLDP;</w:t>
      </w:r>
    </w:p>
    <w:p>
      <w:pPr>
        <w:jc w:val="both"/>
      </w:pPr>
      <w:r>
        <w:rPr>
          <w:b/>
        </w:rPr>
        <w:t xml:space="preserve">12.2.4.20.4. </w:t>
      </w:r>
      <w:r>
        <w:t>STP;</w:t>
      </w:r>
    </w:p>
    <w:p>
      <w:pPr>
        <w:jc w:val="both"/>
      </w:pPr>
      <w:r>
        <w:rPr>
          <w:b/>
        </w:rPr>
        <w:t xml:space="preserve">12.2.4.20.5. </w:t>
      </w:r>
      <w:r>
        <w:t>RSTP;</w:t>
      </w:r>
    </w:p>
    <w:p>
      <w:pPr>
        <w:jc w:val="both"/>
      </w:pPr>
      <w:r>
        <w:rPr>
          <w:b/>
        </w:rPr>
        <w:t xml:space="preserve">12.2.4.20.6. </w:t>
      </w:r>
      <w:r>
        <w:t>MSTP;</w:t>
      </w:r>
    </w:p>
    <w:p>
      <w:pPr>
        <w:jc w:val="both"/>
      </w:pPr>
      <w:r>
        <w:rPr>
          <w:b/>
        </w:rPr>
        <w:t xml:space="preserve">12.2.4.20.7. </w:t>
      </w:r>
      <w:r>
        <w:t>Jumbo Frames com MTU mínima de 9.000 bytes;</w:t>
      </w:r>
    </w:p>
    <w:p>
      <w:pPr>
        <w:jc w:val="both"/>
      </w:pPr>
      <w:r>
        <w:rPr>
          <w:b/>
        </w:rPr>
        <w:t xml:space="preserve">12.2.4.20.8. </w:t>
      </w:r>
      <w:r>
        <w:t>Detecção de links unidirecionais;</w:t>
      </w:r>
    </w:p>
    <w:p>
      <w:pPr>
        <w:jc w:val="both"/>
      </w:pPr>
      <w:r>
        <w:rPr>
          <w:b/>
        </w:rPr>
        <w:t xml:space="preserve">12.2.4.20.9. </w:t>
      </w:r>
      <w:r>
        <w:t>Detecção de falha de uplink.</w:t>
      </w:r>
    </w:p>
    <w:p>
      <w:pPr>
        <w:jc w:val="both"/>
      </w:pPr>
      <w:r>
        <w:rPr>
          <w:b/>
        </w:rPr>
        <w:t xml:space="preserve">12.2.4.21. </w:t>
      </w:r>
      <w:r>
        <w:t>Funcionalidades mínimas de camada 3:</w:t>
      </w:r>
    </w:p>
    <w:p>
      <w:pPr>
        <w:jc w:val="both"/>
      </w:pPr>
      <w:r>
        <w:rPr>
          <w:b/>
        </w:rPr>
        <w:t xml:space="preserve">12.2.4.21.1. </w:t>
      </w:r>
      <w:r>
        <w:t>IPv4 e IPv6;</w:t>
      </w:r>
    </w:p>
    <w:p>
      <w:pPr>
        <w:jc w:val="both"/>
      </w:pPr>
      <w:r>
        <w:rPr>
          <w:b/>
        </w:rPr>
        <w:t xml:space="preserve">12.2.4.21.2. </w:t>
      </w:r>
      <w:r>
        <w:t>Roteamento estático;</w:t>
      </w:r>
    </w:p>
    <w:p>
      <w:pPr>
        <w:jc w:val="both"/>
      </w:pPr>
      <w:r>
        <w:rPr>
          <w:b/>
        </w:rPr>
        <w:t xml:space="preserve">12.2.4.21.3. </w:t>
      </w:r>
      <w:r>
        <w:t>OSPFv2;</w:t>
      </w:r>
    </w:p>
    <w:p>
      <w:pPr>
        <w:jc w:val="both"/>
      </w:pPr>
      <w:r>
        <w:rPr>
          <w:b/>
        </w:rPr>
        <w:t xml:space="preserve">12.2.4.21.4. </w:t>
      </w:r>
      <w:r>
        <w:t>OSPFv3;</w:t>
      </w:r>
    </w:p>
    <w:p>
      <w:pPr>
        <w:jc w:val="both"/>
      </w:pPr>
      <w:r>
        <w:rPr>
          <w:b/>
        </w:rPr>
        <w:t xml:space="preserve">12.2.4.21.5. </w:t>
      </w:r>
      <w:r>
        <w:t>BGP;</w:t>
      </w:r>
    </w:p>
    <w:p>
      <w:pPr>
        <w:jc w:val="both"/>
      </w:pPr>
      <w:r>
        <w:rPr>
          <w:b/>
        </w:rPr>
        <w:t xml:space="preserve">12.2.4.21.6. </w:t>
      </w:r>
      <w:r>
        <w:t>VRF-Lite;</w:t>
      </w:r>
    </w:p>
    <w:p>
      <w:pPr>
        <w:jc w:val="both"/>
      </w:pPr>
      <w:r>
        <w:rPr>
          <w:b/>
        </w:rPr>
        <w:t xml:space="preserve">12.2.4.21.7. </w:t>
      </w:r>
      <w:r>
        <w:t>ECMP;</w:t>
      </w:r>
    </w:p>
    <w:p>
      <w:pPr>
        <w:jc w:val="both"/>
      </w:pPr>
      <w:r>
        <w:rPr>
          <w:b/>
        </w:rPr>
        <w:t xml:space="preserve">12.2.4.21.8. </w:t>
      </w:r>
      <w:r>
        <w:t>PBR;</w:t>
      </w:r>
    </w:p>
    <w:p>
      <w:pPr>
        <w:jc w:val="both"/>
      </w:pPr>
      <w:r>
        <w:rPr>
          <w:b/>
        </w:rPr>
        <w:t xml:space="preserve">12.2.4.21.9. </w:t>
      </w:r>
      <w:r>
        <w:t>Multicast IGMP e PIM.</w:t>
      </w:r>
    </w:p>
    <w:p>
      <w:pPr>
        <w:jc w:val="both"/>
      </w:pPr>
      <w:r>
        <w:rPr>
          <w:b/>
        </w:rPr>
        <w:t xml:space="preserve">12.2.4.22. </w:t>
      </w:r>
      <w:r>
        <w:t>A solução deverá suportar mecanismos de atualização de firmware sem indisponibilidade total da malha de rede, incluindo ISSU ou tecnologia equivalente.</w:t>
      </w:r>
    </w:p>
    <w:p>
      <w:pPr>
        <w:jc w:val="both"/>
      </w:pPr>
      <w:r>
        <w:rPr>
          <w:b/>
        </w:rPr>
        <w:t xml:space="preserve">12.2.4.23. </w:t>
      </w:r>
      <w:r>
        <w:t>A solução deverá possuir recursos de automação, telemetria e monitoramento avançado compatíveis com ambientes de datacenter corporativo.</w:t>
      </w:r>
    </w:p>
    <w:p>
      <w:pPr>
        <w:jc w:val="both"/>
      </w:pPr>
      <w:r>
        <w:rPr>
          <w:b/>
        </w:rPr>
        <w:t xml:space="preserve">12.2.4.24. </w:t>
      </w:r>
      <w:r>
        <w:t>Funcionalidades mínimas de segurança:</w:t>
      </w:r>
    </w:p>
    <w:p>
      <w:pPr>
        <w:jc w:val="both"/>
      </w:pPr>
      <w:r>
        <w:rPr>
          <w:b/>
        </w:rPr>
        <w:t xml:space="preserve">12.2.4.24.1. </w:t>
      </w:r>
      <w:r>
        <w:t>ACL IPv4 e IPv6;</w:t>
      </w:r>
    </w:p>
    <w:p>
      <w:pPr>
        <w:jc w:val="both"/>
      </w:pPr>
      <w:r>
        <w:rPr>
          <w:b/>
        </w:rPr>
        <w:t xml:space="preserve">12.2.4.24.2. </w:t>
      </w:r>
      <w:r>
        <w:t>DHCP Snooping;</w:t>
      </w:r>
    </w:p>
    <w:p>
      <w:pPr>
        <w:jc w:val="both"/>
      </w:pPr>
      <w:r>
        <w:rPr>
          <w:b/>
        </w:rPr>
        <w:t xml:space="preserve">12.2.4.24.3. </w:t>
      </w:r>
      <w:r>
        <w:t>Dynamic ARP Inspection;</w:t>
      </w:r>
    </w:p>
    <w:p>
      <w:pPr>
        <w:jc w:val="both"/>
      </w:pPr>
      <w:r>
        <w:rPr>
          <w:b/>
        </w:rPr>
        <w:t xml:space="preserve">12.2.4.24.4. </w:t>
      </w:r>
      <w:r>
        <w:t>IP Source Guard;</w:t>
      </w:r>
    </w:p>
    <w:p>
      <w:pPr>
        <w:jc w:val="both"/>
      </w:pPr>
      <w:r>
        <w:rPr>
          <w:b/>
        </w:rPr>
        <w:t xml:space="preserve">12.2.4.24.5. </w:t>
      </w:r>
      <w:r>
        <w:t>Storm Control;</w:t>
      </w:r>
    </w:p>
    <w:p>
      <w:pPr>
        <w:jc w:val="both"/>
      </w:pPr>
      <w:r>
        <w:rPr>
          <w:b/>
        </w:rPr>
        <w:t xml:space="preserve">12.2.4.24.6. </w:t>
      </w:r>
      <w:r>
        <w:t>802.1X;</w:t>
      </w:r>
    </w:p>
    <w:p>
      <w:pPr>
        <w:jc w:val="both"/>
      </w:pPr>
      <w:r>
        <w:rPr>
          <w:b/>
        </w:rPr>
        <w:t xml:space="preserve">12.2.4.24.7. </w:t>
      </w:r>
      <w:r>
        <w:t>Proteção contra ataques L2 e L3.</w:t>
      </w:r>
    </w:p>
    <w:p>
      <w:pPr>
        <w:jc w:val="both"/>
      </w:pPr>
      <w:r>
        <w:rPr>
          <w:b/>
        </w:rPr>
        <w:t xml:space="preserve">12.2.4.25. </w:t>
      </w:r>
      <w:r>
        <w:t>Funcionalidades mínimas de gerenciamento:</w:t>
      </w:r>
    </w:p>
    <w:p>
      <w:pPr>
        <w:jc w:val="both"/>
      </w:pPr>
      <w:r>
        <w:rPr>
          <w:b/>
        </w:rPr>
        <w:t xml:space="preserve">12.2.4.25.1. </w:t>
      </w:r>
      <w:r>
        <w:t>CLI;</w:t>
      </w:r>
    </w:p>
    <w:p>
      <w:pPr>
        <w:jc w:val="both"/>
      </w:pPr>
      <w:r>
        <w:rPr>
          <w:b/>
        </w:rPr>
        <w:t xml:space="preserve">12.2.4.25.2. </w:t>
      </w:r>
      <w:r>
        <w:t>Interface Web;</w:t>
      </w:r>
    </w:p>
    <w:p>
      <w:pPr>
        <w:jc w:val="both"/>
      </w:pPr>
      <w:r>
        <w:rPr>
          <w:b/>
        </w:rPr>
        <w:t xml:space="preserve">12.2.4.25.3. </w:t>
      </w:r>
      <w:r>
        <w:t>API REST;</w:t>
      </w:r>
    </w:p>
    <w:p>
      <w:pPr>
        <w:jc w:val="both"/>
      </w:pPr>
      <w:r>
        <w:rPr>
          <w:b/>
        </w:rPr>
        <w:t xml:space="preserve">12.2.4.25.4. </w:t>
      </w:r>
      <w:r>
        <w:t>SNMP v1/v2c/v3;</w:t>
      </w:r>
    </w:p>
    <w:p>
      <w:pPr>
        <w:jc w:val="both"/>
      </w:pPr>
      <w:r>
        <w:rPr>
          <w:b/>
        </w:rPr>
        <w:t xml:space="preserve">12.2.4.25.5. </w:t>
      </w:r>
      <w:r>
        <w:t>Syslog;</w:t>
      </w:r>
    </w:p>
    <w:p>
      <w:pPr>
        <w:jc w:val="both"/>
      </w:pPr>
      <w:r>
        <w:rPr>
          <w:b/>
        </w:rPr>
        <w:t xml:space="preserve">12.2.4.25.6. </w:t>
      </w:r>
      <w:r>
        <w:t>NetFlow ou sFlow;</w:t>
      </w:r>
    </w:p>
    <w:p>
      <w:pPr>
        <w:jc w:val="both"/>
      </w:pPr>
      <w:r>
        <w:rPr>
          <w:b/>
        </w:rPr>
        <w:t xml:space="preserve">12.2.4.25.7. </w:t>
      </w:r>
      <w:r>
        <w:t>Compatibilidade com automação via Ansible, Python ou equivalente.</w:t>
      </w:r>
    </w:p>
    <w:p>
      <w:pPr>
        <w:jc w:val="both"/>
      </w:pPr>
      <w:r>
        <w:rPr>
          <w:b/>
        </w:rPr>
        <w:t xml:space="preserve">12.2.4.26. </w:t>
      </w:r>
      <w:r>
        <w:t>Os switches deverão ser fornecidos com todas as licenças necessárias ao pleno funcionamento das funcionalidades exigidas neste Termo de Referência, sem necessidade de contratação adicional futura para habilitação dos recursos especificados.</w:t>
      </w:r>
    </w:p>
    <w:p>
      <w:pPr>
        <w:jc w:val="both"/>
      </w:pPr>
      <w:r>
        <w:rPr>
          <w:b/>
        </w:rPr>
        <w:t xml:space="preserve">12.2.4.27. </w:t>
      </w:r>
      <w:r>
        <w:t>A CONTRATADA deverá fornecer todos os acessórios necessários à plena instalação e funcionamento da solução, incluindo:</w:t>
      </w:r>
    </w:p>
    <w:p>
      <w:pPr>
        <w:jc w:val="both"/>
      </w:pPr>
      <w:r>
        <w:rPr>
          <w:b/>
        </w:rPr>
        <w:t xml:space="preserve">12.2.4.27.1. </w:t>
      </w:r>
      <w:r>
        <w:t>Cabos DAC;</w:t>
      </w:r>
    </w:p>
    <w:p>
      <w:pPr>
        <w:jc w:val="both"/>
      </w:pPr>
      <w:r>
        <w:rPr>
          <w:b/>
        </w:rPr>
        <w:t xml:space="preserve">12.2.4.27.2. </w:t>
      </w:r>
      <w:r>
        <w:t>Transceptores ópticos;</w:t>
      </w:r>
    </w:p>
    <w:p>
      <w:pPr>
        <w:jc w:val="both"/>
      </w:pPr>
      <w:r>
        <w:rPr>
          <w:b/>
        </w:rPr>
        <w:t xml:space="preserve">12.2.4.27.3. </w:t>
      </w:r>
      <w:r>
        <w:t>Kits de fixação em rack;</w:t>
      </w:r>
    </w:p>
    <w:p>
      <w:pPr>
        <w:jc w:val="both"/>
      </w:pPr>
      <w:r>
        <w:rPr>
          <w:b/>
        </w:rPr>
        <w:t xml:space="preserve">12.2.4.27.4. </w:t>
      </w:r>
      <w:r>
        <w:t>Cabos de alimentação;</w:t>
      </w:r>
    </w:p>
    <w:p>
      <w:pPr>
        <w:jc w:val="both"/>
      </w:pPr>
      <w:r>
        <w:rPr>
          <w:b/>
        </w:rPr>
        <w:t xml:space="preserve">12.2.4.27.5. </w:t>
      </w:r>
      <w:r>
        <w:t>Cabos de console;</w:t>
      </w:r>
    </w:p>
    <w:p>
      <w:pPr>
        <w:jc w:val="both"/>
      </w:pPr>
      <w:r>
        <w:rPr>
          <w:b/>
        </w:rPr>
        <w:t xml:space="preserve">12.2.4.27.6. </w:t>
      </w:r>
      <w:r>
        <w:t>Documentação técnica oficial do fabricante.</w:t>
      </w:r>
    </w:p>
    <w:p>
      <w:pPr>
        <w:jc w:val="both"/>
      </w:pPr>
      <w:r>
        <w:rPr>
          <w:b/>
        </w:rPr>
        <w:t xml:space="preserve">12.2.4.28. </w:t>
      </w:r>
      <w:r>
        <w:t>Todos os transceptores, DACs, módulos ópticos e acessórios fornecidos deverão ser homologados e oficialmente suportados pelo fabricante do switch ofertado, não sendo admitidos componentes genéricos, paralelos ou sem suporte oficial.</w:t>
      </w:r>
    </w:p>
    <w:p>
      <w:pPr>
        <w:jc w:val="both"/>
      </w:pPr>
      <w:r>
        <w:rPr>
          <w:b/>
        </w:rPr>
        <w:t xml:space="preserve">12.3. </w:t>
      </w:r>
      <w:r>
        <w:t>CONDIÇÕES CONTRATUAIS</w:t>
      </w:r>
    </w:p>
    <w:p>
      <w:pPr>
        <w:jc w:val="both"/>
      </w:pPr>
      <w:r>
        <w:rPr>
          <w:b/>
        </w:rPr>
        <w:t xml:space="preserve">12.3.1. </w:t>
      </w:r>
      <w:r>
        <w:t>ENTREGA</w:t>
      </w:r>
    </w:p>
    <w:p>
      <w:pPr>
        <w:jc w:val="both"/>
      </w:pPr>
      <w:r>
        <w:rPr>
          <w:b/>
        </w:rPr>
        <w:t xml:space="preserve">12.3.1.1. </w:t>
      </w:r>
      <w:r>
        <w:t>Os equipamentos e manuais técnicos especificados no item 12.3 e subitens, deverá(ao) ser entregue(s) no locao R. Iaiá, 126 - Itaim Bibi, São Paulo - SP, 04542-906,</w:t>
      </w:r>
    </w:p>
    <w:p>
      <w:pPr>
        <w:jc w:val="both"/>
      </w:pPr>
      <w:r>
        <w:rPr>
          <w:b/>
        </w:rPr>
        <w:t xml:space="preserve">12.3.1.2. </w:t>
      </w:r>
      <w:r>
        <w:t>O prazo máximo de entrega dos produtos e manuais técnicos especificados no item 12.3 e subitens é de 60 dias a contar da data de assinatura do pedido de compra.</w:t>
      </w:r>
    </w:p>
    <w:p>
      <w:pPr>
        <w:jc w:val="both"/>
      </w:pPr>
      <w:r>
        <w:rPr>
          <w:b/>
        </w:rPr>
        <w:t xml:space="preserve">12.3.2. </w:t>
      </w:r>
      <w:r>
        <w:t>INSTALAÇÃO</w:t>
      </w:r>
    </w:p>
    <w:p>
      <w:pPr>
        <w:jc w:val="both"/>
      </w:pPr>
      <w:r>
        <w:rPr>
          <w:b/>
        </w:rPr>
        <w:t xml:space="preserve">12.3.2.1. </w:t>
      </w:r>
      <w:r>
        <w:t>É de responsabilidade da CONTRATANTE a instalação dos produtos especificados neste anexo;</w:t>
      </w:r>
    </w:p>
    <w:p>
      <w:pPr>
        <w:jc w:val="both"/>
      </w:pPr>
      <w:r>
        <w:rPr>
          <w:b/>
        </w:rPr>
        <w:t xml:space="preserve">12.3.2.2. </w:t>
      </w:r>
      <w:r>
        <w:t>A CONTRATADA obriga-se, caso solicitado pela CONTRATANTE, a prestar suporte técnico remoto na instalação dos produtos especificados neste anexo;</w:t>
      </w:r>
    </w:p>
    <w:p>
      <w:pPr>
        <w:jc w:val="both"/>
      </w:pPr>
      <w:r>
        <w:rPr>
          <w:b/>
        </w:rPr>
        <w:t xml:space="preserve">12.3.2.3. </w:t>
      </w:r>
      <w:r>
        <w:t>Os produtos especificados neste anexo serão instalados no âmbito do Estado de São Paulo.</w:t>
      </w:r>
    </w:p>
    <w:p>
      <w:pPr>
        <w:jc w:val="both"/>
      </w:pPr>
      <w:r>
        <w:rPr>
          <w:b/>
        </w:rPr>
        <w:t xml:space="preserve">12.3.3. </w:t>
      </w:r>
      <w:r>
        <w:t>RECEBIMENTO PROVISÓRIO E ACEITE DEFINITIVO</w:t>
      </w:r>
    </w:p>
    <w:p>
      <w:pPr>
        <w:jc w:val="both"/>
      </w:pPr>
      <w:r>
        <w:rPr>
          <w:b/>
        </w:rPr>
        <w:t xml:space="preserve">12.3.3.1. </w:t>
      </w:r>
      <w:r>
        <w:t>A CONTRATANTE realizará o recebimento provisório dos produtos, no ato da entrega, nos locais e endereços indicados e acompanhados da sua respectiva nota fiscal/fatura.</w:t>
      </w:r>
    </w:p>
    <w:p>
      <w:pPr>
        <w:jc w:val="both"/>
      </w:pPr>
      <w:r>
        <w:rPr>
          <w:b/>
        </w:rPr>
        <w:t xml:space="preserve">12.3.3.2. </w:t>
      </w:r>
      <w:r>
        <w:t>A CONTRATANTE emitirá o termo de aceite após a constatação de que os nomes e modelos dos produtos fornecidos correspondem aos propostos e que estes atendem às especificações técnicas básicas requeridas na contratação;</w:t>
      </w:r>
    </w:p>
    <w:p>
      <w:pPr>
        <w:jc w:val="both"/>
      </w:pPr>
      <w:r>
        <w:rPr>
          <w:b/>
        </w:rPr>
        <w:t xml:space="preserve">12.3.3.3. </w:t>
      </w:r>
      <w:r>
        <w:t>O prazo máximo para emissão do termo de aceite dos produtos especificados neste anexo é de 15 dias a contar da data de entrega destes. Caso os produtos apresentem defeito ou não atendam às especificações técnicas básicas requeridas, o prazo de aceite será reiniciado após a solução dos problemas detectados;</w:t>
      </w:r>
    </w:p>
    <w:p>
      <w:pPr>
        <w:jc w:val="both"/>
      </w:pPr>
      <w:r>
        <w:rPr>
          <w:b/>
        </w:rPr>
        <w:t xml:space="preserve">12.3.3.4. </w:t>
      </w:r>
      <w:r>
        <w:t>O prazo máximo para a CONTRATADA solucionar os problemas reportados é de 05 (cinco) dias a contar do comunicado da CONTRATANTE;</w:t>
      </w:r>
    </w:p>
    <w:p>
      <w:pPr>
        <w:jc w:val="both"/>
      </w:pPr>
      <w:r>
        <w:rPr>
          <w:b/>
        </w:rPr>
        <w:t xml:space="preserve">12.3.3.5. </w:t>
      </w:r>
      <w:r>
        <w:t>Caso haja reincidência dos problemas reportados o aceite será novamente interrompido e a CONTRATADA será comunicada para substituir os produtos com defeito por outros novos, no prazo máximo de 05 (cinco) dias.</w:t>
      </w:r>
    </w:p>
    <w:p>
      <w:pPr>
        <w:jc w:val="both"/>
      </w:pPr>
      <w:r>
        <w:rPr>
          <w:b/>
        </w:rPr>
        <w:t xml:space="preserve">12.3.4. </w:t>
      </w:r>
      <w:r>
        <w:t>GARANTIA E ASSISTÊNCIA TÉCNICA</w:t>
      </w:r>
    </w:p>
    <w:p>
      <w:pPr>
        <w:jc w:val="both"/>
      </w:pPr>
      <w:r>
        <w:rPr>
          <w:b/>
        </w:rPr>
        <w:t xml:space="preserve">12.3.4.1. </w:t>
      </w:r>
      <w:r>
        <w:t>O prazo mínimo de garantia dos equipamentos especificados no 12.3 e subitens é de 60 meses a contar da data de aceite destes.</w:t>
      </w:r>
    </w:p>
    <w:p>
      <w:pPr>
        <w:jc w:val="both"/>
      </w:pPr>
      <w:r>
        <w:rPr>
          <w:b/>
        </w:rPr>
        <w:t xml:space="preserve">12.3.4.2. </w:t>
      </w:r>
      <w:r>
        <w:t>Durante o prazo de garantia, a CONTRATADA deverá ser substituído sem ônus para a CONTRATANTE, a parte ou peça defeituosa, exceto quando o defeito for provocado por uso inadequado dos equipamentos.</w:t>
      </w:r>
    </w:p>
    <w:p>
      <w:pPr>
        <w:jc w:val="both"/>
      </w:pPr>
      <w:r>
        <w:rPr>
          <w:b/>
        </w:rPr>
        <w:t xml:space="preserve">12.3.4.3. </w:t>
      </w:r>
      <w:r>
        <w:t>Durante o período de garantia, a CONTRATADA deverá garantir a troca de todo e qualquer tipo de disco/SSD fornecidosno 12.3 e subitens, em caso de desgastes ou fim de vida útil, sem ônus à CONTRATANTE</w:t>
      </w:r>
    </w:p>
    <w:p>
      <w:pPr>
        <w:jc w:val="both"/>
      </w:pPr>
      <w:r>
        <w:rPr>
          <w:b/>
        </w:rPr>
        <w:t xml:space="preserve">12.3.4.4. </w:t>
      </w:r>
      <w:r>
        <w:t>Os serviços de reparo dos equipamentos especificados no item 12.3 e subitens, deverão ser executados no local de uso dos equipamentos (ON-SITE) ou na impossibilidade, no centro de manutenção da CONTRATADA.</w:t>
      </w:r>
    </w:p>
    <w:p>
      <w:pPr>
        <w:jc w:val="both"/>
      </w:pPr>
      <w:r>
        <w:rPr>
          <w:b/>
        </w:rPr>
        <w:t xml:space="preserve">12.3.4.5. </w:t>
      </w:r>
      <w:r>
        <w:t>O prazo máximo para atendimento e reparo/solução do(s) problema(s) que ocasionou(aram) o chamado dos equipamentos especificados no item 12.3 e subitens, contado a partir da abertura do chamado e dentro do período de disponibilidade é de 6 horas para os equipamentos instalados na Capital de São Paulo e Grande São Paulo.</w:t>
      </w:r>
    </w:p>
    <w:p>
      <w:pPr>
        <w:jc w:val="both"/>
      </w:pPr>
      <w:r>
        <w:rPr>
          <w:b/>
        </w:rPr>
        <w:t xml:space="preserve">12.3.4.6. </w:t>
      </w:r>
      <w:r>
        <w:t>O prazo máximo para atendimento e reparo/solução do(s) problema(s) que ocasionou(aram) o chamado dos equipamentos especificados no item 12.3 e subitens, contado a partir da abertura do chamado e dentro do período de disponibilidade é de 12 horas para os equipamentos instalados no Interior São Paulo.</w:t>
      </w:r>
    </w:p>
    <w:p>
      <w:pPr>
        <w:jc w:val="both"/>
      </w:pPr>
      <w:r>
        <w:rPr>
          <w:b/>
        </w:rPr>
        <w:t xml:space="preserve">12.3.4.7. </w:t>
      </w:r>
      <w:r>
        <w:t>Caso o reparo/solução dos equipamentos especificados no item 12.13 e subitens não sejam solucionados no prazo máximo estipulado, a Contratada deverá colocar à disposição um equipamento idêntico ou no mínimo equivalente. Se o problema não for solucionado no prazo máximo de 30 (trinta) dias corridos, o EQUIPAMENTO deverá ser substituído definitivamente por um novo, abrindo-se, para isso, novo período de garantia, a partir da data do seu recebimento definitivo.</w:t>
      </w:r>
    </w:p>
    <w:p>
      <w:pPr>
        <w:jc w:val="both"/>
      </w:pPr>
      <w:r>
        <w:rPr>
          <w:b/>
        </w:rPr>
        <w:t xml:space="preserve">12.3.4.8. </w:t>
      </w:r>
      <w:r>
        <w:t>O período de disponibilidade para chamada dos serviços de manutenção dos equipamentos especificados no item 12.3 e subitens, é de 24 horas de Segunda a Domingo.</w:t>
      </w:r>
    </w:p>
    <w:p>
      <w:pPr>
        <w:jc w:val="both"/>
      </w:pPr>
      <w:r>
        <w:rPr>
          <w:b/>
        </w:rPr>
        <w:t xml:space="preserve">12.3.4.8.1. </w:t>
      </w:r>
      <w:r>
        <w:t>Com o objetivo de manter os equipamentos fornecidos em boas condições de funcionamento ou restabelecê-lo a tais condições, a CONTRATADA prestará serviços de assistência técnica on site durante o Período de Disponibilidade estabelecido;</w:t>
      </w:r>
    </w:p>
    <w:p>
      <w:pPr>
        <w:jc w:val="both"/>
      </w:pPr>
      <w:r>
        <w:rPr>
          <w:b/>
        </w:rPr>
        <w:t xml:space="preserve">12.3.4.9. </w:t>
      </w:r>
      <w:r>
        <w:t>A CONTRATADA deverá assegurar a assistência técnica necessária à satisfatória utilização dos equipamentos, no que consiste à manutenção de hardware e atualização de firmwares internos dos equipamentos;</w:t>
      </w:r>
    </w:p>
    <w:p>
      <w:pPr>
        <w:jc w:val="both"/>
      </w:pPr>
      <w:r>
        <w:rPr>
          <w:b/>
        </w:rPr>
        <w:t xml:space="preserve">12.3.4.10. </w:t>
      </w:r>
      <w:r>
        <w:t>A CONTRATADA deverá disponibilizar acesso automático às documentações e às versões de manutenção e atualizações dos firmwares dos EQUIPAMENTOS, via portal web Internet do fabricante, sob demanda, sem ônus adicional à CONTRATANTE;</w:t>
      </w:r>
    </w:p>
    <w:p>
      <w:pPr>
        <w:jc w:val="both"/>
      </w:pPr>
      <w:r>
        <w:rPr>
          <w:b/>
        </w:rPr>
        <w:t xml:space="preserve">12.3.4.11. </w:t>
      </w:r>
      <w:r>
        <w:t>A CONTRATADA deve ter acesso direto ao suporte técnico especializado on site do fabricante dos EQUIPAMENTOS (technical assistance center), 24 horas por dia, 7 dias por semana, em todos os dias do ano via telefone e e-mail, para solução de problemas e encaminhamento de problemas ao setor competente do fabricante dos EQUIPAMENTOS;</w:t>
      </w:r>
    </w:p>
    <w:p>
      <w:pPr>
        <w:jc w:val="both"/>
      </w:pPr>
      <w:r>
        <w:rPr>
          <w:b/>
        </w:rPr>
        <w:t xml:space="preserve">12.3.4.12. </w:t>
      </w:r>
      <w:r>
        <w:t>Os serviços de assistência técnica on site deverão ser executados por técnicos treinados e certificados, com qualificação técnica para diagnóstico e solução dos problemas, bem como para substituição das peças e reconfiguração dos equipamentos. O atendimento poderá ser iniciado através de contato telefônico (0800) realizado pela CONTRATANTE, no qual, com a colaboração da equipe de TI da CONTRATANTE ou através de call home configurado, se identificará o problema do equipamento. Caso seja identificado nesta fase de diagnóstico, a necessidade de troca de peças, será acionado imediatamente o atendimento on-site.</w:t>
      </w:r>
    </w:p>
    <w:p>
      <w:pPr>
        <w:jc w:val="both"/>
      </w:pPr>
      <w:r>
        <w:rPr>
          <w:b/>
        </w:rPr>
        <w:t xml:space="preserve">12.3.4.13. </w:t>
      </w:r>
      <w:r>
        <w:t>A assistência técnica deve cobrir atendimento telefônico, sem limitação, durante a vigência da garantia;</w:t>
      </w:r>
    </w:p>
    <w:p>
      <w:pPr>
        <w:jc w:val="both"/>
      </w:pPr>
      <w:r>
        <w:rPr>
          <w:b/>
        </w:rPr>
        <w:t xml:space="preserve">12.3.4.14. </w:t>
      </w:r>
      <w:r>
        <w:t>Todas as peças serão fornecidas à base de permuta, sendo que a reposição deverá ser feita por peças novas homologadas pelo fabricante dos equipamentos, de especificações idênticas ou superiores às substituídas, como tipo, configuração e capacidade;</w:t>
      </w:r>
    </w:p>
    <w:p>
      <w:pPr>
        <w:jc w:val="both"/>
      </w:pPr>
      <w:r>
        <w:rPr>
          <w:b/>
        </w:rPr>
        <w:t xml:space="preserve">12.3.4.15. </w:t>
      </w:r>
      <w:r>
        <w:t>A CONTRATADA prestará os serviços de garantia nos equipamentos, independentemente dos acessórios ou outros equipamentos que estejam, a estes, conectados;</w:t>
      </w:r>
    </w:p>
    <w:p>
      <w:pPr>
        <w:jc w:val="both"/>
      </w:pPr>
      <w:r>
        <w:rPr>
          <w:b/>
        </w:rPr>
        <w:t xml:space="preserve">12.3.4.16. </w:t>
      </w:r>
      <w:r>
        <w:t>A CONTRATADA providenciará, a qualquer tempo, revisões de engenharia que forem classificadas como mandatárias pelo fabricante dos equipamentos, durante a vigência da garantia;</w:t>
      </w:r>
    </w:p>
    <w:p>
      <w:pPr>
        <w:jc w:val="both"/>
      </w:pPr>
      <w:r>
        <w:rPr>
          <w:b/>
        </w:rPr>
        <w:t xml:space="preserve">12.3.4.17. </w:t>
      </w:r>
      <w:r>
        <w:t>A CONTRATADA prestará serviço de suporte técnico à configuração dos equipamentos que caracterizem adequação das instalações ou melhoria no desempenho, em termos de segurança, produtividade, contingência ou outros benefícios. Isto poderá ocorrer por iniciativa de ambas as partes.</w:t>
      </w:r>
    </w:p>
    <w:p>
      <w:pPr>
        <w:jc w:val="both"/>
      </w:pPr>
      <w:r>
        <w:rPr>
          <w:b/>
        </w:rPr>
        <w:t xml:space="preserve">12.4. </w:t>
      </w:r>
      <w:r>
        <w:t>ACORDO DE NÍVEL DE SERVIÇO (SLA)</w:t>
      </w:r>
    </w:p>
    <w:p>
      <w:pPr>
        <w:jc w:val="both"/>
      </w:pPr>
      <w:r>
        <w:rPr>
          <w:b/>
        </w:rPr>
        <w:t xml:space="preserve">12.4.1. </w:t>
      </w:r>
      <w:r>
        <w:t>A CONTRATADA deverá prestar suporte técnico especializado para todos os equipamentos, softwares, componentes e demais ativos integrantes da solução fornecida, em regime 24x7x365 (vinte e quatro horas por dia, sete dias por semana, inclusive feriados).</w:t>
      </w:r>
    </w:p>
    <w:p>
      <w:pPr>
        <w:jc w:val="both"/>
      </w:pPr>
      <w:r>
        <w:rPr>
          <w:b/>
        </w:rPr>
        <w:t xml:space="preserve">12.4.2. </w:t>
      </w:r>
      <w:r>
        <w:t>Todos os chamados técnicos deverão possuir registro formal contendo, no mínimo, número identificador, data e horário de abertura, classificação de severidade, histórico de atendimento, data e horário de encerramento e responsável técnico pelo atendimento.</w:t>
      </w:r>
    </w:p>
    <w:p>
      <w:pPr>
        <w:jc w:val="both"/>
      </w:pPr>
      <w:r>
        <w:rPr>
          <w:b/>
        </w:rPr>
        <w:t xml:space="preserve">12.4.3. </w:t>
      </w:r>
      <w:r>
        <w:t>Os chamados técnicos deverão observar a seguinte classificação de severidade:</w:t>
      </w:r>
    </w:p>
    <w:p>
      <w:pPr>
        <w:jc w:val="both"/>
      </w:pPr>
      <w:r>
        <w:rPr>
          <w:b/>
        </w:rPr>
        <w:t xml:space="preserve">12.4.3.1. </w:t>
      </w:r>
      <w:r>
        <w:t>SEVERIDADE 1 - CRÍTICA</w:t>
      </w:r>
    </w:p>
    <w:p>
      <w:pPr>
        <w:jc w:val="both"/>
      </w:pPr>
      <w:r>
        <w:rPr>
          <w:b/>
        </w:rPr>
        <w:t xml:space="preserve">12.4.3.1.1. </w:t>
      </w:r>
      <w:r>
        <w:t>Caracteriza incidente que provoque indisponibilidade total do ambiente computacional, indisponibilidade total do cluster, indisponibilidade do armazenamento distribuído, risco de perda de dados institucionais ou paralisação de serviços críticos da CONTRATANTE.</w:t>
      </w:r>
    </w:p>
    <w:p>
      <w:pPr>
        <w:jc w:val="both"/>
      </w:pPr>
      <w:r>
        <w:rPr>
          <w:b/>
        </w:rPr>
        <w:t xml:space="preserve">12.4.3.1.2. </w:t>
      </w:r>
      <w:r>
        <w:t>Tempo máximo para atendimento inicial: 30 (trinta) minutos.</w:t>
      </w:r>
    </w:p>
    <w:p>
      <w:pPr>
        <w:jc w:val="both"/>
      </w:pPr>
      <w:r>
        <w:rPr>
          <w:b/>
        </w:rPr>
        <w:t xml:space="preserve">12.4.3.1.3. </w:t>
      </w:r>
      <w:r>
        <w:t>Tempo máximo para início efetivo da atuação técnica: 01 (uma) hora.</w:t>
      </w:r>
    </w:p>
    <w:p>
      <w:pPr>
        <w:jc w:val="both"/>
      </w:pPr>
      <w:r>
        <w:rPr>
          <w:b/>
        </w:rPr>
        <w:t xml:space="preserve">12.4.3.1.4. </w:t>
      </w:r>
      <w:r>
        <w:t>Tempo máximo para solução definitiva: 04 (quatro) horas.</w:t>
      </w:r>
    </w:p>
    <w:p>
      <w:pPr>
        <w:jc w:val="both"/>
      </w:pPr>
      <w:r>
        <w:rPr>
          <w:b/>
        </w:rPr>
        <w:t xml:space="preserve">12.4.3.2. </w:t>
      </w:r>
      <w:r>
        <w:t>SEVERIDADE 2 - ALTA</w:t>
      </w:r>
    </w:p>
    <w:p>
      <w:pPr>
        <w:jc w:val="both"/>
      </w:pPr>
      <w:r>
        <w:rPr>
          <w:b/>
        </w:rPr>
        <w:t xml:space="preserve">12.4.3.2.1. </w:t>
      </w:r>
      <w:r>
        <w:t>Caracteriza incidente que provoque degradação severa de desempenho, perda de redundância operacional, indisponibilidade parcial da solução ou falha de componentes críticos sem paralisação integral do ambiente.</w:t>
      </w:r>
    </w:p>
    <w:p>
      <w:pPr>
        <w:jc w:val="both"/>
      </w:pPr>
      <w:r>
        <w:rPr>
          <w:b/>
        </w:rPr>
        <w:t xml:space="preserve">12.4.3.2.2. </w:t>
      </w:r>
      <w:r>
        <w:t>Tempo máximo para atendimento inicial: 01 (uma) hora.</w:t>
      </w:r>
    </w:p>
    <w:p>
      <w:pPr>
        <w:jc w:val="both"/>
      </w:pPr>
      <w:r>
        <w:rPr>
          <w:b/>
        </w:rPr>
        <w:t xml:space="preserve">12.4.3.2.3. </w:t>
      </w:r>
      <w:r>
        <w:t>Tempo máximo para solução definitiva: 08 (oito) horas.</w:t>
      </w:r>
    </w:p>
    <w:p>
      <w:pPr>
        <w:jc w:val="both"/>
      </w:pPr>
      <w:r>
        <w:rPr>
          <w:b/>
        </w:rPr>
        <w:t xml:space="preserve">12.4.3.3. </w:t>
      </w:r>
      <w:r>
        <w:t>SEVERIDADE 3 - MÉDIA</w:t>
      </w:r>
    </w:p>
    <w:p>
      <w:pPr>
        <w:jc w:val="both"/>
      </w:pPr>
      <w:r>
        <w:rPr>
          <w:b/>
        </w:rPr>
        <w:t xml:space="preserve">12.4.3.3.1. </w:t>
      </w:r>
      <w:r>
        <w:t>Caracteriza incidente sem indisponibilidade crítica, incluindo falhas de componentes redundantes, alertas de hardware, degradação moderada de desempenho ou falhas administrativas da solução.</w:t>
      </w:r>
    </w:p>
    <w:p>
      <w:pPr>
        <w:jc w:val="both"/>
      </w:pPr>
      <w:r>
        <w:rPr>
          <w:b/>
        </w:rPr>
        <w:t xml:space="preserve">12.4.3.3.2. </w:t>
      </w:r>
      <w:r>
        <w:t>Tempo máximo para atendimento inicial: 04 (quatro) horas.</w:t>
      </w:r>
    </w:p>
    <w:p>
      <w:pPr>
        <w:jc w:val="both"/>
      </w:pPr>
      <w:r>
        <w:rPr>
          <w:b/>
        </w:rPr>
        <w:t xml:space="preserve">12.4.3.3.3. </w:t>
      </w:r>
      <w:r>
        <w:t>Tempo máximo para solução definitiva: 24 (vinte e quatro) horas.</w:t>
      </w:r>
    </w:p>
    <w:p>
      <w:pPr>
        <w:jc w:val="both"/>
      </w:pPr>
      <w:r>
        <w:rPr>
          <w:b/>
        </w:rPr>
        <w:t xml:space="preserve">12.4.3.4. </w:t>
      </w:r>
      <w:r>
        <w:t>SEVERIDADE 4 - BAIXA</w:t>
      </w:r>
    </w:p>
    <w:p>
      <w:pPr>
        <w:jc w:val="both"/>
      </w:pPr>
      <w:r>
        <w:rPr>
          <w:b/>
        </w:rPr>
        <w:t xml:space="preserve">12.4.3.4.1. </w:t>
      </w:r>
      <w:r>
        <w:t>Caracteriza solicitações administrativas, dúvidas técnicas, ajustes operacionais, manutenções programadas ou incidentes sem impacto relevante na operação da CONTRATANTE.</w:t>
      </w:r>
    </w:p>
    <w:p>
      <w:pPr>
        <w:jc w:val="both"/>
      </w:pPr>
      <w:r>
        <w:rPr>
          <w:b/>
        </w:rPr>
        <w:t xml:space="preserve">12.4.3.4.2. </w:t>
      </w:r>
      <w:r>
        <w:t>Tempo máximo para atendimento inicial: 01 (um) dia útil.</w:t>
      </w:r>
    </w:p>
    <w:p>
      <w:pPr>
        <w:jc w:val="both"/>
      </w:pPr>
      <w:r>
        <w:rPr>
          <w:b/>
        </w:rPr>
        <w:t xml:space="preserve">12.4.3.4.3. </w:t>
      </w:r>
      <w:r>
        <w:t>Tempo máximo para solução definitiva: 05 (cinco) dias úteis.</w:t>
      </w:r>
    </w:p>
    <w:p>
      <w:pPr>
        <w:jc w:val="both"/>
      </w:pPr>
      <w:r>
        <w:rPr>
          <w:b/>
        </w:rPr>
        <w:t xml:space="preserve">12.4.4. </w:t>
      </w:r>
      <w:r>
        <w:t>A solução deverá possuir disponibilidade operacional mínima mensal de:</w:t>
      </w:r>
    </w:p>
    <w:p>
      <w:pPr>
        <w:jc w:val="both"/>
      </w:pPr>
      <w:r>
        <w:rPr>
          <w:b/>
        </w:rPr>
        <w:t xml:space="preserve">12.4.4.1. </w:t>
      </w:r>
      <w:r>
        <w:t>99,95% (noventa e nove vírgula noventa e cinco por cento) para o ambiente de virtualização e armazenamento;</w:t>
      </w:r>
    </w:p>
    <w:p>
      <w:pPr>
        <w:jc w:val="both"/>
      </w:pPr>
      <w:r>
        <w:rPr>
          <w:b/>
        </w:rPr>
        <w:t xml:space="preserve">12.4.4.2. </w:t>
      </w:r>
      <w:r>
        <w:t>99,90% (noventa e nove vírgula noventa por cento) para o ambiente de backup corporativo;</w:t>
      </w:r>
    </w:p>
    <w:p>
      <w:pPr>
        <w:jc w:val="both"/>
      </w:pPr>
      <w:r>
        <w:rPr>
          <w:b/>
        </w:rPr>
        <w:t xml:space="preserve">12.4.4.3. </w:t>
      </w:r>
      <w:r>
        <w:t>99,90% (noventa e nove vírgula noventa por cento) para a infraestrutura elétrica protegida.</w:t>
      </w:r>
    </w:p>
    <w:p>
      <w:pPr>
        <w:jc w:val="both"/>
      </w:pPr>
      <w:r>
        <w:rPr>
          <w:b/>
        </w:rPr>
        <w:t xml:space="preserve">12.4.5. </w:t>
      </w:r>
      <w:r>
        <w:t>Os componentes defeituosos deverão ser substituídos por peças novas, originais e compatíveis com a solução ofertada, observando-se os seguintes prazos máximos:</w:t>
      </w:r>
    </w:p>
    <w:p>
      <w:pPr>
        <w:jc w:val="both"/>
      </w:pPr>
      <w:r>
        <w:rPr>
          <w:b/>
        </w:rPr>
        <w:t xml:space="preserve">12.4.5.1. </w:t>
      </w:r>
      <w:r>
        <w:t>04 (quatro) horas para SSD/NVMe, memória RAM, fontes redundantes e interfaces de rede;</w:t>
      </w:r>
    </w:p>
    <w:p>
      <w:pPr>
        <w:jc w:val="both"/>
      </w:pPr>
      <w:r>
        <w:rPr>
          <w:b/>
        </w:rPr>
        <w:t xml:space="preserve">12.4.5.2. </w:t>
      </w:r>
      <w:r>
        <w:t>08 (oito) horas para switches e nobreaks;</w:t>
      </w:r>
    </w:p>
    <w:p>
      <w:pPr>
        <w:jc w:val="both"/>
      </w:pPr>
      <w:r>
        <w:rPr>
          <w:b/>
        </w:rPr>
        <w:t xml:space="preserve">12.4.5.3. </w:t>
      </w:r>
      <w:r>
        <w:t>12 (doze) horas para placa-mãe e processadores.</w:t>
      </w:r>
    </w:p>
    <w:p>
      <w:pPr>
        <w:jc w:val="both"/>
      </w:pPr>
      <w:r>
        <w:rPr>
          <w:b/>
        </w:rPr>
        <w:t xml:space="preserve">12.4.6. </w:t>
      </w:r>
      <w:r>
        <w:t>A solução deverá suportar rotinas automatizadas de backup e restauração de máquinas virtuais, containers e dados institucionais.</w:t>
      </w:r>
    </w:p>
    <w:p>
      <w:pPr>
        <w:jc w:val="both"/>
      </w:pPr>
      <w:r>
        <w:rPr>
          <w:b/>
        </w:rPr>
        <w:t xml:space="preserve">12.4.7. </w:t>
      </w:r>
      <w:r>
        <w:t>O ambiente deverá observar:</w:t>
      </w:r>
    </w:p>
    <w:p>
      <w:pPr>
        <w:jc w:val="both"/>
      </w:pPr>
      <w:r>
        <w:rPr>
          <w:b/>
        </w:rPr>
        <w:t xml:space="preserve">12.4.7.1. </w:t>
      </w:r>
      <w:r>
        <w:t>RPO (Recovery Point Objective) máximo de 24 (vinte e quatro) horas;</w:t>
      </w:r>
    </w:p>
    <w:p>
      <w:pPr>
        <w:jc w:val="both"/>
      </w:pPr>
      <w:r>
        <w:rPr>
          <w:b/>
        </w:rPr>
        <w:t xml:space="preserve">12.4.7.2. </w:t>
      </w:r>
      <w:r>
        <w:t>RTO (Recovery Time Objective) máximo de 04 (quatro) horas para serviços críticos.</w:t>
      </w:r>
    </w:p>
    <w:p>
      <w:pPr>
        <w:jc w:val="both"/>
      </w:pPr>
      <w:r>
        <w:rPr>
          <w:b/>
        </w:rPr>
        <w:t xml:space="preserve">12.4.8. </w:t>
      </w:r>
      <w:r>
        <w:t>As manutenções programadas deverão ser previamente comunicadas à CONTRATANTE e executadas preferencialmente fora do horário comercial, de modo a minimizar impactos operacionais.</w:t>
      </w:r>
    </w:p>
    <w:p>
      <w:pPr>
        <w:jc w:val="both"/>
      </w:pPr>
      <w:r>
        <w:rPr>
          <w:b/>
        </w:rPr>
        <w:t xml:space="preserve">12.4.9. </w:t>
      </w:r>
      <w:r>
        <w:t>O descumprimento dos níveis mínimos de serviço estabelecidos poderá ensejar aplicação de glosas, penalidades administrativas e demais medidas previstas na Lei Federal nº 14.133/2021 e instrumentos correlatos.</w:t>
      </w:r>
    </w:p>
    <w:p/>
    <w:p>
      <w:pPr>
        <w:jc w:val="both"/>
      </w:pPr>
      <w:r>
        <w:rPr>
          <w:b/>
        </w:rPr>
        <w:t>13. Estimativa de Custo Total</w:t>
      </w:r>
    </w:p>
    <w:p>
      <w:pPr>
        <w:jc w:val="both"/>
      </w:pPr>
      <w:r>
        <w:t>13.1. -</w:t>
      </w:r>
    </w:p>
    <w:p/>
    <w:p>
      <w:pPr>
        <w:jc w:val="both"/>
      </w:pPr>
      <w:r>
        <w:rPr>
          <w:b/>
        </w:rPr>
        <w:t>14. Justificativa técnica da escolha da solução</w:t>
      </w:r>
    </w:p>
    <w:p>
      <w:pPr>
        <w:jc w:val="both"/>
      </w:pPr>
      <w:r>
        <w:rPr>
          <w:b/>
        </w:rPr>
        <w:t xml:space="preserve">14.1. </w:t>
      </w:r>
      <w:r>
        <w:t>A escolha da solução baseada na aquisição definitiva de infraestrutura computacional fundamenta-se na necessidade de modernização estrutural do ambiente tecnológico da Secretaria de Parcerias e Investimentos, considerando o elevado grau de obsolescência da infraestrutura atualmente existente, as limitações de capacidade operacional, os riscos de indisponibilidade e a necessidade de fortalecimento da autonomia administrativa sobre os ativos estratégicos utilizados na sustentação das atividades institucionais.</w:t>
      </w:r>
    </w:p>
    <w:p>
      <w:pPr>
        <w:jc w:val="both"/>
      </w:pPr>
      <w:r>
        <w:rPr>
          <w:b/>
        </w:rPr>
        <w:t xml:space="preserve">14.2. </w:t>
      </w:r>
      <w:r>
        <w:t>Sob a perspectiva técnica, a aquisição de nova infraestrutura possibilita à Administração Pública implementar ambiente computacional moderno, redundante, escalável e integralmente aderente às necessidades operacionais da Pasta, composto por servidores de alto desempenho, armazenamento corporativo, ativos de rede e mecanismos de proteção elétrica dimensionados para sustentação contínua dos serviços digitais institucionais. A solução permite ainda a adoção de arquitetura hiperconvergente em cluster de alta disponibilidade, proporcionando maior resiliência operacional, continuidade dos serviços, tolerância a falhas e ampliação da capacidade de processamento e armazenamento do ambiente computacional institucional.</w:t>
      </w:r>
    </w:p>
    <w:p>
      <w:pPr>
        <w:jc w:val="both"/>
      </w:pPr>
      <w:r>
        <w:rPr>
          <w:b/>
        </w:rPr>
        <w:t xml:space="preserve">14.3. </w:t>
      </w:r>
      <w:r>
        <w:t>Adicionalmente, a aquisição definitiva dos ativos proporciona maior autonomia tecnológica, domínio integral sobre o ciclo de vida da infraestrutura e liberdade administrativa para definição das estratégias de expansão, atualização e governança do ambiente computacional. A incorporação patrimonial dos equipamentos também favorece a consolidação de capacidades técnicas internas, reduz a dependência operacional continuada de terceiros e possibilita à Administração Pública estruturar políticas próprias de sustentação, segurança da informação, continuidade de negócios e evolução tecnológica da infraestrutura institucional.</w:t>
      </w:r>
    </w:p>
    <w:p/>
    <w:p>
      <w:pPr>
        <w:jc w:val="both"/>
      </w:pPr>
      <w:r>
        <w:rPr>
          <w:b/>
        </w:rPr>
        <w:t>15. Justificativa econômica da escolha da solução</w:t>
      </w:r>
    </w:p>
    <w:p>
      <w:pPr>
        <w:jc w:val="both"/>
      </w:pPr>
      <w:r>
        <w:rPr>
          <w:b/>
        </w:rPr>
        <w:t xml:space="preserve">15.1. </w:t>
      </w:r>
      <w:r>
        <w:t>A escolha da solução baseada na aquisição definitiva da infraestrutura computacional fundamenta-se na busca pela alternativa economicamente mais vantajosa para a Administração Pública sob a perspectiva de longo prazo, considerando o custo total de propriedade (Total Cost of Ownership - TCO) da solução ao longo de todo o ciclo de vida dos ativos tecnológicos. A incorporação patrimonial definitiva dos equipamentos permite diluição do investimento ao longo dos anos de utilização da infraestrutura, reduzindo a dependência de despesas operacionais continuadas associadas à locação recorrente de ativos computacionais.</w:t>
      </w:r>
    </w:p>
    <w:p>
      <w:pPr>
        <w:jc w:val="both"/>
      </w:pPr>
      <w:r>
        <w:rPr>
          <w:b/>
        </w:rPr>
        <w:t xml:space="preserve">15.2. </w:t>
      </w:r>
      <w:r>
        <w:t>Sob a perspectiva financeira, a aquisição proporciona maior previsibilidade sobre os custos futuros da infraestrutura, permitindo à Administração Pública exercer controle direto sobre a manutenção do ambiente computacional, planejamento de expansão tecnológica e ciclo de renovação dos equipamentos. Adicionalmente, o modelo reduz a exposição a reajustes contratuais recorrentes, custos acumulados de locação continuada e dependência financeira prolongada de terceiros para sustentação da infraestrutura tecnológica institucional.</w:t>
      </w:r>
    </w:p>
    <w:p>
      <w:pPr>
        <w:jc w:val="both"/>
      </w:pPr>
      <w:r>
        <w:rPr>
          <w:b/>
        </w:rPr>
        <w:t xml:space="preserve">15.3. </w:t>
      </w:r>
      <w:r>
        <w:t>Adicionalmente, a aquisição definitiva dos ativos computacionais possibilita maior eficiência na aplicação dos recursos públicos no médio e longo prazo, especialmente em ambientes de utilização contínua e alta criticidade operacional, nos quais os equipamentos permanecem em produção por extensos períodos. A consolidação patrimonial da infraestrutura também favorece maior autonomia administrativa, flexibilidade para integração de novas soluções tecnológicas e racionalização dos investimentos futuros relacionados à expansão e modernização do ambiente computacional da Secretaria.</w:t>
      </w:r>
    </w:p>
    <w:p/>
    <w:p>
      <w:pPr>
        <w:jc w:val="both"/>
      </w:pPr>
      <w:r>
        <w:rPr>
          <w:b/>
        </w:rPr>
        <w:t>16. Benefícios a serem alcançados com a contratação</w:t>
      </w:r>
    </w:p>
    <w:p>
      <w:pPr>
        <w:jc w:val="both"/>
      </w:pPr>
      <w:r>
        <w:rPr>
          <w:b/>
        </w:rPr>
        <w:t xml:space="preserve">16.1. </w:t>
      </w:r>
      <w:r>
        <w:t>A contratação da solução de infraestrutura computacional mediante aquisição definitiva dos ativos permitirá a modernização integral do ambiente tecnológico da Secretaria de Parcerias e Investimentos, proporcionando maior capacidade de processamento, armazenamento, disponibilidade e resiliência operacional dos serviços digitais atualmente executados pela Pasta. A solução possibilitará a substituição da infraestrutura obsoleta atualmente existente, reduzindo os riscos relacionados à indisponibilidade de sistemas, falhas críticas de hardware e interrupções das atividades institucionais, além de promover fortalecimento estrutural permanente do ambiente computacional da Secretaria.</w:t>
      </w:r>
    </w:p>
    <w:p>
      <w:pPr>
        <w:jc w:val="both"/>
      </w:pPr>
      <w:r>
        <w:rPr>
          <w:b/>
        </w:rPr>
        <w:t xml:space="preserve">16.2. </w:t>
      </w:r>
      <w:r>
        <w:t>Também se espera alcançar significativa elevação da segurança, estabilidade e autonomia tecnológica da infraestrutura computacional institucional, mediante adoção de arquitetura redundante, clusterizada e preparada para alta disponibilidade. A solução permitirá maior tolerância a falhas físicas e elétricas, ampliação da capacidade de recuperação operacional, melhoria do desempenho das aplicações corporativas e redução do impacto causado por incidentes de infraestrutura, além de possibilitar planejamento estruturado da expansão tecnológica futura conforme a evolução das necessidades institucionais da Secretaria.</w:t>
      </w:r>
    </w:p>
    <w:p>
      <w:pPr>
        <w:jc w:val="both"/>
      </w:pPr>
      <w:r>
        <w:rPr>
          <w:b/>
        </w:rPr>
        <w:t xml:space="preserve">16.3. </w:t>
      </w:r>
      <w:r>
        <w:t>A aquisição definitiva da infraestrutura computacional proporcionará ainda maior controle administrativo sobre o ciclo de vida dos ativos tecnológicos, fortalecimento da governança interna de TIC e incorporação patrimonial dos equipamentos estratégicos utilizados na sustentação das atividades finalísticas da Pasta. Espera-se também maior eficiência econômica no médio e longo prazo, mediante racionalização dos investimentos públicos, redução da dependência continuada de terceiros para sustentação da infraestrutura crítica e ampliação da capacidade institucional de planejamento, manutenção e evolução tecnológica do ambiente computacional corporativo.</w:t>
      </w:r>
    </w:p>
    <w:p/>
    <w:p>
      <w:pPr>
        <w:jc w:val="both"/>
      </w:pPr>
      <w:r>
        <w:rPr>
          <w:b/>
        </w:rPr>
        <w:t>17. Providências a Serem Adotadas</w:t>
      </w:r>
    </w:p>
    <w:p>
      <w:pPr>
        <w:jc w:val="both"/>
      </w:pPr>
      <w:r>
        <w:rPr>
          <w:b/>
        </w:rPr>
        <w:t xml:space="preserve">17.1. </w:t>
      </w:r>
      <w:r>
        <w:t>Deverão ser adotadas medidas imediatas destinadas à mitigação dos riscos operacionais atualmente existentes no ambiente de CPD da Secretaria, considerando o elevado grau de obsolescência da infraestrutura computacional atualmente em operação e os riscos relacionados à continuidade dos serviços digitais institucionais. A contratação deverá observar caráter prioritário e célere, visando reduzir a probabilidade de indisponibilidade generalizada do ambiente tecnológico da Pasta.</w:t>
      </w:r>
    </w:p>
    <w:p>
      <w:pPr>
        <w:jc w:val="both"/>
      </w:pPr>
      <w:r>
        <w:rPr>
          <w:b/>
        </w:rPr>
        <w:t xml:space="preserve">17.2. </w:t>
      </w:r>
      <w:r>
        <w:t>Deverão ser executadas ações relacionadas à realização e consolidação de backups das máquinas virtuais, containers, discos virtuais, bases de dados e demais workloads institucionais críticos atualmente existentes no ambiente computacional da Secretaria. Os backups deverão permanecer armazenados em ambiente segregado da infraestrutura produtiva, preferencialmente com utilização complementar de ambiente externo para armazenamento e recuperação emergencial dos dados institucionais.</w:t>
      </w:r>
    </w:p>
    <w:p>
      <w:pPr>
        <w:jc w:val="both"/>
      </w:pPr>
      <w:r>
        <w:rPr>
          <w:b/>
        </w:rPr>
        <w:t xml:space="preserve">17.3. </w:t>
      </w:r>
      <w:r>
        <w:t>Também deverão ser adotadas providências relacionadas à consolidação, atualização e formalização da documentação técnica da infraestrutura atualmente existente e da futura infraestrutura a ser implantada. A documentação deverá contemplar arquitetura lógica e física, virtualização, armazenamento, topologia de rede, endereçamento IP, VLANs, conectividade, acessos administrativos, políticas de backup e demais informações necessárias à adequada sustentação operacional do ambiente computacional institucional.</w:t>
      </w:r>
    </w:p>
    <w:p>
      <w:pPr>
        <w:jc w:val="both"/>
      </w:pPr>
      <w:r>
        <w:rPr>
          <w:b/>
        </w:rPr>
        <w:t xml:space="preserve">17.4. </w:t>
      </w:r>
      <w:r>
        <w:t>Deverão ser realizadas adequações mínimas relacionadas à infraestrutura elétrica e organização física do ambiente de CPD, contemplando disponibilização de tomadas e circuitos compatíveis para alimentação segregada dos nobreaks corporativos destinados aos racks da nova solução, além de validações relacionadas à conectividade óptica, comunicação entre hosts do cluster, integração com storage corporativo e funcionamento adequado da infraestrutura de backup.</w:t>
      </w:r>
    </w:p>
    <w:p>
      <w:pPr>
        <w:jc w:val="both"/>
      </w:pPr>
      <w:r>
        <w:rPr>
          <w:b/>
        </w:rPr>
        <w:t xml:space="preserve">17.5. </w:t>
      </w:r>
      <w:r>
        <w:t>Também deverão ser adotadas providências relacionadas ao planejamento, execução e validação da migração das máquinas virtuais, containers e demais workloads institucionais para a nova infraestrutura contratada. A migração deverá ocorrer de forma planejada, controlada e validada, contemplando cronograma técnico, testes operacionais, validação dos serviços migrados e acompanhamento da estabilidade do ambiente após a transição tecnológica.</w:t>
      </w:r>
    </w:p>
    <w:p/>
    <w:p>
      <w:pPr>
        <w:jc w:val="both"/>
      </w:pPr>
      <w:r>
        <w:rPr>
          <w:b/>
        </w:rPr>
        <w:t>18. Declaração de Viabilidade</w:t>
      </w:r>
    </w:p>
    <w:p>
      <w:pPr>
        <w:jc w:val="both"/>
      </w:pPr>
      <w:r>
        <w:rPr>
          <w:b/>
        </w:rPr>
        <w:t xml:space="preserve">18.1. </w:t>
      </w:r>
      <w:r>
        <w:t>Esta equipe de planejamento declara viavel esta contratacao.</w:t>
      </w:r>
    </w:p>
    <w:p>
      <w:pPr>
        <w:jc w:val="both"/>
      </w:pPr>
      <w:r>
        <w:rPr>
          <w:b/>
        </w:rPr>
        <w:t xml:space="preserve">18.2. </w:t>
      </w:r>
      <w:r>
        <w:t>Com base nas análises técnicas, operacionais e econômicas realizadas no presente Estudo Técnico Preliminar, conclui-se que a aquisição pretendida apresenta plena viabilidade para atendimento das necessidades institucionais da Secretaria de Parcerias e Investimentos, especialmente no que se refere à continuidade operacional, disponibilidade dos serviços digitais, mitigação de riscos tecnológicos, fortalecimento da autonomia administrativa e modernização definitiva da infraestrutura crítica do ambiente de CPD.</w:t>
      </w:r>
    </w:p>
    <w:p>
      <w:pPr>
        <w:jc w:val="both"/>
      </w:pPr>
      <w:r>
        <w:rPr>
          <w:b/>
        </w:rPr>
        <w:t xml:space="preserve">18.3. </w:t>
      </w:r>
      <w:r>
        <w:t>As avaliações realizadas demonstraram que a infraestrutura atualmente existente apresenta elevado grau de obsolescência tecnológica, limitações de capacidade computacional, recorrentes falhas de hardware e riscos relevantes relacionados à indisponibilidade dos serviços institucionais, incluindo cenário de ponto único de falha (Single Point of Failure – SPOF) na sustentação elétrica do ambiente. Nesse contexto, a solução proposta baseada em cluster de virtualização Proxmox VE em alta disponibilidade, armazenamento corporativo, infraestrutura óptica de alta velocidade, switches core dedicados, múltiplos nobreaks corporativos e solução de backup baseada em Proxmox Backup Server demonstrou aderência técnica adequada às necessidades identificadas, proporcionando maior resiliência operacional, capacidade de expansão tecnológica e sustentação contínua dos serviços digitais institucionais.</w:t>
      </w:r>
    </w:p>
    <w:p>
      <w:pPr>
        <w:jc w:val="both"/>
      </w:pPr>
      <w:r>
        <w:rPr>
          <w:b/>
        </w:rPr>
        <w:t xml:space="preserve">18.4. </w:t>
      </w:r>
      <w:r>
        <w:t>Sob a perspectiva econômica e operacional, verificou-se que a aquisição definitiva da infraestrutura computacional proporciona maior autonomia tecnológica, incorporação patrimonial dos ativos estratégicos e racionalização dos investimentos públicos no médio e longo prazo. A solução permite à Administração Pública exercer controle integral sobre o ciclo de vida dos equipamentos, planejamento de expansão tecnológica, políticas de segurança da informação e estratégias de continuidade operacional, reduzindo a dependência continuada de terceiros para sustentação da infraestrutura crítica institucional. Dessa forma, declara-se viável a contratação da solução pretendida, considerando sua compatibilidade com os requisitos institucionais relacionados à resiliência operacional, continuidade dos serviços digitais, eficiência administrativa e fortalecimento estrutural do ambiente tecnológico da Secretaria.</w:t>
      </w:r>
    </w:p>
    <w:p/>
    <w:p>
      <w:pPr>
        <w:jc w:val="both"/>
      </w:pPr>
      <w:r>
        <w:rPr>
          <w:b/>
        </w:rPr>
        <w:t>19. Condições gerais da licitação</w:t>
      </w:r>
    </w:p>
    <w:p>
      <w:pPr>
        <w:jc w:val="both"/>
      </w:pPr>
      <w:r>
        <w:rPr>
          <w:b/>
        </w:rPr>
        <w:t>Caracterização do Objeto e Quantitativos</w:t>
      </w:r>
    </w:p>
    <w:p>
      <w:pPr>
        <w:jc w:val="both"/>
      </w:pPr>
      <w:r>
        <w:rPr>
          <w:b/>
        </w:rPr>
        <w:t xml:space="preserve">19.1. </w:t>
      </w:r>
      <w:r>
        <w:t>O objeto encontra-se devidamente classificado sob o código:</w:t>
      </w:r>
    </w:p>
    <w:p>
      <w:pPr>
        <w:jc w:val="both"/>
      </w:pPr>
      <w:r>
        <w:rPr>
          <w:b/>
        </w:rPr>
        <w:t xml:space="preserve">19.1.1. </w:t>
      </w:r>
      <w:r>
        <w:t>Servidores Cluster: CATMAT nº 628826 e identificado no sistema com o código do item BEC nº 6424686.</w:t>
      </w:r>
    </w:p>
    <w:p>
      <w:pPr>
        <w:jc w:val="both"/>
      </w:pPr>
      <w:r>
        <w:rPr>
          <w:b/>
        </w:rPr>
        <w:t xml:space="preserve">19.1.2. </w:t>
      </w:r>
      <w:r>
        <w:t>Servidor Backup: CATMAT nº 628826 e identificado no sistema com o código do item BEC nº 5902258.</w:t>
      </w:r>
    </w:p>
    <w:p>
      <w:pPr>
        <w:jc w:val="both"/>
      </w:pPr>
      <w:r>
        <w:rPr>
          <w:b/>
        </w:rPr>
        <w:t xml:space="preserve">19.1.3. </w:t>
      </w:r>
      <w:r>
        <w:t>Switches: CATMAT nº 624341 e identificado no sistema com o código do item BEC nº 5982898.</w:t>
      </w:r>
    </w:p>
    <w:p>
      <w:pPr>
        <w:jc w:val="both"/>
      </w:pPr>
      <w:r>
        <w:rPr>
          <w:b/>
        </w:rPr>
        <w:t xml:space="preserve">19.1.4. </w:t>
      </w:r>
      <w:r>
        <w:t>Nobreaks de 05 KVA: CATMAT nº 621551 e identificado no sistema com o código do item BEC nº 5762626.</w:t>
      </w:r>
    </w:p>
    <w:p>
      <w:pPr>
        <w:jc w:val="both"/>
      </w:pPr>
      <w:r>
        <w:rPr>
          <w:b/>
        </w:rPr>
        <w:t xml:space="preserve">19.1.5. </w:t>
      </w:r>
      <w:r>
        <w:t>Nobreaks de 03 KVA: CATMAT nº 621551 e identificado no sistema com o código do item BEC nº 6537413.</w:t>
      </w:r>
    </w:p>
    <w:p>
      <w:pPr>
        <w:jc w:val="both"/>
      </w:pPr>
      <w:r>
        <w:rPr>
          <w:b/>
        </w:rPr>
        <w:t xml:space="preserve">19.2. </w:t>
      </w:r>
      <w:r>
        <w:t>A demanda contempla a quantidade total de:</w:t>
      </w:r>
    </w:p>
    <w:p>
      <w:pPr>
        <w:jc w:val="both"/>
      </w:pPr>
      <w:r>
        <w:rPr>
          <w:b/>
        </w:rPr>
        <w:t xml:space="preserve">19.2.1. </w:t>
      </w:r>
      <w:r>
        <w:t>03 un - Servidores Cluster: CATMAT nº 628826 e identificado no sistema com o código do item BEC nº 6424686.</w:t>
      </w:r>
    </w:p>
    <w:p>
      <w:pPr>
        <w:jc w:val="both"/>
      </w:pPr>
      <w:r>
        <w:rPr>
          <w:b/>
        </w:rPr>
        <w:t xml:space="preserve">19.2.2. </w:t>
      </w:r>
      <w:r>
        <w:t>01 un - Servidor de Backup: CATMAT nº 628826 e identificado no sistema com o código do item BEC nº 6424686.</w:t>
      </w:r>
    </w:p>
    <w:p>
      <w:pPr>
        <w:jc w:val="both"/>
      </w:pPr>
      <w:r>
        <w:rPr>
          <w:b/>
        </w:rPr>
        <w:t xml:space="preserve">19.2.3. </w:t>
      </w:r>
      <w:r>
        <w:t>02 un - Switches: CATMAT nº 624341 e identificado no sistema com o código do item BEC nº 5982898.</w:t>
      </w:r>
    </w:p>
    <w:p>
      <w:pPr>
        <w:jc w:val="both"/>
      </w:pPr>
      <w:r>
        <w:rPr>
          <w:b/>
        </w:rPr>
        <w:t xml:space="preserve">19.2.4. </w:t>
      </w:r>
      <w:r>
        <w:t>02 un - Nobreaks de 05 KVA: CATMAT nº 621551 e identificado no sistema com o código do item BEC nº 5762626.</w:t>
      </w:r>
    </w:p>
    <w:p>
      <w:pPr>
        <w:jc w:val="both"/>
      </w:pPr>
      <w:r>
        <w:rPr>
          <w:b/>
        </w:rPr>
        <w:t xml:space="preserve">19.2.5. </w:t>
      </w:r>
      <w:r>
        <w:t>06 un - Nobreaks de 03 KVA: CATMAT nº 621551 e identificado no sistema com o código do item BEC nº 6537413.</w:t>
      </w:r>
    </w:p>
    <w:p>
      <w:pPr>
        <w:jc w:val="both"/>
      </w:pPr>
      <w:r>
        <w:rPr>
          <w:b/>
        </w:rPr>
        <w:t>Enquadramento e Rito Procedimental</w:t>
      </w:r>
    </w:p>
    <w:p>
      <w:pPr>
        <w:jc w:val="both"/>
      </w:pPr>
      <w:r>
        <w:rPr>
          <w:b/>
        </w:rPr>
        <w:t xml:space="preserve">19.3. </w:t>
      </w:r>
      <w:r>
        <w:t>Considerando a natureza da contratação, adotar-se-á a Modalidade Pregão, na forma eletrônica, por tratar-se de serviço comum, cujos padrões de desempenho e qualidade são objetivamente definidos por especificações usuais de mercado. O modo de disputa será aberto e fechado, em razão da sua maior aptidão para obtenção da proposta mais vantajosa mediante lances competitivos.</w:t>
      </w:r>
    </w:p>
    <w:p>
      <w:pPr>
        <w:jc w:val="both"/>
      </w:pPr>
      <w:r>
        <w:rPr>
          <w:b/>
        </w:rPr>
        <w:t>Planejamento Institucional (PCA)</w:t>
      </w:r>
    </w:p>
    <w:p>
      <w:pPr>
        <w:jc w:val="both"/>
      </w:pPr>
      <w:r>
        <w:rPr>
          <w:b/>
        </w:rPr>
        <w:t xml:space="preserve">19.4. </w:t>
      </w:r>
      <w:r>
        <w:t>A contratação encontra-se alinhada ao Plano de Contratações Anual (PCA), conforme registro no Portal Nacional de Contratações Públicas (PNCP), sob as seguintes referências:</w:t>
      </w:r>
    </w:p>
    <w:p>
      <w:pPr>
        <w:jc w:val="both"/>
      </w:pPr>
      <w:r>
        <w:rPr>
          <w:b/>
        </w:rPr>
        <w:t xml:space="preserve">I. </w:t>
      </w:r>
      <w:r>
        <w:t>ID PCA no PNCP: [inserir]</w:t>
      </w:r>
    </w:p>
    <w:p>
      <w:pPr>
        <w:jc w:val="both"/>
      </w:pPr>
      <w:r>
        <w:rPr>
          <w:b/>
        </w:rPr>
        <w:t xml:space="preserve">II. </w:t>
      </w:r>
      <w:r>
        <w:t>Data de publicação: [inserir]</w:t>
      </w:r>
    </w:p>
    <w:p>
      <w:pPr>
        <w:jc w:val="both"/>
      </w:pPr>
      <w:r>
        <w:rPr>
          <w:b/>
        </w:rPr>
        <w:t xml:space="preserve">III. </w:t>
      </w:r>
      <w:r>
        <w:t>ID do item no PCA: [inserir]</w:t>
      </w:r>
    </w:p>
    <w:p>
      <w:pPr>
        <w:jc w:val="both"/>
      </w:pPr>
      <w:r>
        <w:rPr>
          <w:b/>
        </w:rPr>
        <w:t xml:space="preserve">IV. </w:t>
      </w:r>
      <w:r>
        <w:t>Classe/Grupo: [inserir]</w:t>
      </w:r>
    </w:p>
    <w:p>
      <w:pPr>
        <w:jc w:val="both"/>
      </w:pPr>
      <w:r>
        <w:rPr>
          <w:b/>
        </w:rPr>
        <w:t xml:space="preserve">V. </w:t>
      </w:r>
      <w:r>
        <w:t>Identificador da futura contratação: [inserir]</w:t>
      </w:r>
    </w:p>
    <w:p>
      <w:pPr>
        <w:jc w:val="both"/>
      </w:pPr>
      <w:r>
        <w:rPr>
          <w:b/>
        </w:rPr>
        <w:t>Formalização e Vigência</w:t>
      </w:r>
    </w:p>
    <w:p>
      <w:pPr>
        <w:jc w:val="both"/>
      </w:pPr>
      <w:r>
        <w:rPr>
          <w:b/>
        </w:rPr>
        <w:t xml:space="preserve">19.5. </w:t>
      </w:r>
      <w:r>
        <w:rPr>
          <w:color w:val="FF0000"/>
        </w:rPr>
        <w:t>o que colocar aqui em caso de Aquisição? 60 meses no que se refere à garantia?</w:t>
      </w:r>
      <w:r>
        <w:t>A formalização do vínculo dar-se-á por Termo de Contrato, com vigência de 12 (doze) meses, a contar de [inserir marco], admitida prorrogação até o limite de 05 anos, nos termos do art. 106 e 107 da Lei nº 14.133/2021, mediante comprovação da vantajosidade.</w:t>
      </w:r>
    </w:p>
    <w:p>
      <w:pPr>
        <w:jc w:val="both"/>
      </w:pPr>
      <w:r>
        <w:rPr>
          <w:b/>
        </w:rPr>
        <w:t>Critério de Julgamento e Regime de Execução</w:t>
      </w:r>
    </w:p>
    <w:p>
      <w:pPr>
        <w:jc w:val="both"/>
      </w:pPr>
      <w:r>
        <w:rPr>
          <w:b/>
        </w:rPr>
        <w:t xml:space="preserve">19.6. </w:t>
      </w:r>
      <w:r>
        <w:t>Critério de julgamento: menor preço unitário, com execução por empreitada por preço unitário.</w:t>
      </w:r>
    </w:p>
    <w:p>
      <w:pPr>
        <w:jc w:val="both"/>
      </w:pPr>
      <w:r>
        <w:rPr>
          <w:b/>
        </w:rPr>
        <w:t>Participação e Subcontratação</w:t>
      </w:r>
    </w:p>
    <w:p>
      <w:pPr>
        <w:jc w:val="both"/>
      </w:pPr>
      <w:r>
        <w:rPr>
          <w:b/>
        </w:rPr>
        <w:t xml:space="preserve">19.7. </w:t>
      </w:r>
      <w:r>
        <w:t>Será vedada a subcontratação.</w:t>
      </w:r>
    </w:p>
    <w:p>
      <w:pPr>
        <w:jc w:val="both"/>
      </w:pPr>
      <w:r>
        <w:rPr>
          <w:b/>
        </w:rPr>
        <w:t xml:space="preserve">19.7.1. </w:t>
      </w:r>
      <w:r>
        <w:t>Considerando que a solução adotada envolve o fornecimento, implantação e sustentação de infraestrutura computacional crítica destinada ao ambiente de Datacenter da Secretaria, a execução do objeto demanda capacidade técnica especializada, elevado grau de integração operacional e controle centralizado sobre os componentes de hardware, software, conectividade, armazenamento, virtualização e sustentação elétrica da solução. A vedação à subcontratação visa mitigar riscos relacionados à fragmentação da responsabilidade técnica, dificuldades de fiscalização contratual, aumento da complexidade operacional e potenciais impactos na continuidade dos serviços digitais institucionais. A medida busca ainda assegurar maior rastreabilidade operacional, uniformidade na prestação dos serviços de garantia e suporte técnico, celeridade no atendimento de incidentes críticos e preservação da integridade, disponibilidade e segurança das informações estratégicas sob responsabilidade da Administração Pública.</w:t>
      </w:r>
    </w:p>
    <w:p>
      <w:pPr>
        <w:jc w:val="both"/>
      </w:pPr>
      <w:r>
        <w:rPr>
          <w:b/>
        </w:rPr>
        <w:t xml:space="preserve">19.8. </w:t>
      </w:r>
      <w:r>
        <w:t>Será vedada a participação em consórcio e de cooperativas, conforme motivação apresentada.</w:t>
      </w:r>
    </w:p>
    <w:p>
      <w:pPr>
        <w:jc w:val="both"/>
      </w:pPr>
      <w:r>
        <w:rPr>
          <w:b/>
        </w:rPr>
        <w:t xml:space="preserve">19.8.1. </w:t>
      </w:r>
      <w:r>
        <w:t>A vedação à participação de empresas organizadas em consórcio justifica-se pelo fato de que o objeto da presente contratação configura serviço comum de TIC, amplamente consolidado e com vasta oferta de fornecedores competitivos no mercado nacional. A formação de consórcios destina-se, primordialmente, a viabilizar a execução de objetos de extrema complexidade dimensional ou valores vultosos que extrapolem a capacidade isolada das empresas de mercado, cenário que diverge da realidade deste certame. Ademais, a união de múltiplas pessoas jurídicas em consórcio elevaria substancialmente a complexidade na gestão do vínculo contratual e na fiscalização do cumprimento das obrigações, gerando riscos desnecessários à Administração quanto à pulverização de responsabilidades no cumprimento dos rígidos Acordos de Nível de Serviço (SLA) exigidos para o Datacenter institucional.</w:t>
      </w:r>
    </w:p>
    <w:p>
      <w:pPr>
        <w:jc w:val="both"/>
      </w:pPr>
      <w:r>
        <w:rPr>
          <w:b/>
        </w:rPr>
        <w:t>Especificação Técnica e Garantias</w:t>
      </w:r>
    </w:p>
    <w:p>
      <w:pPr>
        <w:jc w:val="both"/>
      </w:pPr>
      <w:r>
        <w:rPr>
          <w:b/>
        </w:rPr>
        <w:t xml:space="preserve">19.9. </w:t>
      </w:r>
      <w:r>
        <w:t>Não será possível a indicação de marcas, sendo admitida quando necessária à padronização e compatibilidade com a infraestrutura existente.</w:t>
      </w:r>
    </w:p>
    <w:p>
      <w:pPr>
        <w:jc w:val="both"/>
      </w:pPr>
      <w:r>
        <w:rPr>
          <w:b/>
        </w:rPr>
        <w:t xml:space="preserve">19.9.1. </w:t>
      </w:r>
      <w:r>
        <w:t>A vedação à indicação de marcas específicas decorre da necessidade de observância aos princípios da isonomia, competitividade, economicidade e seleção da proposta mais vantajosa para a Administração Pública, conforme preconiza a Lei Federal nº 14.133/2021. Considerando que a solução pretendida consiste na implantação de nova infraestrutura computacional destinada à modernização integral do ambiente de Datacenter institucional, o foco da contratação concentra-se no atendimento dos requisitos mínimos de desempenho, capacidade computacional, disponibilidade, escalabilidade, interoperabilidade e aderência técnica definidos neste instrumento. Dessa forma, busca-se ampliar a competitividade do certame, permitindo a participação de múltiplos fabricantes e integradores de mercado, sem prejuízo da compatibilidade operacional da solução, da padronização tecnológica necessária e da garantia de adequada integração entre os componentes que compõem o ambiente computacional da Secretaria.</w:t>
      </w:r>
    </w:p>
    <w:p>
      <w:pPr>
        <w:jc w:val="both"/>
      </w:pPr>
      <w:r>
        <w:rPr>
          <w:b/>
        </w:rPr>
        <w:t xml:space="preserve">19.10. </w:t>
      </w:r>
      <w:r>
        <w:t>Não haverá vedação de marcas específicas.</w:t>
      </w:r>
    </w:p>
    <w:p>
      <w:pPr>
        <w:jc w:val="both"/>
      </w:pPr>
      <w:r>
        <w:rPr>
          <w:b/>
        </w:rPr>
        <w:t xml:space="preserve">19.10.1. </w:t>
      </w:r>
      <w:r>
        <w:t>A opção por não restringir ou vedar qualquer fabricante de forma prévia fundamenta-se na busca pela ampliação máxima da competitividade do certame e no respeito ao princípio da isonomia entre os licitantes. Como o objeto se destina à implantação de uma infraestrutura de Datacenter do zero, baseada em soluções de código aberto e hiperconvergência de mercado, qualquer fabricante que comprove o atendimento integral ou superior aos requisitos mínimos de desempenho, robustez e qualidade técnica estipulados neste Termo de Referência estará apto a participar, assegurando que a Administração Pública obtenha a proposta economicamente mais vantajosa.</w:t>
      </w:r>
    </w:p>
    <w:p>
      <w:pPr>
        <w:jc w:val="both"/>
      </w:pPr>
      <w:r>
        <w:rPr>
          <w:b/>
        </w:rPr>
        <w:t xml:space="preserve">19.11. </w:t>
      </w:r>
      <w:r>
        <w:t>Será exigida garantia da contratação, fixada em [inserir]%, quando aplicável.</w:t>
      </w:r>
    </w:p>
    <w:p>
      <w:pPr>
        <w:jc w:val="both"/>
      </w:pPr>
      <w:r>
        <w:rPr>
          <w:b/>
        </w:rPr>
        <w:t>Condições de Execução</w:t>
      </w:r>
    </w:p>
    <w:p>
      <w:pPr>
        <w:jc w:val="both"/>
      </w:pPr>
      <w:r>
        <w:rPr>
          <w:b/>
        </w:rPr>
        <w:t xml:space="preserve">19.12. </w:t>
      </w:r>
      <w:r>
        <w:t>Haverá vistoria prévia.</w:t>
      </w:r>
    </w:p>
    <w:p>
      <w:pPr>
        <w:jc w:val="both"/>
      </w:pPr>
      <w:r>
        <w:rPr>
          <w:b/>
        </w:rPr>
        <w:t xml:space="preserve">19.13. </w:t>
      </w:r>
      <w:r>
        <w:t>A execução ocorrerá em R. Iaiá, 126 - Itaim Bibi, São Paulo - SP, 04542-906, no período das 08:00 às 19:00, com início após à assinatura do contrato.</w:t>
      </w:r>
    </w:p>
    <w:p>
      <w:pPr>
        <w:jc w:val="both"/>
      </w:pPr>
      <w:r>
        <w:rPr>
          <w:b/>
        </w:rPr>
        <w:t xml:space="preserve">19.14. </w:t>
      </w:r>
      <w:r>
        <w:t>Prazo de garantia técnica: 60 meses.</w:t>
      </w:r>
    </w:p>
    <w:p>
      <w:pPr>
        <w:jc w:val="both"/>
      </w:pPr>
      <w:r>
        <w:rPr>
          <w:b/>
        </w:rPr>
        <w:t>Recebimento</w:t>
      </w:r>
    </w:p>
    <w:p>
      <w:pPr>
        <w:jc w:val="both"/>
      </w:pPr>
      <w:r>
        <w:rPr>
          <w:b/>
        </w:rPr>
        <w:t xml:space="preserve">19.15. </w:t>
      </w:r>
      <w:r>
        <w:t>Recebimento provisório em até no ato da entrega e definitivo em até 05 dias, após validação pela fiscalização.</w:t>
      </w:r>
    </w:p>
    <w:p>
      <w:pPr>
        <w:jc w:val="both"/>
      </w:pPr>
      <w:r>
        <w:rPr>
          <w:b/>
        </w:rPr>
        <w:t>Qualificação</w:t>
      </w:r>
    </w:p>
    <w:p>
      <w:pPr>
        <w:jc w:val="both"/>
      </w:pPr>
      <w:r>
        <w:rPr>
          <w:b/>
        </w:rPr>
        <w:t xml:space="preserve">19.16. </w:t>
      </w:r>
      <w:r>
        <w:t>Será exigida qualificação econômico-financeira, dos 02 (dois) últimos exercícios sociais, comprovando o índice de liquidez e solvência superiores a 01 (um).</w:t>
      </w:r>
    </w:p>
    <w:p>
      <w:pPr>
        <w:jc w:val="both"/>
      </w:pPr>
      <w:r>
        <w:rPr>
          <w:b/>
        </w:rPr>
        <w:t xml:space="preserve">19.17. </w:t>
      </w:r>
      <w:r>
        <w:t>Será exigida qualificação técnica mediante apresentação de atestado(s) de capacidade técnica emitido(s) por pessoa jurídica de direito público ou privado, comprovando experiência anterior no fornecimento, implantação e integração de infraestrutura computacional corporativa compatível com o objeto da contratação.</w:t>
      </w:r>
    </w:p>
    <w:p>
      <w:pPr>
        <w:jc w:val="both"/>
      </w:pPr>
      <w:r>
        <w:rPr>
          <w:b/>
        </w:rPr>
        <w:t xml:space="preserve">19.17.1. </w:t>
      </w:r>
      <w:r>
        <w:t>Para fins de comprovação da capacidade técnico-operacional, os atestados apresentados deverão demonstrar experiência em soluções envolvendo servidores corporativos, virtualização, armazenamento corporativo, switches de rede, infraestrutura de backup e ambientes de alta disponibilidade.</w:t>
      </w:r>
    </w:p>
    <w:p>
      <w:pPr>
        <w:jc w:val="both"/>
      </w:pPr>
      <w:r>
        <w:rPr>
          <w:b/>
        </w:rPr>
        <w:t xml:space="preserve">19.17.2. </w:t>
      </w:r>
      <w:r>
        <w:t>Os atestados deverão comprovar execução de objeto compatível em características, complexidade tecnológica e porte operacional com a solução pretendida pela Administração Pública.</w:t>
      </w:r>
    </w:p>
    <w:p>
      <w:pPr>
        <w:jc w:val="both"/>
      </w:pPr>
      <w:r>
        <w:rPr>
          <w:b/>
        </w:rPr>
        <w:t>Adequação Orçamentária</w:t>
      </w:r>
    </w:p>
    <w:p>
      <w:pPr>
        <w:jc w:val="both"/>
      </w:pPr>
      <w:r>
        <w:rPr>
          <w:b/>
        </w:rPr>
        <w:t xml:space="preserve">19.18. </w:t>
      </w:r>
      <w:r>
        <w:t>A despesa será suportada pelas seguintes dotações:</w:t>
      </w:r>
    </w:p>
    <w:p>
      <w:pPr>
        <w:jc w:val="both"/>
      </w:pPr>
      <w:r>
        <w:rPr>
          <w:b/>
        </w:rPr>
        <w:t xml:space="preserve">I. </w:t>
      </w:r>
      <w:r>
        <w:t>Gestão/Unidade: [inserir]</w:t>
      </w:r>
    </w:p>
    <w:p>
      <w:pPr>
        <w:jc w:val="both"/>
      </w:pPr>
      <w:r>
        <w:rPr>
          <w:b/>
        </w:rPr>
        <w:t xml:space="preserve">II. </w:t>
      </w:r>
      <w:r>
        <w:t>Fonte de Recursos: [inserir]</w:t>
      </w:r>
    </w:p>
    <w:p>
      <w:pPr>
        <w:jc w:val="both"/>
      </w:pPr>
      <w:r>
        <w:rPr>
          <w:b/>
        </w:rPr>
        <w:t xml:space="preserve">III. </w:t>
      </w:r>
      <w:r>
        <w:t>Programa de Trabalho: [inserir]</w:t>
      </w:r>
    </w:p>
    <w:p>
      <w:pPr>
        <w:jc w:val="both"/>
      </w:pPr>
      <w:r>
        <w:rPr>
          <w:b/>
        </w:rPr>
        <w:t xml:space="preserve">IV. </w:t>
      </w:r>
      <w:r>
        <w:t>Elemento de Despesa: [inserir]</w:t>
      </w:r>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