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sz w:val="24"/>
        </w:rPr>
        <w:t>TR - Data Center - Serviço</w:t>
      </w:r>
    </w:p>
    <w:p>
      <w:pPr>
        <w:jc w:val="both"/>
      </w:pPr>
      <w:r>
        <w:rPr>
          <w:b/>
        </w:rPr>
        <w:t xml:space="preserve">Processo: </w:t>
      </w:r>
      <w:r>
        <w:t>021.00000734/2026-33</w:t>
      </w:r>
    </w:p>
    <w:p>
      <w:pPr>
        <w:jc w:val="both"/>
      </w:pPr>
      <w:r>
        <w:rPr>
          <w:b/>
        </w:rPr>
        <w:t xml:space="preserve">Link: </w:t>
      </w:r>
      <w:r>
        <w:t>https://sei.sp.gov.br/sei/controlador.php?acao=procedimento_trabalhar&amp;id_procedimento=126179617</w:t>
      </w:r>
    </w:p>
    <w:p>
      <w:pPr>
        <w:jc w:val="both"/>
      </w:pPr>
      <w:r>
        <w:rPr>
          <w:b/>
        </w:rPr>
        <w:t>1. CONDIÇÕES GERAIS DA CONTRATAÇÃO</w:t>
      </w:r>
    </w:p>
    <w:p>
      <w:pPr>
        <w:jc w:val="both"/>
      </w:pPr>
      <w:r>
        <w:rPr>
          <w:b/>
        </w:rPr>
        <w:t xml:space="preserve">1.1. </w:t>
      </w:r>
      <w:r>
        <w:t xml:space="preserve">Contratação de serviços </w:t>
      </w:r>
      <w:r>
        <w:rPr>
          <w:color w:val="FF0000"/>
        </w:rPr>
        <w:t>de fornecimento de infraestrutura computacional no modelo Hardware as a Service (HaaS), compreendendo o fornecimento, instalação, configuração, integração, sustentação, manutenção corretiva e preventiva, suporte técnico especializado e operação assistida de solução de alta disponibilidade destinada à modernização da infraestrutura tecnológica da CONTRATANTE, contemplando 03 (três) hosts de virtualização destinados à composição de cluster hiperconvergente baseado em Ceph e Proxmox Virtual Environment (Proxmox VE), 01 (um) servidor torre dedicado à solução Proxmox Backup Server (PBS), switches de agregação para interconexão do ambiente, nobreaks, componentes de conectividade, acessórios, licenciamento e demais elementos necessários ao pleno funcionamento, disponibilidade, resiliência e continuidade operacional do ambiente computacional institucional</w:t>
      </w:r>
      <w:r>
        <w:t>, nos termos da tabela abaixo, conforme condições e exigências estabelecidas neste Termo de Referência, de acordo com as subdivisões na forma de itens que compõem este instrumento.</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1662"/>
            <w:vAlign w:val="center"/>
          </w:tcPr>
          <w:p>
            <w:pPr>
              <w:jc w:val="center"/>
            </w:pPr>
            <w:r>
              <w:rPr>
                <w:b/>
                <w:sz w:val="16"/>
              </w:rPr>
              <w:t>Item</w:t>
            </w:r>
          </w:p>
        </w:tc>
        <w:tc>
          <w:tcPr>
            <w:tcW w:type="dxa" w:w="1662"/>
            <w:vAlign w:val="center"/>
          </w:tcPr>
          <w:p>
            <w:pPr>
              <w:jc w:val="center"/>
            </w:pPr>
            <w:r>
              <w:rPr>
                <w:b/>
                <w:sz w:val="16"/>
              </w:rPr>
              <w:t>Descricao</w:t>
            </w:r>
          </w:p>
        </w:tc>
        <w:tc>
          <w:tcPr>
            <w:tcW w:type="dxa" w:w="1662"/>
            <w:vAlign w:val="center"/>
          </w:tcPr>
          <w:p>
            <w:pPr>
              <w:jc w:val="center"/>
            </w:pPr>
            <w:r>
              <w:rPr>
                <w:b/>
                <w:sz w:val="16"/>
              </w:rPr>
              <w:t>CATMAT/CATSER</w:t>
            </w:r>
          </w:p>
        </w:tc>
        <w:tc>
          <w:tcPr>
            <w:tcW w:type="dxa" w:w="1662"/>
            <w:vAlign w:val="center"/>
          </w:tcPr>
          <w:p>
            <w:pPr>
              <w:jc w:val="center"/>
            </w:pPr>
            <w:r>
              <w:rPr>
                <w:b/>
                <w:sz w:val="16"/>
              </w:rPr>
              <w:t>Siafisico</w:t>
            </w:r>
          </w:p>
        </w:tc>
        <w:tc>
          <w:tcPr>
            <w:tcW w:type="dxa" w:w="1662"/>
            <w:vAlign w:val="center"/>
          </w:tcPr>
          <w:p>
            <w:pPr>
              <w:jc w:val="center"/>
            </w:pPr>
            <w:r>
              <w:rPr>
                <w:b/>
                <w:sz w:val="16"/>
              </w:rPr>
              <w:t>UF</w:t>
            </w:r>
          </w:p>
        </w:tc>
        <w:tc>
          <w:tcPr>
            <w:tcW w:type="dxa" w:w="1662"/>
            <w:vAlign w:val="center"/>
          </w:tcPr>
          <w:p>
            <w:pPr>
              <w:jc w:val="center"/>
            </w:pPr>
            <w:r>
              <w:rPr>
                <w:b/>
                <w:sz w:val="16"/>
              </w:rPr>
              <w:t>Quantidade</w:t>
            </w:r>
          </w:p>
        </w:tc>
      </w:tr>
      <w:tr>
        <w:tc>
          <w:tcPr>
            <w:tcW w:type="dxa" w:w="1662"/>
            <w:vAlign w:val="center"/>
          </w:tcPr>
          <w:p>
            <w:pPr>
              <w:jc w:val="center"/>
            </w:pPr>
            <w:r>
              <w:t>1</w:t>
            </w:r>
          </w:p>
        </w:tc>
        <w:tc>
          <w:tcPr>
            <w:tcW w:type="dxa" w:w="1662"/>
            <w:vAlign w:val="center"/>
          </w:tcPr>
          <w:p>
            <w:r>
              <w:t>Serviços de Fornecimento de hardware como serviço (TIC)</w:t>
            </w:r>
          </w:p>
        </w:tc>
        <w:tc>
          <w:tcPr>
            <w:tcW w:type="dxa" w:w="1662"/>
            <w:vAlign w:val="center"/>
          </w:tcPr>
          <w:p>
            <w:pPr>
              <w:jc w:val="center"/>
            </w:pPr>
            <w:r>
              <w:t>27014</w:t>
            </w:r>
          </w:p>
        </w:tc>
        <w:tc>
          <w:tcPr>
            <w:tcW w:type="dxa" w:w="1662"/>
            <w:vAlign w:val="center"/>
          </w:tcPr>
          <w:p>
            <w:pPr>
              <w:jc w:val="center"/>
            </w:pPr>
            <w:r>
              <w:t>91693</w:t>
            </w:r>
          </w:p>
        </w:tc>
        <w:tc>
          <w:tcPr>
            <w:tcW w:type="dxa" w:w="1662"/>
            <w:vAlign w:val="center"/>
          </w:tcPr>
          <w:p>
            <w:pPr>
              <w:jc w:val="center"/>
            </w:pPr>
            <w:r>
              <w:t>Un.</w:t>
            </w:r>
          </w:p>
        </w:tc>
        <w:tc>
          <w:tcPr>
            <w:tcW w:type="dxa" w:w="1662"/>
            <w:vAlign w:val="center"/>
          </w:tcPr>
          <w:p>
            <w:pPr>
              <w:jc w:val="center"/>
            </w:pPr>
            <w:r>
              <w:t>1</w:t>
            </w:r>
          </w:p>
        </w:tc>
      </w:tr>
    </w:tbl>
    <w:p>
      <w:pPr>
        <w:jc w:val="both"/>
      </w:pPr>
      <w:r>
        <w:rPr>
          <w:b/>
        </w:rPr>
        <w:t xml:space="preserve">1.1.1. </w:t>
      </w:r>
      <w:r>
        <w:t>Em caso de eventual divergência entre a descrição do item do catálogo do sistema Compras.gov.br e as disposições deste Termo de Referência, prevalecem as disposições deste Termo de Referência.</w:t>
      </w:r>
    </w:p>
    <w:p>
      <w:pPr>
        <w:jc w:val="both"/>
      </w:pPr>
      <w:r>
        <w:rPr>
          <w:b/>
        </w:rPr>
        <w:t xml:space="preserve">1.1.2. </w:t>
      </w:r>
      <w:r>
        <w:t>Este Termo de Referência foi elaborado em conformidade com o Decreto estadual nº 68.185, de 11 de dezembro de 2023.</w:t>
      </w:r>
    </w:p>
    <w:p>
      <w:pPr>
        <w:jc w:val="both"/>
      </w:pPr>
      <w:r>
        <w:rPr>
          <w:b/>
        </w:rPr>
        <w:t xml:space="preserve">1.1.3. </w:t>
      </w:r>
      <w:r>
        <w:t>O objeto desta contratação não se enquadra como serviços de luxo, observando o disposto no Decreto estadual nº 67.985, de 27 de setembro de 2023.</w:t>
      </w:r>
    </w:p>
    <w:p>
      <w:pPr>
        <w:jc w:val="both"/>
      </w:pPr>
      <w:r>
        <w:rPr>
          <w:b/>
        </w:rPr>
        <w:t xml:space="preserve">1.2. </w:t>
      </w:r>
      <w:r>
        <w:t xml:space="preserve">Os serviços objeto desta contratação são caracterizados como serviços </w:t>
      </w:r>
      <w:r>
        <w:rPr>
          <w:color w:val="FF0000"/>
        </w:rPr>
        <w:t>comuns,</w:t>
      </w:r>
      <w:r>
        <w:t xml:space="preserve"> conforme justificativa constante do Estudo Técnico Preliminar, elaborado nos termos do Decreto estadual nº 68.017, de 11 de outubro de 2023.</w:t>
      </w:r>
    </w:p>
    <w:p>
      <w:pPr>
        <w:jc w:val="both"/>
      </w:pPr>
      <w:r>
        <w:rPr>
          <w:b/>
        </w:rPr>
        <w:t xml:space="preserve">1.3. </w:t>
      </w:r>
      <w:r>
        <w:t>O contrato estabelece a disciplina que será aplicada em relação à vigência da contratação.</w:t>
      </w:r>
    </w:p>
    <w:p>
      <w:pPr>
        <w:jc w:val="both"/>
      </w:pPr>
      <w:r>
        <w:rPr>
          <w:b/>
        </w:rPr>
        <w:t xml:space="preserve">1.4. </w:t>
      </w:r>
      <w:r>
        <w:rPr>
          <w:color w:val="FF0000"/>
        </w:rPr>
        <w:t>O prazo de vigência da contratação é de 12 (doze) meses, contados do(a) da data estabelecida para início dos serviço, prorrogável por até 05 (cinco) anos, na forma dos artigos 106 e 107 da Lei n° 14.133, de 2021.</w:t>
      </w:r>
    </w:p>
    <w:p>
      <w:pPr>
        <w:jc w:val="both"/>
      </w:pPr>
      <w:r>
        <w:rPr>
          <w:b/>
        </w:rPr>
        <w:t xml:space="preserve">1.4.1. </w:t>
      </w:r>
      <w:r>
        <w:rPr>
          <w:color w:val="FF0000"/>
        </w:rPr>
        <w:t>O serviço é enquadrado como serviço contínuo, sem regime de dedicação exclusiva de mão de obra, e sem a predominância de mão de obra, tendo em vista que se tratar de fornecimento de hardware, sendo a vigência plurianual mais vantajosa considerando o Estudo Técnico Preliminar.</w:t>
      </w:r>
    </w:p>
    <w:p>
      <w:pPr>
        <w:jc w:val="both"/>
      </w:pPr>
      <w:r>
        <w:rPr>
          <w:b/>
        </w:rPr>
        <w:t xml:space="preserve">1.5. </w:t>
      </w:r>
      <w:r>
        <w:t>Subcontratação</w:t>
        <w:br/>
      </w:r>
      <w:r>
        <w:br/>
      </w:r>
      <w:r>
        <w:br/>
      </w:r>
      <w:r>
        <w:br/>
      </w:r>
      <w:r>
        <w:rPr>
          <w:color w:val="FF0000"/>
        </w:rPr>
        <w:t>O Contratado não poderá subcontratar, ceder ou transferir, total ou parcialmente, o objeto contratual.</w:t>
      </w:r>
    </w:p>
    <w:p/>
    <w:p>
      <w:pPr>
        <w:jc w:val="both"/>
      </w:pPr>
      <w:r>
        <w:rPr>
          <w:b/>
        </w:rPr>
        <w:t>2. FUNDAMENTAÇÃO E DESCRIÇÃO DA NECESSIDADE DA CONTRATAÇÃO</w:t>
      </w:r>
    </w:p>
    <w:p>
      <w:pPr>
        <w:jc w:val="both"/>
      </w:pPr>
      <w:r>
        <w:rPr>
          <w:b/>
        </w:rPr>
        <w:t xml:space="preserve">2.1. </w:t>
      </w:r>
      <w:r>
        <w:rPr>
          <w:color w:val="FF0000"/>
        </w:rPr>
        <w:t>A fundamentação da contratação e de seus quantitativos encontra-se pormenorizada em tópico específico do Estudo Técnico Preliminar, apêndice deste Termo de Referência.</w:t>
      </w:r>
    </w:p>
    <w:p/>
    <w:p>
      <w:pPr>
        <w:jc w:val="both"/>
      </w:pPr>
      <w:r>
        <w:rPr>
          <w:b/>
        </w:rPr>
        <w:t>3. DESCRIÇÃO DA SOLUÇÃO COMO UM TODO CONSIDERADO O CICLO DE VIDA DO OBJETO</w:t>
      </w:r>
    </w:p>
    <w:p>
      <w:pPr>
        <w:jc w:val="both"/>
      </w:pPr>
      <w:r>
        <w:rPr>
          <w:b/>
        </w:rPr>
        <w:t xml:space="preserve">3.1. </w:t>
      </w:r>
      <w:r>
        <w:rPr>
          <w:color w:val="FF0000"/>
        </w:rPr>
        <w:t>A descrição da solução como um todo encontra-se pormenorizada em tópico específico do Estudo Técnico Preliminar, apêndice deste Termo de Referência.</w:t>
      </w:r>
    </w:p>
    <w:p/>
    <w:p>
      <w:pPr>
        <w:jc w:val="both"/>
      </w:pPr>
      <w:r>
        <w:rPr>
          <w:b/>
        </w:rPr>
        <w:t>4. REQUISITOS DA CONTRATAÇÃO</w:t>
      </w:r>
    </w:p>
    <w:p>
      <w:pPr>
        <w:jc w:val="both"/>
      </w:pPr>
      <w:r>
        <w:rPr>
          <w:b/>
        </w:rPr>
        <w:t>Sustentabilidade</w:t>
      </w:r>
    </w:p>
    <w:p>
      <w:pPr>
        <w:jc w:val="both"/>
      </w:pPr>
      <w:r>
        <w:rPr>
          <w:b/>
        </w:rPr>
        <w:t xml:space="preserve">4.1. </w:t>
      </w:r>
      <w:r>
        <w:rPr>
          <w:color w:val="FF0000"/>
        </w:rPr>
        <w:t>Além dos critérios de sustentabilidade eventualmente inseridos na descrição do objeto, devem ser atendidos os seguintes requisitos:</w:t>
      </w:r>
    </w:p>
    <w:p>
      <w:pPr>
        <w:jc w:val="both"/>
      </w:pPr>
      <w:r>
        <w:rPr>
          <w:b/>
        </w:rPr>
        <w:t xml:space="preserve">4.1.1. </w:t>
      </w:r>
      <w:r>
        <w:rPr>
          <w:color w:val="FF0000"/>
        </w:rPr>
        <w:t>Os equipamentos de processamento, armazenamento e infraestrutura computacional fornecidos deverão estar em estrita conformidade com o padrão internacional RoHS (Restriction of Hazardous Substances). A CONTRATADA deverá garantir que os ativos tenham sido fabricados com restrição ao uso de substâncias nocivas ao meio ambiente, tais como cádmio (Cd), mercúrio (Hg), cromo hexavalente (Cr(VI)), bifenilos polibromados (PBBs), éteres difenilpolibromados (PBDEs) e chumbo (Pb).</w:t>
      </w:r>
    </w:p>
    <w:p>
      <w:pPr>
        <w:jc w:val="both"/>
      </w:pPr>
      <w:r>
        <w:rPr>
          <w:b/>
        </w:rPr>
        <w:t xml:space="preserve">4.1.2. </w:t>
      </w:r>
      <w:r>
        <w:rPr>
          <w:color w:val="FF0000"/>
        </w:rPr>
        <w:t>Os ativos de TI periféricos e telas de exibição integradas à solução deverão possuir certificações válidas voltadas à eficiência energética e redução de consumo elétrico, atendendo aos critérios estabelecidos pelas normas TCO (versão 03 ou superior), Energy Star (versão 5.0 ou superior) ou estarem devidamente registrados na categoria Gold do ecossistema EPEAT (Electronic Product Environmental Assessment Tool).</w:t>
      </w:r>
    </w:p>
    <w:p>
      <w:pPr>
        <w:jc w:val="both"/>
      </w:pPr>
      <w:r>
        <w:rPr>
          <w:b/>
        </w:rPr>
        <w:t>Indicação de marcas ou modelos</w:t>
      </w:r>
    </w:p>
    <w:p>
      <w:pPr>
        <w:jc w:val="both"/>
      </w:pPr>
      <w:r>
        <w:rPr>
          <w:b/>
        </w:rPr>
        <w:t xml:space="preserve">4.2. </w:t>
      </w:r>
      <w:r>
        <w:rPr>
          <w:color w:val="FF0000"/>
        </w:rPr>
        <w:t>Na presente contratação não haverá indicação de marcas ou modelos específicos. O certame será regido exclusivamente por especificações técnicas funcionais e requisitos mínimos de desempenho, qualidade e sustentabilidade estabelecidos neste Termo de Referência.</w:t>
      </w:r>
    </w:p>
    <w:p>
      <w:pPr>
        <w:jc w:val="both"/>
      </w:pPr>
      <w:r>
        <w:rPr>
          <w:b/>
        </w:rPr>
        <w:t xml:space="preserve">4.3. </w:t>
      </w:r>
      <w:r>
        <w:rPr>
          <w:color w:val="FF0000"/>
        </w:rPr>
        <w:t>Em estrita observância ao princípio da ampla competitividade e da isonomia, será admitida a participação de qualquer fabricante ou produto disponível no mercado, desde que atenda de forma integral ou superior às exigências estabelecidas pela Administração.</w:t>
      </w:r>
    </w:p>
    <w:p>
      <w:pPr>
        <w:jc w:val="both"/>
      </w:pPr>
      <w:r>
        <w:rPr>
          <w:b/>
        </w:rPr>
        <w:t>Da vedação de utilização de marca/produto na execução do serviço</w:t>
      </w:r>
    </w:p>
    <w:p>
      <w:pPr>
        <w:jc w:val="both"/>
      </w:pPr>
      <w:r>
        <w:rPr>
          <w:b/>
        </w:rPr>
        <w:t xml:space="preserve">4.4. </w:t>
      </w:r>
      <w:r>
        <w:rPr>
          <w:color w:val="FF0000"/>
        </w:rPr>
        <w:t>A Administração certifica a inexistência de vedações a marcas ou produtos específicos para a execução do objeto contratual.</w:t>
      </w:r>
    </w:p>
    <w:p>
      <w:pPr>
        <w:jc w:val="both"/>
      </w:pPr>
      <w:r>
        <w:rPr>
          <w:b/>
        </w:rPr>
        <w:t xml:space="preserve">4.5. </w:t>
      </w:r>
      <w:r>
        <w:rPr>
          <w:color w:val="FF0000"/>
        </w:rPr>
        <w:t>O certame restringe-se ao cumprimento integral dos requisitos mínimos de desempenho e qualidade estabelecidos neste Termo de Referência, sendo admitida a participação de qualquer fabricante em estrita observância ao princípio constitucional da ampla competitividade.</w:t>
      </w:r>
    </w:p>
    <w:p>
      <w:pPr>
        <w:jc w:val="both"/>
      </w:pPr>
      <w:r>
        <w:rPr>
          <w:b/>
        </w:rPr>
        <w:t>Da exigência de carta de solidariedade</w:t>
      </w:r>
    </w:p>
    <w:p>
      <w:pPr>
        <w:jc w:val="both"/>
      </w:pPr>
      <w:r>
        <w:rPr>
          <w:b/>
        </w:rPr>
        <w:t xml:space="preserve">4.6. </w:t>
      </w:r>
      <w:r>
        <w:rPr>
          <w:color w:val="FF0000"/>
        </w:rPr>
        <w:t>Não será exigida carta de solidariedade emitida pelo fabricante, que assegure a execução do contrato.</w:t>
      </w:r>
    </w:p>
    <w:p>
      <w:pPr>
        <w:jc w:val="both"/>
      </w:pPr>
      <w:r>
        <w:rPr>
          <w:b/>
        </w:rPr>
        <w:t>Garantia da contratação</w:t>
      </w:r>
    </w:p>
    <w:p>
      <w:pPr>
        <w:jc w:val="both"/>
      </w:pPr>
      <w:r>
        <w:rPr>
          <w:b/>
        </w:rPr>
        <w:t xml:space="preserve">4.7. </w:t>
      </w:r>
      <w:r>
        <w:rPr>
          <w:color w:val="FF0000"/>
        </w:rPr>
        <w:t>Será exigida a garantia da contratação de que tratam os arts. 96 e seguintes da Lei nº 14.133, de 2021, no percentual e condições descritas nas cláusulas do contrato.</w:t>
      </w:r>
    </w:p>
    <w:p>
      <w:pPr>
        <w:jc w:val="both"/>
      </w:pPr>
      <w:r>
        <w:rPr>
          <w:b/>
        </w:rPr>
        <w:t xml:space="preserve">4.8. </w:t>
      </w:r>
      <w:r>
        <w:rPr>
          <w:color w:val="FF0000"/>
        </w:rPr>
        <w:t>No prazo de convocação para formalização da contratação, e anteriormente à celebração da contratação, o fornecedor deverá prestar garantia, podendo optar por uma das seguintes modalidades:</w:t>
      </w:r>
    </w:p>
    <w:p>
      <w:pPr>
        <w:jc w:val="both"/>
      </w:pPr>
      <w:r>
        <w:rPr>
          <w:b/>
        </w:rPr>
        <w:t xml:space="preserve">I. </w:t>
      </w:r>
      <w:r>
        <w:rPr>
          <w:color w:val="FF0000"/>
        </w:rPr>
        <w:t>Caução em dinheiro. A garantia em dinheiro deverá ser efetuada mediante depósito bancário em favor do Contratante no Banco do Brasil, em conta que contemple a correção monetária do valor depositado;</w:t>
      </w:r>
    </w:p>
    <w:p>
      <w:pPr>
        <w:jc w:val="both"/>
      </w:pPr>
      <w:r>
        <w:rPr>
          <w:b/>
        </w:rPr>
        <w:t xml:space="preserve">II. </w:t>
      </w:r>
      <w:r>
        <w:rPr>
          <w:color w:val="FF0000"/>
        </w:rPr>
        <w:t>Caução em títulos da dívida pública. Serão admitidos apenas títulos da dívida pública emitidos sob a forma escritural, mediante registro em sistema centralizado de liquidação e de custódia autorizado pelo Banco Central do Brasil e avaliados pelos seus valores econômicos, conforme definido pelo Ministério competente;</w:t>
      </w:r>
    </w:p>
    <w:p>
      <w:pPr>
        <w:jc w:val="both"/>
      </w:pPr>
      <w:r>
        <w:rPr>
          <w:b/>
        </w:rPr>
        <w:t xml:space="preserve">III. </w:t>
      </w:r>
      <w:r>
        <w:rPr>
          <w:color w:val="FF0000"/>
        </w:rPr>
        <w:t>Fiança bancária. Feita a opção pela fiança bancária, no instrumento deverá constar a renúncia expressa do fiador aos benefícios do artigo 827 do Código Civil. Será admitida fiança bancária emitida por banco ou instituição financeira devidamente autorizada a operar no País pelo Banco Central do Brasil;</w:t>
      </w:r>
    </w:p>
    <w:p>
      <w:pPr>
        <w:jc w:val="both"/>
      </w:pPr>
      <w:r>
        <w:rPr>
          <w:b/>
        </w:rPr>
        <w:t xml:space="preserve">IV. </w:t>
      </w:r>
      <w:r>
        <w:rPr>
          <w:color w:val="FF0000"/>
        </w:rPr>
        <w:t>Seguro-garantia. A apólice de seguro-garantia somente será aceita se contemplar todos os eventos indicados em conformidade com a subdivisão posterior,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em conformidade com a subdivisão posterior, observada a legislação que rege a matéria;</w:t>
      </w:r>
    </w:p>
    <w:p>
      <w:pPr>
        <w:jc w:val="both"/>
      </w:pPr>
      <w:r>
        <w:rPr>
          <w:b/>
        </w:rPr>
        <w:t xml:space="preserve">V. </w:t>
      </w:r>
      <w:r>
        <w:rPr>
          <w:color w:val="FF0000"/>
        </w:rPr>
        <w:t>Título de capitalização. Serão admitidos apenas títulos de capitalização conforme a modalidade instrumento de garantia custeados por pagamento único, com resgate pelo valor total, emitidos com observância da legislação que rege a matéria.</w:t>
      </w:r>
    </w:p>
    <w:p>
      <w:pPr>
        <w:jc w:val="both"/>
      </w:pPr>
      <w:r>
        <w:rPr>
          <w:b/>
        </w:rPr>
        <w:t xml:space="preserve">4.8.1. </w:t>
      </w:r>
      <w:r>
        <w:rPr>
          <w:color w:val="FF0000"/>
        </w:rPr>
        <w:t>A não prestação da garantia equivale à recusa injustificada de formalização da contratação, caracterizando descumprimento total da obrigação assumida e sujeitando o fornecedor vencedor às sanções previstas nas normas pertinentes.</w:t>
      </w:r>
    </w:p>
    <w:p>
      <w:pPr>
        <w:jc w:val="both"/>
      </w:pPr>
      <w:r>
        <w:rPr>
          <w:b/>
        </w:rPr>
        <w:t xml:space="preserve">4.9. </w:t>
      </w:r>
      <w:r>
        <w:rPr>
          <w:color w:val="FF0000"/>
        </w:rPr>
        <w:t>O contrato estabelece a disciplina que será aplicada em relação à garantia da contratação.</w:t>
      </w:r>
    </w:p>
    <w:p>
      <w:pPr>
        <w:jc w:val="both"/>
      </w:pPr>
      <w:r>
        <w:rPr>
          <w:b/>
        </w:rPr>
        <w:t>Vistoria</w:t>
      </w:r>
    </w:p>
    <w:p>
      <w:pPr>
        <w:jc w:val="both"/>
      </w:pPr>
      <w:r>
        <w:rPr>
          <w:b/>
        </w:rPr>
        <w:t xml:space="preserve">4.10. </w:t>
      </w:r>
      <w:r>
        <w:rPr>
          <w:color w:val="FF0000"/>
        </w:rPr>
        <w:t>Não há necessidade de realização de avaliação prévia do local de execução dos serviços.</w:t>
      </w:r>
    </w:p>
    <w:p/>
    <w:p>
      <w:pPr>
        <w:jc w:val="both"/>
      </w:pPr>
      <w:r>
        <w:rPr>
          <w:b/>
        </w:rPr>
        <w:t>5. MODELO DE EXECUÇÃO DO OBJETO</w:t>
      </w:r>
    </w:p>
    <w:p>
      <w:pPr>
        <w:jc w:val="both"/>
      </w:pPr>
      <w:r>
        <w:rPr>
          <w:b/>
        </w:rPr>
        <w:t>Condições de execução</w:t>
      </w:r>
    </w:p>
    <w:p>
      <w:pPr>
        <w:jc w:val="both"/>
      </w:pPr>
      <w:r>
        <w:rPr>
          <w:b/>
        </w:rPr>
        <w:t xml:space="preserve">5.1. </w:t>
      </w:r>
      <w:r>
        <w:rPr>
          <w:color w:val="FF0000"/>
        </w:rPr>
        <w:t>A execução do objeto seguirá a seguinte dinâmica:</w:t>
      </w:r>
    </w:p>
    <w:p>
      <w:pPr>
        <w:jc w:val="both"/>
      </w:pPr>
      <w:r>
        <w:rPr>
          <w:b/>
        </w:rPr>
        <w:t xml:space="preserve">5.1.1. </w:t>
      </w:r>
      <w:r>
        <w:rPr>
          <w:color w:val="FF0000"/>
        </w:rPr>
        <w:t>A execução do objeto seguirá a seguinte dinâmica:</w:t>
      </w:r>
    </w:p>
    <w:p>
      <w:pPr>
        <w:jc w:val="both"/>
      </w:pPr>
      <w:r>
        <w:rPr>
          <w:b/>
        </w:rPr>
        <w:t xml:space="preserve">5.1.2. </w:t>
      </w:r>
      <w:r>
        <w:rPr>
          <w:color w:val="FF0000"/>
        </w:rPr>
        <w:t>Descrição detalhada dos métodos, rotinas, etapas, tecnologias, procedimentos, frequência e periodicidade de execução do trabalho:</w:t>
      </w:r>
    </w:p>
    <w:p>
      <w:pPr>
        <w:jc w:val="both"/>
      </w:pPr>
      <w:r>
        <w:rPr>
          <w:b/>
        </w:rPr>
        <w:t xml:space="preserve">5.1.2.1. </w:t>
      </w:r>
      <w:r>
        <w:rPr>
          <w:color w:val="FF0000"/>
        </w:rPr>
        <w:t>As descrições dos métodos métodos, rotinas, etapas, tecnologias, procedimentos, frequência e periodicidade de execução do trabalho estão descritos no item 12 do Estudo Técnico Preliminar XX/XXXX</w:t>
      </w:r>
    </w:p>
    <w:p>
      <w:pPr>
        <w:jc w:val="both"/>
      </w:pPr>
      <w:r>
        <w:rPr>
          <w:b/>
        </w:rPr>
        <w:t xml:space="preserve">5.1.3. </w:t>
      </w:r>
      <w:r>
        <w:rPr>
          <w:color w:val="FF0000"/>
        </w:rPr>
        <w:t>Cronograma de realização dos serviços:</w:t>
      </w:r>
    </w:p>
    <w:p>
      <w:pPr>
        <w:jc w:val="both"/>
      </w:pPr>
      <w:r>
        <w:rPr>
          <w:b/>
        </w:rPr>
        <w:t xml:space="preserve">5.1.3.1. </w:t>
      </w:r>
      <w:r>
        <w:rPr>
          <w:color w:val="FF0000"/>
        </w:rPr>
        <w:t>As descrições dos métodos métodos, rotinas, etapas, tecnologias, procedimentos, frequência e periodicidade de execução do trabalho estão descritos no item 12 do Estudo Técnico Preliminar XX/XXXX</w:t>
      </w:r>
    </w:p>
    <w:p>
      <w:pPr>
        <w:jc w:val="both"/>
      </w:pPr>
      <w:r>
        <w:rPr>
          <w:b/>
        </w:rPr>
        <w:t>Local e horário da prestação dos serviços</w:t>
      </w:r>
    </w:p>
    <w:p>
      <w:pPr>
        <w:jc w:val="both"/>
      </w:pPr>
      <w:r>
        <w:rPr>
          <w:b/>
        </w:rPr>
        <w:t xml:space="preserve">5.2. </w:t>
      </w:r>
      <w:r>
        <w:rPr>
          <w:color w:val="FF0000"/>
        </w:rPr>
        <w:t>Os serviços serão prestados no(s) seguinte(s) endereço(s): R. Iaiá, 126 - Itaim Bibi, São Paulo - SP, 04542-906</w:t>
      </w:r>
    </w:p>
    <w:p>
      <w:pPr>
        <w:jc w:val="both"/>
      </w:pPr>
      <w:r>
        <w:rPr>
          <w:b/>
        </w:rPr>
        <w:t xml:space="preserve">5.3. </w:t>
      </w:r>
      <w:r>
        <w:rPr>
          <w:color w:val="FF0000"/>
        </w:rPr>
        <w:t>Os serviços serão prestados no seguinte horário: 08:00 às 19:00 exceto sábados, domingos e feriados</w:t>
      </w:r>
    </w:p>
    <w:p>
      <w:pPr>
        <w:jc w:val="both"/>
      </w:pPr>
      <w:r>
        <w:rPr>
          <w:b/>
        </w:rPr>
        <w:t>Rotinas a serem cumpridas</w:t>
      </w:r>
    </w:p>
    <w:p>
      <w:pPr>
        <w:jc w:val="both"/>
      </w:pPr>
      <w:r>
        <w:rPr>
          <w:b/>
        </w:rPr>
        <w:t xml:space="preserve">5.4. </w:t>
      </w:r>
      <w:r>
        <w:rPr>
          <w:color w:val="FF0000"/>
        </w:rPr>
        <w:t>A execução contratual observará as rotinas abaixo:</w:t>
      </w:r>
    </w:p>
    <w:p>
      <w:pPr>
        <w:jc w:val="both"/>
      </w:pPr>
      <w:r>
        <w:rPr>
          <w:b/>
        </w:rPr>
        <w:t xml:space="preserve">5.4.1. </w:t>
      </w:r>
      <w:r>
        <w:rPr>
          <w:color w:val="FF0000"/>
        </w:rPr>
        <w:t>As descrições dos métodos métodos, rotinas, etapas, tecnologias, procedimentos, frequência e periodicidade de execução do trabalho estão descritos no item 12 do Estudo Técnico Preliminar XX/XXXX</w:t>
      </w:r>
    </w:p>
    <w:p>
      <w:pPr>
        <w:jc w:val="both"/>
      </w:pPr>
      <w:r>
        <w:rPr>
          <w:b/>
        </w:rPr>
        <w:t>Materiais a serem disponibilizados</w:t>
      </w:r>
    </w:p>
    <w:p>
      <w:pPr>
        <w:jc w:val="both"/>
      </w:pPr>
      <w:r>
        <w:rPr>
          <w:b/>
        </w:rPr>
        <w:t xml:space="preserve">5.5. </w:t>
      </w:r>
      <w:r>
        <w:rPr>
          <w:color w:val="FF0000"/>
        </w:rPr>
        <w:t>Para a perfeita execução dos serviços, o Contratado deverá disponibilizar os materiais, equipamentos, ferramentas e utensílios necessários, nas quantidades estimadas e qualidades a seguir estabelecidas, promovendo sua substituição quando necessário:</w:t>
      </w:r>
    </w:p>
    <w:p>
      <w:pPr>
        <w:jc w:val="both"/>
      </w:pPr>
      <w:r>
        <w:rPr>
          <w:b/>
        </w:rPr>
        <w:t xml:space="preserve">5.5.1. </w:t>
      </w:r>
      <w:r>
        <w:rPr>
          <w:color w:val="FF0000"/>
        </w:rPr>
        <w:t>Fornecimento, em regime de locação (HaaS), de 03 (três) Servidores de alto desempenho para o cluster de virtualização (Proxmox VE/Ceph) e 01 (um) Servidor dedicado para o repositório de backup (Proxmox Backup Server), todos novos e de primeiro uso, equipados com processadores corporativos, memória RAM, unidades de armazenamento de alta performance (SSD NVMe e HDDs Enterprise Nearline) e controladoras de disco em conformidade com as especificações mínimas do Termo de Referência.</w:t>
      </w:r>
    </w:p>
    <w:p>
      <w:pPr>
        <w:jc w:val="both"/>
      </w:pPr>
      <w:r>
        <w:rPr>
          <w:b/>
        </w:rPr>
        <w:t xml:space="preserve">5.5.2. </w:t>
      </w:r>
      <w:r>
        <w:rPr>
          <w:color w:val="FF0000"/>
        </w:rPr>
        <w:t>Disponibilização de, no mínimo, 02 (dois) Switches de agregação operando em arquitetura redundante ativa-ativa (non-blocking), incluindo todos os módulos transceptores ópticos SFP+ e SFP28 originais e homologados pelo fabricante, cabos de conexão direta (DAC), kits de fixação retráteis para rack padrão 19 polegadas e demais insumos de cabeamento necessários para interligação do cluster e uplinks de borda.</w:t>
      </w:r>
    </w:p>
    <w:p>
      <w:pPr>
        <w:jc w:val="both"/>
      </w:pPr>
      <w:r>
        <w:rPr>
          <w:b/>
        </w:rPr>
        <w:t xml:space="preserve">5.5.3. </w:t>
      </w:r>
      <w:r>
        <w:rPr>
          <w:color w:val="FF0000"/>
        </w:rPr>
        <w:t>Fornecimento de 02 (dois) Nobreaks gerenciados com potência de 05 kVA para sustentação do cluster principal e 06 (seis) Nobreaks gerenciados com potência de 03 kVA para sustentação dos racks de distribuição (Telecom, Segurança e Backbone), todos com tecnologia on-line de dupla conversão, banco de baterias com autonomia mínima de 40 minutos a plena carga, transformador isolador e interfaces de gerenciamento remoto TCP/IP integradas.</w:t>
        <w:br/>
      </w:r>
      <w:r>
        <w:br/>
      </w:r>
      <w:r>
        <w:rPr>
          <w:color w:val="FF0000"/>
        </w:rPr>
        <w:t>Informações relevantes para o dimensionamento da proposta</w:t>
      </w:r>
    </w:p>
    <w:p>
      <w:pPr>
        <w:jc w:val="both"/>
      </w:pPr>
      <w:r>
        <w:rPr>
          <w:b/>
        </w:rPr>
        <w:t xml:space="preserve">5.6. </w:t>
      </w:r>
      <w:r>
        <w:rPr>
          <w:color w:val="FF0000"/>
        </w:rPr>
        <w:t>A demanda do órgão tem como base as seguintes características:</w:t>
      </w:r>
    </w:p>
    <w:p>
      <w:pPr>
        <w:jc w:val="both"/>
      </w:pPr>
      <w:r>
        <w:rPr>
          <w:b/>
        </w:rPr>
        <w:t xml:space="preserve">5.6.1. </w:t>
      </w:r>
      <w:r>
        <w:rPr>
          <w:color w:val="FF0000"/>
        </w:rPr>
        <w:t>Existência de um parque computacional composto por servidores Dell PowerEdge R720 herdados da extinta empresa pública DERSA, os quais encontram-se em avançado estado de obsolescência técnica e operacional. Estes ativos operam de forma isolada, em fim de vida útil (End of Life - EOL) e sem suporte oficial ou garantia dos fabricantes , gerando um ambiente fragmentado, com virtualização executada de maneira independente em cada nó, o que inviabiliza a alta disponibilidade e eleva o risco iminente de falhas físicas e perda irreversível de dados estratégicos institucionais.</w:t>
      </w:r>
    </w:p>
    <w:p>
      <w:pPr>
        <w:jc w:val="both"/>
      </w:pPr>
      <w:r>
        <w:rPr>
          <w:b/>
        </w:rPr>
        <w:t xml:space="preserve">5.6.2. </w:t>
      </w:r>
      <w:r>
        <w:rPr>
          <w:color w:val="FF0000"/>
        </w:rPr>
        <w:t>Cenário de Ponto Único de Falha (Single Point of Failure - SPOF) na infraestrutura de energia, decorrente da dependência exclusiva de um único nobreak centralizado de grande porte, com capacidade nominal de 10kVA, também em estado avançado de obsolescência. Qualquer pane, desgaste de baterias ou interrupção neste dispositivo elétrico acarreta o desligamento abrupto e imediato de todo o ecossistema de servidores e storages do órgão , provocando a corrupção de bancos de dados e paradas não programadas que ferem o princípio da continuidade do serviço público.</w:t>
      </w:r>
    </w:p>
    <w:p>
      <w:pPr>
        <w:jc w:val="both"/>
      </w:pPr>
      <w:r>
        <w:rPr>
          <w:b/>
        </w:rPr>
        <w:t xml:space="preserve">5.6.3. </w:t>
      </w:r>
      <w:r>
        <w:rPr>
          <w:color w:val="FF0000"/>
        </w:rPr>
        <w:t>Expansão progressiva, permanente e acelerada do consumo de recursos computacionais, capacidade de processamento, armazenamento e conectividade na pasta. Essa realidade decorre da intensa transformação digital promovida na Administração Pública , que converteu rotinas manuais em processos intensivos de tramitação eletrônica, modelagem financeira de concessões de grande relevância estadual e monitoramento de contratos, demandando uma infraestrutura moderna, resiliente e escalável.</w:t>
      </w:r>
    </w:p>
    <w:p>
      <w:pPr>
        <w:jc w:val="both"/>
      </w:pPr>
      <w:r>
        <w:rPr>
          <w:b/>
        </w:rPr>
        <w:t>Especificação da garantia do serviço</w:t>
      </w:r>
    </w:p>
    <w:p>
      <w:pPr>
        <w:jc w:val="both"/>
      </w:pPr>
      <w:r>
        <w:rPr>
          <w:b/>
        </w:rPr>
        <w:t xml:space="preserve">5.7. </w:t>
      </w:r>
      <w:r>
        <w:rPr>
          <w:color w:val="FF0000"/>
        </w:rPr>
        <w:t>O prazo de garantia contratual dos serviços, complementar à garantia legal, será de, no mínimo 60 (sessenta) meses, contado a partir do 1º (primeiro) dia útil subsequente à data do recebimento definitivo do objeto.</w:t>
      </w:r>
    </w:p>
    <w:p>
      <w:pPr>
        <w:jc w:val="both"/>
      </w:pPr>
      <w:r>
        <w:rPr>
          <w:b/>
        </w:rPr>
        <w:t>Procedimentos de transição e finalização do contrato</w:t>
      </w:r>
    </w:p>
    <w:p>
      <w:pPr>
        <w:jc w:val="both"/>
      </w:pPr>
      <w:r>
        <w:rPr>
          <w:b/>
        </w:rPr>
        <w:t xml:space="preserve">5.8. </w:t>
      </w:r>
      <w:r>
        <w:t>Os procedimentos de transição e finalização do contrato constituem-se das seguintes etapas:</w:t>
      </w:r>
    </w:p>
    <w:p>
      <w:pPr>
        <w:jc w:val="both"/>
      </w:pPr>
      <w:r>
        <w:rPr>
          <w:b/>
        </w:rPr>
        <w:t xml:space="preserve">5.8.1. </w:t>
      </w:r>
      <w:r>
        <w:rPr>
          <w:color w:val="FF0000"/>
        </w:rPr>
        <w:t>Elaboração conjunta, entre a CONTRATANTE e a CONTRATADA, de um Cronograma de Transição Técnica em até 60 (sessenta) dias antes do término contratual. Esta etapa compreende o mapeamento de todas as cargas de trabalho, máquinas virtuais e volumes do armazenamento distribuído (Ceph) ativos no cluster, definindo a janela de manutenção e as responsabilidades para a transferência segura e integral dos workloads para a nova solução tecnológica indicada pela Administração.</w:t>
      </w:r>
    </w:p>
    <w:p>
      <w:pPr>
        <w:jc w:val="both"/>
      </w:pPr>
      <w:r>
        <w:rPr>
          <w:b/>
        </w:rPr>
        <w:t xml:space="preserve">5.8.2. </w:t>
      </w:r>
      <w:r>
        <w:rPr>
          <w:color w:val="FF0000"/>
        </w:rPr>
        <w:t>Execução, por parte da CONTRATADA e sob supervisão da equipe de TI da CONTRATANTE, de procedimentos rigorosos de eliminação definitiva de dados (data wiping) em todas as mídias de armazenamento que compunham o cluster e o servidor de backup (SSDs NVMe e HDDs). O processo deve seguir normas internacionais de segurança da informação (como a NIST SP 800-88), garantindo a impossibilidade de recuperação posterior de dados institucionais e de modelagens de projetos estaduais, culminando na emissão do respectivo Certificado de Sanetização de Mídias.</w:t>
      </w:r>
    </w:p>
    <w:p>
      <w:pPr>
        <w:jc w:val="both"/>
      </w:pPr>
      <w:r>
        <w:rPr>
          <w:b/>
        </w:rPr>
        <w:t xml:space="preserve">5.8.3. </w:t>
      </w:r>
      <w:r>
        <w:rPr>
          <w:color w:val="FF0000"/>
        </w:rPr>
        <w:t>Realização de inventário físico completo de todos os equipamentos locados (servidores rack, servidor torre, switches de agregação, nobreaks de 5kVA e 3kVA, além de todos os cabos, transceptores e kits de trilhos). Após a validação do inventário e a emissão do Termo de Encerramento de Migração, a CONTRATADA procederá com a desinstalação física, empacotamento e retirada dos ativos das dependências do órgão, sem gerar ônus adicionais ou danos à infraestrutura predial e elétrica do CPD da Secretaria.</w:t>
      </w:r>
    </w:p>
    <w:p/>
    <w:p>
      <w:pPr>
        <w:jc w:val="both"/>
      </w:pPr>
      <w:r>
        <w:rPr>
          <w:b/>
        </w:rPr>
        <w:t>6. MODELO DE GESTÃO DO CONTRATO</w:t>
      </w:r>
    </w:p>
    <w:p>
      <w:pPr>
        <w:jc w:val="both"/>
      </w:pPr>
      <w:r>
        <w:rPr>
          <w:b/>
        </w:rPr>
        <w:t xml:space="preserve">6.1. </w:t>
      </w:r>
      <w:r>
        <w:t>O contrato deverá ser executado fielmente pelas partes, de acordo com as cláusulas avençadas e as normas da Lei nº 14.133, de 2021, e cada parte responderá pelas consequências de sua inexecução total ou parcial.</w:t>
      </w:r>
    </w:p>
    <w:p>
      <w:pPr>
        <w:jc w:val="both"/>
      </w:pPr>
      <w:r>
        <w:rPr>
          <w:b/>
        </w:rPr>
        <w:t xml:space="preserve">6.2. </w:t>
      </w:r>
      <w:r>
        <w:t>Em caso de impedimento, ordem de paralisação ou suspensão do contrato, o cronograma de execução será prorrogado automaticamente pelo tempo correspondente, anotadas tais circunstâncias mediante simples apostila.</w:t>
      </w:r>
    </w:p>
    <w:p>
      <w:pPr>
        <w:jc w:val="both"/>
      </w:pPr>
      <w:r>
        <w:rPr>
          <w:b/>
        </w:rPr>
        <w:t xml:space="preserve">6.3. </w:t>
      </w:r>
      <w:r>
        <w:t>As comunicações entre o Contratante e o Contratado devem ser realizadas por escrito sempre que o ato exigir tal formalidade, admitindo-se o uso de mensagem eletrônica para esse fim.</w:t>
      </w:r>
    </w:p>
    <w:p>
      <w:pPr>
        <w:jc w:val="both"/>
      </w:pPr>
      <w:r>
        <w:rPr>
          <w:b/>
        </w:rPr>
        <w:t xml:space="preserve">6.4. </w:t>
      </w:r>
      <w:r>
        <w:t>O Contratante poderá convocar representante do Contratado para adoção de providências que devam ser cumpridas de imediato.</w:t>
      </w:r>
    </w:p>
    <w:p>
      <w:pPr>
        <w:jc w:val="both"/>
      </w:pPr>
      <w:r>
        <w:rPr>
          <w:b/>
        </w:rPr>
        <w:t xml:space="preserve">6.5. </w:t>
      </w:r>
      <w:r>
        <w:t>Após a celebração da contratação, o Contratante poderá convocar o representante do Contratado para reunião inicial para apresentação do plano de fiscalização, que conterá informações acerca das obrigações contratuais, dos mecanismos de fiscalização, das estratégias para execução do objeto, do plano complementar de execução do Contratado, quando houver, do método de aferição dos resultados e das sanções aplicáveis, dentre outros.</w:t>
      </w:r>
    </w:p>
    <w:p>
      <w:pPr>
        <w:jc w:val="both"/>
      </w:pPr>
      <w:r>
        <w:rPr>
          <w:b/>
        </w:rPr>
        <w:t>Preposto</w:t>
      </w:r>
    </w:p>
    <w:p>
      <w:pPr>
        <w:jc w:val="both"/>
      </w:pPr>
      <w:r>
        <w:rPr>
          <w:b/>
        </w:rPr>
        <w:t xml:space="preserve">6.6. </w:t>
      </w:r>
      <w:r>
        <w:t>O Contratado designará formalmente o seu preposto, antes do início da prestação dos serviços, indicando no instrumento os poderes e deveres em relação à execução do objeto contratado.</w:t>
      </w:r>
    </w:p>
    <w:p>
      <w:pPr>
        <w:jc w:val="both"/>
      </w:pPr>
      <w:r>
        <w:rPr>
          <w:b/>
        </w:rPr>
        <w:t xml:space="preserve">6.7. </w:t>
      </w:r>
      <w:r>
        <w:t>O Contratante poderá recusar, desde que justificadamente, a indicação ou a manutenção do preposto do Contratado, hipótese em que o Contratado designará outro para o exercício da atividade.</w:t>
      </w:r>
    </w:p>
    <w:p>
      <w:pPr>
        <w:jc w:val="both"/>
      </w:pPr>
      <w:r>
        <w:rPr>
          <w:b/>
        </w:rPr>
        <w:t>Fiscalização</w:t>
      </w:r>
    </w:p>
    <w:p>
      <w:pPr>
        <w:jc w:val="both"/>
      </w:pPr>
      <w:r>
        <w:rPr>
          <w:b/>
        </w:rPr>
        <w:t xml:space="preserve">6.8. </w:t>
      </w:r>
      <w:r>
        <w:t>A execução do contrato deverá ser acompanhada e fiscalizada pelo(s) fiscal(is) do contrato, ou pelo(s) respectivo(s) substituto(s) (Lei nº 14.133, de 2021, art. 117, caput).</w:t>
      </w:r>
    </w:p>
    <w:p>
      <w:pPr>
        <w:jc w:val="both"/>
      </w:pPr>
      <w:r>
        <w:rPr>
          <w:b/>
        </w:rPr>
        <w:t>Fiscalização Técnica</w:t>
      </w:r>
    </w:p>
    <w:p>
      <w:pPr>
        <w:jc w:val="both"/>
      </w:pPr>
      <w:r>
        <w:rPr>
          <w:b/>
        </w:rPr>
        <w:t xml:space="preserve">6.9. </w:t>
      </w:r>
      <w:r>
        <w:t>O fiscal técnico do contrato acompanhará a execução do contrato, para que sejam cumpridas todas as condições estabelecidas no contrato, de modo a assegurar os melhores resultados para a Administração (Decreto estadual nº 68.220, de 2023, art. 17).</w:t>
      </w:r>
    </w:p>
    <w:p>
      <w:pPr>
        <w:jc w:val="both"/>
      </w:pPr>
      <w:r>
        <w:rPr>
          <w:b/>
        </w:rPr>
        <w:t xml:space="preserve">6.10. </w:t>
      </w:r>
      <w:r>
        <w:t>O fiscal técnico do contrato anotará no histórico de gerenciamento do contrato todas as ocorrências relacionadas à execução do contrato, com a descrição do que for necessário para a regularização das faltas ou dos defeitos observados (Lei nº 14.133, de 2021, art. 117, § 1º e Decreto estadual nº 68.220, de 2023, art. 17, inciso II).</w:t>
      </w:r>
    </w:p>
    <w:p>
      <w:pPr>
        <w:jc w:val="both"/>
      </w:pPr>
      <w:r>
        <w:rPr>
          <w:b/>
        </w:rPr>
        <w:t xml:space="preserve">6.11. </w:t>
      </w:r>
      <w:r>
        <w:t>O fiscal técnico realizará, em conformidade com cronograma físico-financeiro, as medições dos serviços executados e aprovará a planilha de medição emitida pelo Contratado (Decreto estadual nº 68.220, de 2023, art. 17, inciso III).</w:t>
      </w:r>
    </w:p>
    <w:p>
      <w:pPr>
        <w:jc w:val="both"/>
      </w:pPr>
      <w:r>
        <w:rPr>
          <w:b/>
        </w:rPr>
        <w:t xml:space="preserve">6.12. </w:t>
      </w:r>
      <w:r>
        <w:t>O fiscal técnico adotará medidas preventivas de controle de contratos, manifestando-se quanto à necessidade de suspensão da execução do objeto (Decreto estadual nº 68.220, de 2023, art. 17, inciso IV).</w:t>
      </w:r>
    </w:p>
    <w:p>
      <w:pPr>
        <w:jc w:val="both"/>
      </w:pPr>
      <w:r>
        <w:rPr>
          <w:b/>
        </w:rPr>
        <w:t xml:space="preserve">6.13. </w:t>
      </w:r>
      <w:r>
        <w:t>O fiscal técnico do contrato informará ao gestor do contato, em tempo hábil, a situação que demandar decisão ou adoção de medidas que ultrapassem sua competência, para que adote as medidas necessárias e saneadoras, se for o caso (Lei federal nº 14.133, de 2021, art. 117, § 2º).</w:t>
      </w:r>
    </w:p>
    <w:p>
      <w:pPr>
        <w:jc w:val="both"/>
      </w:pPr>
      <w:r>
        <w:rPr>
          <w:b/>
        </w:rPr>
        <w:t xml:space="preserve">6.14. </w:t>
      </w:r>
      <w:r>
        <w:t>No caso de ocorrências que possam inviabilizar a execução do contrato nas datas aprazadas, o fiscal técnico do contrato comunicará o fato imediatamente ao gestor do contrato (Decreto estadual nº 68.220, de 2023, art. 17, inciso II).</w:t>
      </w:r>
    </w:p>
    <w:p>
      <w:pPr>
        <w:jc w:val="both"/>
      </w:pPr>
      <w:r>
        <w:rPr>
          <w:b/>
        </w:rPr>
        <w:t>Fiscalização Administrativa</w:t>
      </w:r>
    </w:p>
    <w:p>
      <w:pPr>
        <w:jc w:val="both"/>
      </w:pPr>
      <w:r>
        <w:rPr>
          <w:b/>
        </w:rPr>
        <w:t xml:space="preserve">6.15. </w:t>
      </w:r>
      <w:r>
        <w:t>O fiscal administrativo do contrato verificará a manutenção das condições de habilitação do Contratado, acompanhará o empenho, o pagamento, as garantias, as glosas e a formalização de apostilamento e termos aditivos, solicitando quaisquer documentos comprobatórios pertinentes, caso necessário (Decreto estadual nº 68.220, de 2023, art. 18, incisos II e III).</w:t>
      </w:r>
    </w:p>
    <w:p>
      <w:pPr>
        <w:jc w:val="both"/>
      </w:pPr>
      <w:r>
        <w:rPr>
          <w:b/>
        </w:rPr>
        <w:t xml:space="preserve">6.16. </w:t>
      </w:r>
      <w:r>
        <w:t>Caso ocorra descumprimento das obrigações contratuais, o fiscal administrativo do contrato atuará tempestivamente na solução do problema, reportando ao gestor do contrato para que tome as providências cabíveis, quando ultrapassar a sua competência (Decreto estadual nº 68.220, de 2023, art. 18, inciso IV).</w:t>
      </w:r>
    </w:p>
    <w:p>
      <w:pPr>
        <w:jc w:val="both"/>
      </w:pPr>
      <w:r>
        <w:rPr>
          <w:b/>
        </w:rPr>
        <w:t xml:space="preserve">6.17. </w:t>
      </w:r>
      <w:r>
        <w:t>Sempre que solicitado pelo Contratante, o Contratado deverá comprovar o cumprimento da reserva de cargos prevista em lei para pessoa com deficiência, para reabilitado da Previdência Social ou para aprendiz, bem como as reservas de cargos previstas em outras normas específicas, com a indicação dos empregados que preencherem as referidas vagas, nos termos do parágrafo único do art. 116 da Lei nº 14.133, de 2021.</w:t>
      </w:r>
    </w:p>
    <w:p>
      <w:pPr>
        <w:jc w:val="both"/>
      </w:pPr>
      <w:r>
        <w:rPr>
          <w:b/>
        </w:rPr>
        <w:t>Gestor do Contrato</w:t>
      </w:r>
    </w:p>
    <w:p>
      <w:pPr>
        <w:jc w:val="both"/>
      </w:pPr>
      <w:r>
        <w:rPr>
          <w:b/>
        </w:rPr>
        <w:t xml:space="preserve">6.18. </w:t>
      </w:r>
      <w:r>
        <w:t>O gestor do contrato exercerá a atividade de coordenação dos atos de fiscalização técnica, administrativa e setorial e dos atos preparatórios à instrução processual visando, entre outros, à prorrogação, à alteração, ao reequilíbrio, ao pagamento, à eventual aplicação de sanções e extinção do contrato (Decreto estadual nº 68.220, de 2023, inciso III do art. 2º).</w:t>
      </w:r>
    </w:p>
    <w:p>
      <w:pPr>
        <w:jc w:val="both"/>
      </w:pPr>
      <w:r>
        <w:rPr>
          <w:b/>
        </w:rPr>
        <w:t xml:space="preserve">6.19. </w:t>
      </w:r>
      <w:r>
        <w:t>O gestor do contrato acompanhará a manutenção das condições de habilitação do Contratado, para fins de empenho de despesa e pagamento, e anotará os problemas que obstem o fluxo normal da liquidação e do pagamento da despesa no relatório de riscos eventuais (Decreto estadual nº 68.220, de 2023, art. 16, inciso IX).</w:t>
      </w:r>
    </w:p>
    <w:p>
      <w:pPr>
        <w:jc w:val="both"/>
      </w:pPr>
      <w:r>
        <w:rPr>
          <w:b/>
        </w:rPr>
        <w:t xml:space="preserve">6.20. </w:t>
      </w:r>
      <w:r>
        <w:t>O gestor do contrato emitirá documento comprobatório da avaliação realizada pelos fiscais técnico, administrativo e setorial, quando houver,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 (Decreto estadual nº 68.220, de 2023, art. 16, inciso VI).</w:t>
      </w:r>
    </w:p>
    <w:p>
      <w:pPr>
        <w:jc w:val="both"/>
      </w:pPr>
      <w:r>
        <w:rPr>
          <w:b/>
        </w:rPr>
        <w:t xml:space="preserve">6.21. </w:t>
      </w:r>
      <w:r>
        <w:t>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 (Decreto estadual nº 68.220, de 2023, art. 16, inciso VIII).</w:t>
      </w:r>
    </w:p>
    <w:p>
      <w:pPr>
        <w:jc w:val="both"/>
      </w:pPr>
      <w:r>
        <w:rPr>
          <w:b/>
        </w:rPr>
        <w:t xml:space="preserve">6.22. </w:t>
      </w:r>
      <w:r>
        <w:t>O gestor do contrato deverá elaborar relatório final com informações sobre a consecução dos objetivos que tenham justificado a contratação e eventuais condutas a serem adotadas para o aprimoramento das atividades da Administração (Decreto estadual nº 68.220, de 2023, art. 16, inciso VII e parágrafo único).</w:t>
      </w:r>
    </w:p>
    <w:p>
      <w:pPr>
        <w:jc w:val="both"/>
      </w:pPr>
      <w:r>
        <w:rPr>
          <w:b/>
        </w:rPr>
        <w:t xml:space="preserve">6.23. </w:t>
      </w:r>
      <w:r>
        <w:t>O gestor do contrato deverá enviar a documentação pertinente ao setor de contratos para a formalização dos procedimentos de liquidação e pagamento, no valor dimensionado pela fiscalização e gestão nos termos do contrato.</w:t>
      </w:r>
    </w:p>
    <w:p/>
    <w:p>
      <w:pPr>
        <w:jc w:val="both"/>
      </w:pPr>
      <w:r>
        <w:rPr>
          <w:b/>
        </w:rPr>
        <w:t>7. CRITÉRIOS DE MEDIÇÃO E PAGAMENTO</w:t>
      </w:r>
    </w:p>
    <w:p>
      <w:pPr>
        <w:jc w:val="both"/>
      </w:pPr>
      <w:r>
        <w:rPr>
          <w:b/>
        </w:rPr>
        <w:t xml:space="preserve">7.1. </w:t>
      </w:r>
      <w:r>
        <w:rPr>
          <w:color w:val="FF0000"/>
        </w:rPr>
        <w:t>A avaliação da execução do objeto utilizará o Anexo I - Avaliação de Qualidade de Serviço HaaS para aferição da qualidade da prestação dos serviços.</w:t>
      </w:r>
    </w:p>
    <w:p>
      <w:pPr>
        <w:jc w:val="both"/>
      </w:pPr>
      <w:r>
        <w:rPr>
          <w:b/>
        </w:rPr>
        <w:t xml:space="preserve">7.1.1. </w:t>
      </w:r>
      <w:r>
        <w:rPr>
          <w:color w:val="FF0000"/>
        </w:rPr>
        <w:t>Será indicada a retenção ou glosa no pagamento, proporcional à irregularidade verificada, sem prejuízo das sanções cabíveis, caso se constate que o Contratado:</w:t>
      </w:r>
    </w:p>
    <w:p>
      <w:pPr>
        <w:jc w:val="both"/>
      </w:pPr>
      <w:r>
        <w:rPr>
          <w:b/>
        </w:rPr>
        <w:t xml:space="preserve">7.1.1.1. </w:t>
      </w:r>
      <w:r>
        <w:rPr>
          <w:color w:val="FF0000"/>
        </w:rPr>
        <w:t>não tenha produzido os resultados acordados;</w:t>
      </w:r>
    </w:p>
    <w:p>
      <w:pPr>
        <w:jc w:val="both"/>
      </w:pPr>
      <w:r>
        <w:rPr>
          <w:b/>
        </w:rPr>
        <w:t xml:space="preserve">7.1.1.2. </w:t>
      </w:r>
      <w:r>
        <w:rPr>
          <w:color w:val="FF0000"/>
        </w:rPr>
        <w:t>tenha deixado de executar as atividades contratadas, ou não as tenha executado com a qualidade mínima exigida; ou</w:t>
      </w:r>
    </w:p>
    <w:p>
      <w:pPr>
        <w:jc w:val="both"/>
      </w:pPr>
      <w:r>
        <w:rPr>
          <w:b/>
        </w:rPr>
        <w:t xml:space="preserve">7.1.1.3. </w:t>
      </w:r>
      <w:r>
        <w:rPr>
          <w:color w:val="FF0000"/>
        </w:rPr>
        <w:t>tenha deixado de utilizar materiais e recursos humanos exigidos para a execução do serviço, ou os tenha utilizado com qualidade ou quantidade inferior à demandada.</w:t>
      </w:r>
    </w:p>
    <w:p>
      <w:pPr>
        <w:jc w:val="both"/>
      </w:pPr>
      <w:r>
        <w:rPr>
          <w:b/>
        </w:rPr>
        <w:t xml:space="preserve">7.2. </w:t>
      </w:r>
      <w:r>
        <w:rPr>
          <w:color w:val="FF0000"/>
        </w:rPr>
        <w:t>A aferição da execução contratual para fins de pagamento considerará os seguintes critérios:</w:t>
      </w:r>
    </w:p>
    <w:p>
      <w:pPr>
        <w:jc w:val="both"/>
      </w:pPr>
      <w:r>
        <w:rPr>
          <w:b/>
        </w:rPr>
        <w:t xml:space="preserve">7.2.1. </w:t>
      </w:r>
      <w:r>
        <w:rPr>
          <w:color w:val="FF0000"/>
        </w:rPr>
        <w:t>Grupo 1 – Desempenho Profissional e Governança</w:t>
      </w:r>
    </w:p>
    <w:p>
      <w:pPr>
        <w:jc w:val="both"/>
      </w:pPr>
      <w:r>
        <w:rPr>
          <w:b/>
        </w:rPr>
        <w:t xml:space="preserve">7.2.1.1. </w:t>
      </w:r>
      <w:r>
        <w:rPr>
          <w:color w:val="FF0000"/>
        </w:rPr>
        <w:t>Gestão Executiva do Preposto e Relatórios</w:t>
        <w:tab/>
        <w:tab/>
        <w:tab/>
        <w:tab/>
        <w:br/>
      </w:r>
      <w:r>
        <w:br/>
      </w:r>
    </w:p>
    <w:p>
      <w:pPr>
        <w:jc w:val="both"/>
      </w:pPr>
      <w:r>
        <w:rPr>
          <w:b/>
        </w:rPr>
        <w:t xml:space="preserve">7.2.1.2. </w:t>
      </w:r>
      <w:r>
        <w:rPr>
          <w:color w:val="FF0000"/>
        </w:rPr>
        <w:t>Supervisão por Profissional Habilitado (ART)</w:t>
        <w:tab/>
        <w:tab/>
        <w:tab/>
        <w:tab/>
        <w:br/>
      </w:r>
      <w:r>
        <w:br/>
      </w:r>
    </w:p>
    <w:p>
      <w:pPr>
        <w:jc w:val="both"/>
      </w:pPr>
      <w:r>
        <w:rPr>
          <w:b/>
        </w:rPr>
        <w:t xml:space="preserve">7.2.1.3. </w:t>
      </w:r>
      <w:r>
        <w:rPr>
          <w:color w:val="FF0000"/>
        </w:rPr>
        <w:t>Conformidade LGPD e Segurança da Informação</w:t>
        <w:tab/>
        <w:tab/>
        <w:tab/>
        <w:tab/>
      </w:r>
    </w:p>
    <w:p>
      <w:pPr>
        <w:jc w:val="both"/>
      </w:pPr>
      <w:r>
        <w:rPr>
          <w:b/>
        </w:rPr>
        <w:t xml:space="preserve">7.2.2. </w:t>
      </w:r>
      <w:r>
        <w:rPr>
          <w:color w:val="FF0000"/>
        </w:rPr>
        <w:t>Grupo 2 – Desempenho das Atividades</w:t>
        <w:tab/>
        <w:tab/>
        <w:tab/>
        <w:tab/>
        <w:br/>
      </w:r>
      <w:r>
        <w:br/>
      </w:r>
      <w:r>
        <w:rPr>
          <w:color w:val="FF0000"/>
        </w:rPr>
        <w:tab/>
        <w:tab/>
        <w:tab/>
        <w:tab/>
        <w:br/>
      </w:r>
      <w:r>
        <w:br/>
      </w:r>
    </w:p>
    <w:p>
      <w:pPr>
        <w:jc w:val="both"/>
      </w:pPr>
      <w:r>
        <w:rPr>
          <w:b/>
        </w:rPr>
        <w:t xml:space="preserve">7.2.2.1. </w:t>
      </w:r>
      <w:r>
        <w:rPr>
          <w:color w:val="FF0000"/>
        </w:rPr>
        <w:t>SLA de Atendimento e Manutenção Corretiva</w:t>
        <w:tab/>
        <w:tab/>
        <w:tab/>
        <w:tab/>
        <w:br/>
      </w:r>
      <w:r>
        <w:br/>
      </w:r>
    </w:p>
    <w:p>
      <w:pPr>
        <w:jc w:val="both"/>
      </w:pPr>
      <w:r>
        <w:rPr>
          <w:b/>
        </w:rPr>
        <w:t xml:space="preserve">7.2.2.2. </w:t>
      </w:r>
      <w:r>
        <w:rPr>
          <w:color w:val="FF0000"/>
        </w:rPr>
        <w:t>Sustentação de Cluster, Backup e Armazenamento</w:t>
        <w:tab/>
        <w:tab/>
        <w:tab/>
        <w:tab/>
        <w:br/>
      </w:r>
      <w:r>
        <w:br/>
      </w:r>
    </w:p>
    <w:p>
      <w:pPr>
        <w:jc w:val="both"/>
      </w:pPr>
      <w:r>
        <w:rPr>
          <w:b/>
        </w:rPr>
        <w:t xml:space="preserve">7.2.2.3. </w:t>
      </w:r>
      <w:r>
        <w:rPr>
          <w:color w:val="FF0000"/>
        </w:rPr>
        <w:t>Auditoria Periódica de Vulnerabilidade</w:t>
        <w:tab/>
        <w:tab/>
        <w:tab/>
        <w:tab/>
      </w:r>
    </w:p>
    <w:p>
      <w:pPr>
        <w:jc w:val="both"/>
      </w:pPr>
      <w:r>
        <w:rPr>
          <w:b/>
        </w:rPr>
        <w:t xml:space="preserve">7.2.3. </w:t>
      </w:r>
      <w:r>
        <w:rPr>
          <w:color w:val="FF0000"/>
        </w:rPr>
        <w:t>Grupo 3 – Gerenciamento</w:t>
        <w:tab/>
        <w:tab/>
        <w:tab/>
        <w:tab/>
        <w:br/>
      </w:r>
      <w:r>
        <w:br/>
      </w:r>
    </w:p>
    <w:p>
      <w:pPr>
        <w:jc w:val="both"/>
      </w:pPr>
      <w:r>
        <w:rPr>
          <w:b/>
        </w:rPr>
        <w:t xml:space="preserve">7.2.3.1. </w:t>
      </w:r>
      <w:r>
        <w:rPr>
          <w:color w:val="FF0000"/>
        </w:rPr>
        <w:tab/>
        <w:tab/>
        <w:tab/>
        <w:tab/>
        <w:t>Sustentação da Plataforma de Virtualização, Backup e Alta Disponibilidade</w:t>
        <w:tab/>
        <w:tab/>
        <w:tab/>
        <w:tab/>
      </w:r>
    </w:p>
    <w:p>
      <w:pPr>
        <w:jc w:val="both"/>
      </w:pPr>
      <w:r>
        <w:rPr>
          <w:b/>
        </w:rPr>
        <w:t xml:space="preserve">7.2.3.2. </w:t>
      </w:r>
      <w:r>
        <w:rPr>
          <w:color w:val="FF0000"/>
        </w:rPr>
        <w:t>Regularidade Fiscal, Social, Trabalhista e Contratual</w:t>
        <w:tab/>
        <w:tab/>
        <w:tab/>
        <w:tab/>
      </w:r>
    </w:p>
    <w:p>
      <w:pPr>
        <w:jc w:val="both"/>
      </w:pPr>
      <w:r>
        <w:rPr>
          <w:b/>
        </w:rPr>
        <w:t xml:space="preserve">7.2.4. </w:t>
      </w:r>
      <w:r>
        <w:t>O pagamento estará vinculado exclusivamente à entrega efetiva dos produtos ou serviços contratados, devidamente concluídos, testados e homologados pela CONTRATANTE, sendo vedado o pagamento por atividades intermediárias, esforços não concluídos ou disponibilização de recursos humanos;</w:t>
      </w:r>
    </w:p>
    <w:p>
      <w:pPr>
        <w:jc w:val="both"/>
      </w:pPr>
      <w:r>
        <w:rPr>
          <w:b/>
        </w:rPr>
        <w:t xml:space="preserve">7.2.5. </w:t>
      </w:r>
      <w:r>
        <w:t>Para fins de pagamento, deverão ser observados, cumulativamente:</w:t>
      </w:r>
    </w:p>
    <w:p>
      <w:pPr>
        <w:jc w:val="both"/>
      </w:pPr>
      <w:r>
        <w:rPr>
          <w:b/>
        </w:rPr>
        <w:t xml:space="preserve">a) </w:t>
      </w:r>
      <w:r>
        <w:t>Existência de Ordem de Serviço formalmente emitida e aprovada;</w:t>
      </w:r>
    </w:p>
    <w:p>
      <w:pPr>
        <w:jc w:val="both"/>
      </w:pPr>
      <w:r>
        <w:rPr>
          <w:b/>
        </w:rPr>
        <w:t xml:space="preserve">b) </w:t>
      </w:r>
      <w:r>
        <w:t>Execução da demanda conforme requisitos e critérios de aceite previamente homologados;</w:t>
      </w:r>
    </w:p>
    <w:p>
      <w:pPr>
        <w:jc w:val="both"/>
      </w:pPr>
      <w:r>
        <w:rPr>
          <w:b/>
        </w:rPr>
        <w:t xml:space="preserve">c) </w:t>
      </w:r>
      <w:r>
        <w:t>Entrega do produto no ambiente de homologação ou produção, conforme aplicável;</w:t>
      </w:r>
    </w:p>
    <w:p>
      <w:pPr>
        <w:jc w:val="both"/>
      </w:pPr>
      <w:r>
        <w:rPr>
          <w:b/>
        </w:rPr>
        <w:t xml:space="preserve">d) </w:t>
      </w:r>
      <w:r>
        <w:t>Validação técnica e funcional pela área demandante;</w:t>
      </w:r>
    </w:p>
    <w:p>
      <w:pPr>
        <w:jc w:val="both"/>
      </w:pPr>
      <w:r>
        <w:rPr>
          <w:b/>
        </w:rPr>
        <w:t xml:space="preserve">e) </w:t>
      </w:r>
      <w:r>
        <w:t>Aceite formal pelo fiscal do contrato;</w:t>
      </w:r>
    </w:p>
    <w:p>
      <w:pPr>
        <w:jc w:val="both"/>
      </w:pPr>
      <w:r>
        <w:rPr>
          <w:b/>
        </w:rPr>
        <w:t xml:space="preserve">f) </w:t>
      </w:r>
      <w:r>
        <w:t>Registro das evidências de execução, incluindo artefatos, testes e documentação;</w:t>
      </w:r>
    </w:p>
    <w:p>
      <w:pPr>
        <w:jc w:val="both"/>
      </w:pPr>
      <w:r>
        <w:rPr>
          <w:b/>
        </w:rPr>
        <w:t>Do recebimento</w:t>
      </w:r>
    </w:p>
    <w:p>
      <w:pPr>
        <w:jc w:val="both"/>
      </w:pPr>
      <w:r>
        <w:rPr>
          <w:b/>
        </w:rPr>
        <w:t xml:space="preserve">7.3. </w:t>
      </w:r>
      <w:r>
        <w:t xml:space="preserve">Os serviços serão recebidos provisoriamente, no prazo de </w:t>
      </w:r>
      <w:r>
        <w:rPr>
          <w:color w:val="FF0000"/>
        </w:rPr>
        <w:t>10 (dez)</w:t>
      </w:r>
      <w:r>
        <w:t xml:space="preserve"> dias, pelo(s) fiscal(is) técnico e administrativo, mediante termo(s) detalhado(s), quando verificado o cumprimento das exigências de caráter técnico e administrativo (Art. 140, I, ‘a’, da Lei nº 14.133, de 2021, e arts. 17, X, e 18, VI, do Decreto estadual nº 68.220, de 2023).</w:t>
      </w:r>
    </w:p>
    <w:p>
      <w:pPr>
        <w:jc w:val="both"/>
      </w:pPr>
      <w:r>
        <w:rPr>
          <w:b/>
        </w:rPr>
        <w:t xml:space="preserve">7.4. </w:t>
      </w:r>
      <w:r>
        <w:t>O prazo da disposição acima será contado do recebimento de comunicação de cobrança oriunda do Contratado com a comprovação da prestação dos serviços a que se refere a parcela a ser paga.</w:t>
      </w:r>
    </w:p>
    <w:p>
      <w:pPr>
        <w:jc w:val="both"/>
      </w:pPr>
      <w:r>
        <w:rPr>
          <w:b/>
        </w:rPr>
        <w:t xml:space="preserve">7.5. </w:t>
      </w:r>
      <w:r>
        <w:t>O fiscal técnico do contrato realizará o recebimento provisório do objeto do contrato mediante termo detalhado que comprove o cumprimento das exigências de caráter técnico (Art. 17, X, Decreto estadual nº 68.220, de 2023).</w:t>
      </w:r>
    </w:p>
    <w:p>
      <w:pPr>
        <w:jc w:val="both"/>
      </w:pPr>
      <w:r>
        <w:rPr>
          <w:b/>
        </w:rPr>
        <w:t xml:space="preserve">7.6. </w:t>
      </w:r>
      <w:r>
        <w:t>O fiscal administrativo do contrato realizará o recebimento provisório do objeto do contrato mediante termo detalhado que comprove o cumprimento das exigências de caráter administrativo (Art. 18, VI, Decreto estadual nº 68.220, de 2023).</w:t>
      </w:r>
    </w:p>
    <w:p>
      <w:pPr>
        <w:jc w:val="both"/>
      </w:pPr>
      <w:r>
        <w:rPr>
          <w:b/>
        </w:rPr>
        <w:t xml:space="preserve">7.7. </w:t>
      </w:r>
      <w:r>
        <w:t>O fiscal setorial do contrato, quando houver, realizará o recebimento provisório sob o ponto de vista técnico e administrativo.</w:t>
      </w:r>
    </w:p>
    <w:p>
      <w:pPr>
        <w:jc w:val="both"/>
      </w:pPr>
      <w:r>
        <w:rPr>
          <w:b/>
        </w:rPr>
        <w:t xml:space="preserve">7.8. </w:t>
      </w:r>
      <w:r>
        <w:t xml:space="preserve">Para efeito de recebimento provisório, ao final de cada período de faturamento, que observará </w:t>
      </w:r>
      <w:r>
        <w:rPr>
          <w:color w:val="FF0000"/>
        </w:rPr>
        <w:t>a periodicidade mensal</w:t>
      </w:r>
      <w:r>
        <w:t>, 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ao Contratado, registrando em relatório a ser encaminhado ao gestor do contrato.</w:t>
      </w:r>
    </w:p>
    <w:p>
      <w:pPr>
        <w:jc w:val="both"/>
      </w:pPr>
      <w:r>
        <w:rPr>
          <w:b/>
        </w:rPr>
        <w:t xml:space="preserve">7.8.1. </w:t>
      </w:r>
      <w:r>
        <w:t>Será considerado como ocorrido o recebimento provisório com a entrega do termo detalhado ou, em havendo mais de um a ser feito, com a entrega do último.</w:t>
      </w:r>
    </w:p>
    <w:p>
      <w:pPr>
        <w:jc w:val="both"/>
      </w:pPr>
      <w:r>
        <w:rPr>
          <w:b/>
        </w:rPr>
        <w:t xml:space="preserve">7.8.2. </w:t>
      </w:r>
      <w:r>
        <w:t>O Contratado fica obrigado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pPr>
        <w:jc w:val="both"/>
      </w:pPr>
      <w:r>
        <w:rPr>
          <w:b/>
        </w:rPr>
        <w:t xml:space="preserve">7.8.3. </w:t>
      </w:r>
      <w:r>
        <w:t>A fiscalização não efetuará o ateste da última e/ou única medição de serviços até que sejam sanadas todas as eventuais pendências que possam vir a ser apontadas no Recebimento Provisório (Art. 119 c/c art. 140 da Lei nº 14.133, de 2021).</w:t>
      </w:r>
    </w:p>
    <w:p>
      <w:pPr>
        <w:jc w:val="both"/>
      </w:pPr>
      <w:r>
        <w:rPr>
          <w:b/>
        </w:rPr>
        <w:t xml:space="preserve">7.8.4. </w:t>
      </w:r>
      <w:r>
        <w:rPr>
          <w:color w:val="FF0000"/>
        </w:rPr>
        <w:t>O recebimento provisório também ficará sujeito, quando cabível, à conclusão de todos os testes de campo e à entrega dos Manuais e Instruções exigíveis.</w:t>
      </w:r>
    </w:p>
    <w:p>
      <w:pPr>
        <w:jc w:val="both"/>
      </w:pPr>
      <w:r>
        <w:rPr>
          <w:b/>
        </w:rPr>
        <w:t xml:space="preserve">7.8.5. </w:t>
      </w:r>
      <w:r>
        <w:t>Os serviços poderão ser rejeitados, no todo ou em parte, quando em desacordo com as especificações constantes neste Termo de Referência e na proposta, sem prejuízo da aplicação das penalidades cabíveis.</w:t>
      </w:r>
    </w:p>
    <w:p>
      <w:pPr>
        <w:jc w:val="both"/>
      </w:pPr>
      <w:r>
        <w:rPr>
          <w:b/>
        </w:rPr>
        <w:t xml:space="preserve">7.9. </w:t>
      </w:r>
      <w: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pPr>
        <w:jc w:val="both"/>
      </w:pPr>
      <w:r>
        <w:rPr>
          <w:b/>
        </w:rPr>
        <w:t xml:space="preserve">7.10. </w:t>
      </w:r>
      <w:r>
        <w:t xml:space="preserve">Os serviços serão recebidos definitivamente no prazo de </w:t>
      </w:r>
      <w:r>
        <w:rPr>
          <w:color w:val="FF0000"/>
        </w:rPr>
        <w:t>10 (dez)</w:t>
      </w:r>
      <w:r>
        <w:t xml:space="preserve"> dias, contados do recebimento provisório, por servidor ou comissão designada pela autoridade competente, após a verificação da qualidade e quantidade do serviço e consequente aceitação mediante termo detalhado, obedecendo os seguintes procedimentos:</w:t>
      </w:r>
    </w:p>
    <w:p>
      <w:pPr>
        <w:jc w:val="both"/>
      </w:pPr>
      <w:r>
        <w:rPr>
          <w:b/>
        </w:rPr>
        <w:t xml:space="preserve">7.10.1. </w:t>
      </w:r>
      <w:r>
        <w:t>Emitir documento comprobatório da avaliação realizada pelos fiscais técnico, administrativo e setorial, quando houver, no cumprimento de obrigações assumidas pelo Contratado, com menção ao seu desempenho na execução contratual, baseado em indicadores objetivamente definidos e aferidos, e a eventuais penalidades aplicadas, devendo constar do cadastro de atesto de cumprimento de obrigações, conforme regulamento (Decreto estadual nº 68.220, de 2023, art. 16, inciso VI);</w:t>
      </w:r>
    </w:p>
    <w:p>
      <w:pPr>
        <w:jc w:val="both"/>
      </w:pPr>
      <w:r>
        <w:rPr>
          <w:b/>
        </w:rPr>
        <w:t xml:space="preserve">7.10.2. </w:t>
      </w:r>
      <w:r>
        <w:t>Realizar a análise dos relatórios e de toda a documentação apresentada pela fiscalização e, caso haja irregularidades que impeçam a liquidação e o pagamento da despesa, indicar as cláusulas contratuais pertinentes, solicitando ao Contratado, por escrito, as respectivas correções;</w:t>
      </w:r>
    </w:p>
    <w:p>
      <w:pPr>
        <w:jc w:val="both"/>
      </w:pPr>
      <w:r>
        <w:rPr>
          <w:b/>
        </w:rPr>
        <w:t xml:space="preserve">7.10.3. </w:t>
      </w:r>
      <w:r>
        <w:t>Emitir Termo Detalhado para efeito de recebimento definitivo dos serviços prestados, com base nos relatórios e documentações apresentadas;</w:t>
      </w:r>
    </w:p>
    <w:p>
      <w:pPr>
        <w:jc w:val="both"/>
      </w:pPr>
      <w:r>
        <w:rPr>
          <w:b/>
        </w:rPr>
        <w:t xml:space="preserve">7.10.4. </w:t>
      </w:r>
      <w:r>
        <w:t>Comunicar ao Contratado para que emita a Nota Fiscal ou Fatura, com o valor exato dimensionado pela fiscalização; e</w:t>
      </w:r>
    </w:p>
    <w:p>
      <w:pPr>
        <w:jc w:val="both"/>
      </w:pPr>
      <w:r>
        <w:rPr>
          <w:b/>
        </w:rPr>
        <w:t xml:space="preserve">7.10.5. </w:t>
      </w:r>
      <w:r>
        <w:t>Enviar a documentação pertinente ao setor de contratos para a formalização dos procedimentos de liquidação e pagamento, no valor dimensionado pela fiscalização e gestão.</w:t>
      </w:r>
    </w:p>
    <w:p>
      <w:pPr>
        <w:jc w:val="both"/>
      </w:pPr>
      <w:r>
        <w:rPr>
          <w:b/>
        </w:rPr>
        <w:t xml:space="preserve">7.11. </w:t>
      </w:r>
      <w:r>
        <w:t>No caso de controvérsia sobre a execução do objeto, quanto à dimensão, qualidade e quantidade, se houver parcela incontroversa, deverá ser observado o teor do art. 143 da Lei nº 14.133, de 2021, com a comunicação ao Contratado para emissão de Nota Fiscal no que pertine à parcela incontroversa, para efeito de liquidação e pagamento.</w:t>
      </w:r>
    </w:p>
    <w:p>
      <w:pPr>
        <w:jc w:val="both"/>
      </w:pPr>
      <w:r>
        <w:rPr>
          <w:b/>
        </w:rPr>
        <w:t xml:space="preserve">7.12. </w:t>
      </w:r>
      <w:r>
        <w:t>Nenhum prazo de recebimento ocorrerá enquanto pendente a solução, pelo Contratado, de inconsistências verificadas na execução do objeto ou no instrumento de cobrança.</w:t>
      </w:r>
    </w:p>
    <w:p>
      <w:pPr>
        <w:jc w:val="both"/>
      </w:pPr>
      <w:r>
        <w:rPr>
          <w:b/>
        </w:rPr>
        <w:t xml:space="preserve">7.13. </w:t>
      </w:r>
      <w:r>
        <w:t>O recebimento provisório ou definitivo não excluirá a responsabilidade civil pela solidez e pela segurança do serviço nem a responsabilidade ético-profissional pela perfeita execução do contrato.</w:t>
      </w:r>
    </w:p>
    <w:p>
      <w:pPr>
        <w:jc w:val="both"/>
      </w:pPr>
      <w:r>
        <w:rPr>
          <w:b/>
        </w:rPr>
        <w:t>Liquidação</w:t>
      </w:r>
    </w:p>
    <w:p>
      <w:pPr>
        <w:jc w:val="both"/>
      </w:pPr>
      <w:r>
        <w:rPr>
          <w:b/>
        </w:rPr>
        <w:t xml:space="preserve">7.14. </w:t>
      </w:r>
      <w:r>
        <w:t xml:space="preserve">Recebida a Nota Fiscal ou documento de cobrança equivalente, correrá o prazo de </w:t>
      </w:r>
      <w:r>
        <w:rPr>
          <w:color w:val="FF0000"/>
        </w:rPr>
        <w:t>10 (dez)</w:t>
      </w:r>
      <w:r>
        <w:t xml:space="preserve"> dias úteis para fins de liquidação, a contar de seu recebimento pela Administração, na forma desta seção, prorrogáveis por igual período, justificadamente, quando houver necessidade de diligências para a aferição do atendimento das exigências contratuais (art. 7º, I, e §§ 2º e 3º, da Instrução Normativa SEGES/ME nº 77, de 4 de novembro de 2022, c/c o Decreto estadual nº 67.608, de 2023).</w:t>
      </w:r>
    </w:p>
    <w:p>
      <w:pPr>
        <w:jc w:val="both"/>
      </w:pPr>
      <w:r>
        <w:rPr>
          <w:b/>
        </w:rPr>
        <w:t xml:space="preserve">7.14.1. </w:t>
      </w:r>
      <w:r>
        <w:rPr>
          <w:color w:val="FF0000"/>
        </w:rPr>
        <w:t>O prazo de que trata a subdivisão acima será reduzido à metade, mantendo-se a possibilidade de prorrogação nele especificada, no caso de contratação decorrente de despesa cujo valor não ultrapasse o limite de que trata o inciso II do caput do art. 75 da Lei nº 14.133, de 2021.</w:t>
      </w:r>
    </w:p>
    <w:p>
      <w:pPr>
        <w:jc w:val="both"/>
      </w:pPr>
      <w:r>
        <w:rPr>
          <w:b/>
        </w:rPr>
        <w:t xml:space="preserve">7.15. </w:t>
      </w:r>
      <w:r>
        <w:t>Para fins de liquidação, o setor competente deve verificar se a Nota Fiscal ou Fatura apresentada expressa os elementos necessários e essenciais do documento, tais como, caso aplicáveis:</w:t>
      </w:r>
    </w:p>
    <w:p>
      <w:pPr>
        <w:jc w:val="both"/>
      </w:pPr>
      <w:r>
        <w:rPr>
          <w:b/>
        </w:rPr>
        <w:t xml:space="preserve">a) </w:t>
      </w:r>
      <w:r>
        <w:t>o prazo de validade;</w:t>
      </w:r>
    </w:p>
    <w:p>
      <w:pPr>
        <w:jc w:val="both"/>
      </w:pPr>
      <w:r>
        <w:rPr>
          <w:b/>
        </w:rPr>
        <w:t xml:space="preserve">b) </w:t>
      </w:r>
      <w:r>
        <w:t>a data da emissão;</w:t>
      </w:r>
    </w:p>
    <w:p>
      <w:pPr>
        <w:jc w:val="both"/>
      </w:pPr>
      <w:r>
        <w:rPr>
          <w:b/>
        </w:rPr>
        <w:t xml:space="preserve">c) </w:t>
      </w:r>
      <w:r>
        <w:t>os dados do contrato e do órgão contratante;</w:t>
      </w:r>
    </w:p>
    <w:p>
      <w:pPr>
        <w:jc w:val="both"/>
      </w:pPr>
      <w:r>
        <w:rPr>
          <w:b/>
        </w:rPr>
        <w:t xml:space="preserve">d) </w:t>
      </w:r>
      <w:r>
        <w:t>o período respectivo de execução do contrato;</w:t>
      </w:r>
    </w:p>
    <w:p>
      <w:pPr>
        <w:jc w:val="both"/>
      </w:pPr>
      <w:r>
        <w:rPr>
          <w:b/>
        </w:rPr>
        <w:t xml:space="preserve">e) </w:t>
      </w:r>
      <w:r>
        <w:t>o valor a pagar; e</w:t>
      </w:r>
    </w:p>
    <w:p>
      <w:pPr>
        <w:jc w:val="both"/>
      </w:pPr>
      <w:r>
        <w:rPr>
          <w:b/>
        </w:rPr>
        <w:t xml:space="preserve">f) </w:t>
      </w:r>
      <w:r>
        <w:t>eventual destaque do valor de retenções tributárias cabíveis.</w:t>
      </w:r>
    </w:p>
    <w:p>
      <w:pPr>
        <w:jc w:val="both"/>
      </w:pPr>
      <w:r>
        <w:rPr>
          <w:b/>
        </w:rPr>
        <w:t xml:space="preserve">7.16. </w:t>
      </w:r>
      <w:r>
        <w:t>Havendo erro na apresentação da Nota Fiscal/Fatura, ou circunstância que impeça a liquidação da despesa, esta ficará sobrestada até que o Contratado providencie as medidas saneadoras, reiniciando-se o prazo após a comprovação da regularização da situação, sem ônus ao Contratante;</w:t>
      </w:r>
    </w:p>
    <w:p>
      <w:pPr>
        <w:jc w:val="both"/>
      </w:pPr>
      <w:r>
        <w:rPr>
          <w:b/>
        </w:rPr>
        <w:t xml:space="preserve">7.17. </w:t>
      </w:r>
      <w:r>
        <w:t>A Nota Fiscal ou Fatura deverá ser obrigatoriamente acompanhada da comprovação da regularidade fiscal, constatada por meio de consulta on-line ao Sicaf ou, na impossibilidade de acesso ao referido Sistema, mediante consulta aos sítios eletrônicos oficiais ou à documentação mencionada no art. 68 da Lei nº 14.133, de 2021.</w:t>
      </w:r>
    </w:p>
    <w:p>
      <w:pPr>
        <w:jc w:val="both"/>
      </w:pPr>
      <w:r>
        <w:rPr>
          <w:b/>
        </w:rPr>
        <w:t xml:space="preserve">7.18. </w:t>
      </w:r>
      <w:r>
        <w:t>A Administração deverá realizar consulta ao Sicaf para: a) verificar a manutenção das condições de habilitação exigidas no edital; b) identificar possível razão que impeça a participação em licitação, no âmbito do órgão ou entidade, tais como proibição de contratar com o Poder Público, bem como ocorrências impeditivas indiretas (Instrução Normativa SEGES/MPDG nº 3, de 26 de abril de 2018 c/c Decreto estadual nº 67.608, de 2023).</w:t>
      </w:r>
    </w:p>
    <w:p>
      <w:pPr>
        <w:jc w:val="both"/>
      </w:pPr>
      <w:r>
        <w:rPr>
          <w:b/>
        </w:rPr>
        <w:t xml:space="preserve">7.19. </w:t>
      </w:r>
      <w: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pPr>
        <w:jc w:val="both"/>
      </w:pPr>
      <w:r>
        <w:rPr>
          <w:b/>
        </w:rPr>
        <w:t xml:space="preserve">7.20. </w:t>
      </w:r>
      <w:r>
        <w:t>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pPr>
        <w:jc w:val="both"/>
      </w:pPr>
      <w:r>
        <w:rPr>
          <w:b/>
        </w:rPr>
        <w:t xml:space="preserve">7.21. </w:t>
      </w:r>
      <w:r>
        <w:t>Persistindo a irregularidade, o Contratante deverá adotar as medidas necessárias à extinção contratual nos autos do processo administrativo correspondente, assegurada ao Contratado a ampla defesa.</w:t>
      </w:r>
    </w:p>
    <w:p>
      <w:pPr>
        <w:jc w:val="both"/>
      </w:pPr>
      <w:r>
        <w:rPr>
          <w:b/>
        </w:rPr>
        <w:t xml:space="preserve">7.22. </w:t>
      </w:r>
      <w:r>
        <w:t>Havendo a efetiva execução do objeto, os pagamentos serão realizados normalmente, até que se decida pela extinção do contrato, caso o Contratado não regularize sua situação junto ao Sicaf.</w:t>
      </w:r>
    </w:p>
    <w:p>
      <w:pPr>
        <w:jc w:val="both"/>
      </w:pPr>
      <w:r>
        <w:rPr>
          <w:b/>
        </w:rPr>
        <w:t>Prazo de pagamento</w:t>
      </w:r>
    </w:p>
    <w:p>
      <w:pPr>
        <w:jc w:val="both"/>
      </w:pPr>
      <w:r>
        <w:rPr>
          <w:b/>
        </w:rPr>
        <w:t xml:space="preserve">7.23. </w:t>
      </w:r>
      <w:r>
        <w:t>O pagamento será efetuado no prazo de 30 (trinta) dias, contados da apresentação da nota fiscal ou documento de cobrança equivalente, desde que tenha sido finalizada a liquidação da despesa, conforme seção anterior, nos termos do art. 2º, II, do Decreto estadual nº 67.608, de 2023.</w:t>
      </w:r>
    </w:p>
    <w:p>
      <w:pPr>
        <w:jc w:val="both"/>
      </w:pPr>
      <w:r>
        <w:rPr>
          <w:b/>
        </w:rPr>
        <w:t xml:space="preserve">7.24. </w:t>
      </w:r>
      <w:r>
        <w:t>No caso de atraso pelo Contratante, os valores devidos ao Contratado serão atualizados monetariamente na forma da legislação aplicável (art. 2º, inciso III, do Decreto estadual nº 67.608, 2023, c/c o art. 1º do Decreto estadual nº 32.117, de 1990), bem como incidirão juros moratórios, a razão de 0,5% (meio por cento) ao mês, calculados pro rata temporis, em relação ao atraso verificado.</w:t>
      </w:r>
    </w:p>
    <w:p>
      <w:pPr>
        <w:jc w:val="both"/>
      </w:pPr>
      <w:r>
        <w:rPr>
          <w:b/>
        </w:rPr>
        <w:t>Forma de pagamento</w:t>
      </w:r>
    </w:p>
    <w:p>
      <w:pPr>
        <w:jc w:val="both"/>
      </w:pPr>
      <w:r>
        <w:rPr>
          <w:b/>
        </w:rPr>
        <w:t xml:space="preserve">7.25. </w:t>
      </w:r>
      <w:r>
        <w:t>O pagamento será realizado por meio de ordem bancária, para depósito em conta corrente bancária em nome do Contratado no Banco do Brasil S/A.</w:t>
      </w:r>
    </w:p>
    <w:p>
      <w:pPr>
        <w:jc w:val="both"/>
      </w:pPr>
      <w:r>
        <w:rPr>
          <w:b/>
        </w:rPr>
        <w:t xml:space="preserve">7.25.1. </w:t>
      </w:r>
      <w:r>
        <w:t>Constitui condição para a realização dos pagamentos a inexistência de registros em nome do Contratado no “Cadastro Informativo dos Créditos não Quitados de Órgãos e Entidades Estaduais– CADIN ESTADUAL”, o qual deverá ser consultado por ocasião da realização de cada pagamento. O cumprimento desta condição poderá se dar pela comprovação, pelo Contratado, de que os registros estão suspensos, nos termos do art. 8º da Lei estadual nº 12.799, de 2008.</w:t>
      </w:r>
    </w:p>
    <w:p>
      <w:pPr>
        <w:jc w:val="both"/>
      </w:pPr>
      <w:r>
        <w:rPr>
          <w:b/>
        </w:rPr>
        <w:t xml:space="preserve">7.26. </w:t>
      </w:r>
      <w:r>
        <w:t>Será considerada data do pagamento o dia em que constar como emitida a ordem bancária para pagamento.</w:t>
      </w:r>
    </w:p>
    <w:p>
      <w:pPr>
        <w:jc w:val="both"/>
      </w:pPr>
      <w:r>
        <w:rPr>
          <w:b/>
        </w:rPr>
        <w:t xml:space="preserve">7.27. </w:t>
      </w:r>
      <w:r>
        <w:t>O Contratante poderá, por ocasião do pagamento, efetuar a retenção de tributos determinada por lei, ainda que não haja indicação de retenção na nota fiscal apresentada ou que se refira a retenções não realizadas em meses anteriores.</w:t>
      </w:r>
    </w:p>
    <w:p>
      <w:pPr>
        <w:jc w:val="both"/>
      </w:pPr>
      <w:r>
        <w:rPr>
          <w:b/>
        </w:rPr>
        <w:t xml:space="preserve">7.27.1. </w:t>
      </w:r>
      <w:r>
        <w:t>Independentemente do percentual de tributo inserido na planilha, quando houver, serão retidos na fonte, quando da realização do pagamento, os percentuais estabelecidos na legislação vigente.</w:t>
      </w:r>
    </w:p>
    <w:p>
      <w:pPr>
        <w:jc w:val="both"/>
      </w:pPr>
      <w:r>
        <w:rPr>
          <w:b/>
        </w:rPr>
        <w:t xml:space="preserve">7.28. </w:t>
      </w:r>
      <w: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p>
      <w:pPr>
        <w:jc w:val="both"/>
      </w:pPr>
      <w:r>
        <w:rPr>
          <w:b/>
        </w:rPr>
        <w:t>8. FORMA E CRITÉRIOS DE SELEÇÃO DO FORNECEDOR E REGIME DE EXECUÇÃO</w:t>
      </w:r>
    </w:p>
    <w:p>
      <w:pPr>
        <w:jc w:val="both"/>
      </w:pPr>
      <w:r>
        <w:rPr>
          <w:b/>
        </w:rPr>
        <w:t>Forma de seleção e critério de julgamento da proposta</w:t>
      </w:r>
    </w:p>
    <w:p>
      <w:pPr>
        <w:jc w:val="both"/>
      </w:pPr>
      <w:r>
        <w:rPr>
          <w:b/>
        </w:rPr>
        <w:t xml:space="preserve">8.1. </w:t>
      </w:r>
      <w:r>
        <w:rPr>
          <w:color w:val="FF0000"/>
        </w:rPr>
        <w:t>O fornecedor será selecionado por meio da realização de procedimento de LICITAÇÃO, na modalidade PREGÃO, sob a forma ELETRÔNICA, com adoção do critério de julgamento pelo MENOR PREÇO.</w:t>
      </w:r>
    </w:p>
    <w:p>
      <w:pPr>
        <w:jc w:val="both"/>
      </w:pPr>
      <w:r>
        <w:rPr>
          <w:b/>
        </w:rPr>
        <w:t>Regime de Execução</w:t>
      </w:r>
    </w:p>
    <w:p>
      <w:pPr>
        <w:jc w:val="both"/>
      </w:pPr>
      <w:r>
        <w:rPr>
          <w:b/>
        </w:rPr>
        <w:t xml:space="preserve">8.2. </w:t>
      </w:r>
      <w:r>
        <w:t xml:space="preserve">O regime de execução do contrato será </w:t>
      </w:r>
      <w:r>
        <w:rPr>
          <w:color w:val="FF0000"/>
        </w:rPr>
        <w:t>empreitada por preço global.</w:t>
      </w:r>
    </w:p>
    <w:p>
      <w:pPr>
        <w:jc w:val="both"/>
      </w:pPr>
      <w:r>
        <w:rPr>
          <w:b/>
        </w:rPr>
        <w:t>Exigências de habilitação</w:t>
      </w:r>
    </w:p>
    <w:p>
      <w:pPr>
        <w:jc w:val="both"/>
      </w:pPr>
      <w:r>
        <w:rPr>
          <w:b/>
        </w:rPr>
        <w:t xml:space="preserve">8.3. </w:t>
      </w:r>
      <w:r>
        <w:t>Para fins de habilitação, deverá o licitante comprovar os seguintes requisitos das seções subsequentes deste item 8, que serão exigidos conforme sua natureza jurídica:</w:t>
      </w:r>
    </w:p>
    <w:p>
      <w:pPr>
        <w:jc w:val="both"/>
      </w:pPr>
      <w:r>
        <w:rPr>
          <w:b/>
        </w:rPr>
        <w:t>Habilitação jurídica</w:t>
      </w:r>
    </w:p>
    <w:p>
      <w:pPr>
        <w:jc w:val="both"/>
      </w:pPr>
      <w:r>
        <w:rPr>
          <w:b/>
        </w:rPr>
        <w:t xml:space="preserve">8.4. </w:t>
      </w:r>
      <w:r>
        <w:t>Empresário individual: inscrição no Registro Público de Empresas Mercantis, a cargo da Junta Comercial da respectiva sede;</w:t>
      </w:r>
    </w:p>
    <w:p>
      <w:pPr>
        <w:jc w:val="both"/>
      </w:pPr>
      <w:r>
        <w:rPr>
          <w:b/>
        </w:rPr>
        <w:t xml:space="preserve">8.5. </w:t>
      </w:r>
      <w:r>
        <w:rPr>
          <w:color w:val="FF0000"/>
        </w:rPr>
        <w:t>Microempreendedor Individual - MEI: Certificado da Condição de Microempreendedor Individual - CCMEI, cuja aceitação ficará condicionada à verificação da autenticidade no sítio https://www.gov.br/empresas-e-negocios/pt-br/empreendedor;</w:t>
      </w:r>
    </w:p>
    <w:p>
      <w:pPr>
        <w:jc w:val="both"/>
      </w:pPr>
      <w:r>
        <w:rPr>
          <w:b/>
        </w:rPr>
        <w:t xml:space="preserve">8.6. </w:t>
      </w:r>
      <w:r>
        <w:t>Sociedade empresária: inscrição do ato constitutivo, estatuto ou contrato social no Registro Público de Empresas Mercantis, a cargo da Junta Comercial da respectiva sede, acompanhada de documento comprobatório de seus administradores;</w:t>
      </w:r>
    </w:p>
    <w:p>
      <w:pPr>
        <w:jc w:val="both"/>
      </w:pPr>
      <w:r>
        <w:rPr>
          <w:b/>
        </w:rPr>
        <w:t xml:space="preserve">8.7. </w:t>
      </w:r>
      <w:r>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pPr>
        <w:jc w:val="both"/>
      </w:pPr>
      <w:r>
        <w:rPr>
          <w:b/>
        </w:rPr>
        <w:t xml:space="preserve">8.8. </w:t>
      </w:r>
      <w:r>
        <w:t>Sociedade simples: inscrição do ato constitutivo no Registro Civil de Pessoas Jurídicas do local de sua sede, acompanhada de documento comprobatório de seus administradores;</w:t>
      </w:r>
    </w:p>
    <w:p>
      <w:pPr>
        <w:jc w:val="both"/>
      </w:pPr>
      <w:r>
        <w:rPr>
          <w:b/>
        </w:rPr>
        <w:t xml:space="preserve">8.9. </w:t>
      </w:r>
      <w:r>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pPr>
        <w:jc w:val="both"/>
      </w:pPr>
      <w:r>
        <w:rPr>
          <w:b/>
        </w:rPr>
        <w:t xml:space="preserve">8.10. </w:t>
      </w:r>
      <w:r>
        <w:t>Os documentos apresentados deverão estar acompanhados de todas as alterações ou da consolidação respectiva.</w:t>
      </w:r>
    </w:p>
    <w:p>
      <w:pPr>
        <w:jc w:val="both"/>
      </w:pPr>
      <w:r>
        <w:rPr>
          <w:b/>
        </w:rPr>
        <w:t>Habilitação fiscal, social e trabalhista</w:t>
      </w:r>
    </w:p>
    <w:p>
      <w:pPr>
        <w:jc w:val="both"/>
      </w:pPr>
      <w:r>
        <w:rPr>
          <w:b/>
        </w:rPr>
        <w:t xml:space="preserve">8.11. </w:t>
      </w:r>
      <w:r>
        <w:t>Prova de inscrição no Cadastro Nacional de Pessoas Jurídicas</w:t>
      </w:r>
    </w:p>
    <w:p>
      <w:pPr>
        <w:jc w:val="both"/>
      </w:pPr>
      <w:r>
        <w:rPr>
          <w:b/>
        </w:rPr>
        <w:t xml:space="preserve">8.12. </w:t>
      </w:r>
      <w:r>
        <w:t>Prova de regularidade fiscal perante a Fazenda Nacional, mediante apresentação de certidão expedida conjuntamente pela Secretaria da Receita Federal do Brasil (RFB) e pela Procuradoria-Geral da Fazenda Nacional (PGFN), referente aos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pPr>
        <w:jc w:val="both"/>
      </w:pPr>
      <w:r>
        <w:rPr>
          <w:b/>
        </w:rPr>
        <w:t xml:space="preserve">8.13. </w:t>
      </w:r>
      <w:r>
        <w:t>Prova de regularidade com o Fundo de Garantia do Tempo de Serviço (FGTS);</w:t>
      </w:r>
    </w:p>
    <w:p>
      <w:pPr>
        <w:jc w:val="both"/>
      </w:pPr>
      <w:r>
        <w:rPr>
          <w:b/>
        </w:rPr>
        <w:t xml:space="preserve">8.14. </w:t>
      </w:r>
      <w: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pPr>
        <w:jc w:val="both"/>
      </w:pPr>
      <w:r>
        <w:rPr>
          <w:b/>
        </w:rPr>
        <w:t xml:space="preserve">8.15. </w:t>
      </w:r>
      <w:r>
        <w:t>Prova de inscrição no cadastro de contribuintes Estadual/Distrital e/ou Municipal/Distrital relativo ao domicílio ou sede do fornecedor, pertinente ao seu ramo de atividade e compatível com o objeto contratual;</w:t>
      </w:r>
    </w:p>
    <w:p>
      <w:pPr>
        <w:jc w:val="both"/>
      </w:pPr>
      <w:r>
        <w:rPr>
          <w:b/>
        </w:rPr>
        <w:t xml:space="preserve">8.16. </w:t>
      </w:r>
      <w:r>
        <w:t>Prova de regularidade com a Fazenda Estadual/Distrital nos termos da Lei Complementar nº 214, de 2025, quanto ao Imposto sobre Bens e Serviços – IBS, e/ou de regularidade com a Fazenda Municipal/Distrital quanto ao Imposto sobre Serviços de Qualquer Natureza - ISSQN, do domicílio ou sede do fornecedor, relativa à atividade em cujo exercício contrata ou concorre;</w:t>
      </w:r>
    </w:p>
    <w:p>
      <w:pPr>
        <w:jc w:val="both"/>
      </w:pPr>
      <w:r>
        <w:rPr>
          <w:b/>
        </w:rPr>
        <w:t xml:space="preserve">8.17. </w:t>
      </w:r>
      <w:r>
        <w:t>Caso o fornecedor se considere isento ou imune de tributos relacionados ao objeto contratual, em relação aos quais seja exigida regularidade fiscal neste instrumento, deverá comprovar tal condição mediante a apresentação de declaração da Fazenda respectiva do seu domicílio ou sede, ou outra equivalente, na forma da lei.</w:t>
      </w:r>
    </w:p>
    <w:p>
      <w:pPr>
        <w:jc w:val="both"/>
      </w:pPr>
      <w:r>
        <w:rPr>
          <w:b/>
        </w:rPr>
        <w:t xml:space="preserve">8.18. </w:t>
      </w:r>
      <w:r>
        <w:t>O fornecedor enquadrado como microempreendedor individual que pretenda auferir os benefícios do tratamento diferenciado previstos na Lei Complementar nº 123, de 2006, estará dispensado da prova de inscrição nos cadastros de contribuintes estadual e municipal.</w:t>
      </w:r>
    </w:p>
    <w:p>
      <w:pPr>
        <w:jc w:val="both"/>
      </w:pPr>
      <w:r>
        <w:rPr>
          <w:b/>
        </w:rPr>
        <w:t>Qualificação Econômico-Financeira</w:t>
      </w:r>
    </w:p>
    <w:p>
      <w:pPr>
        <w:jc w:val="both"/>
      </w:pPr>
      <w:r>
        <w:rPr>
          <w:b/>
        </w:rPr>
        <w:t xml:space="preserve">8.19. </w:t>
      </w:r>
      <w:r>
        <w:t>Certidão negativa de insolvência civil expedida pelo distribuidor do domicílio ou sede do licitante, caso se de sociedade simples;</w:t>
      </w:r>
    </w:p>
    <w:p>
      <w:pPr>
        <w:jc w:val="both"/>
      </w:pPr>
      <w:r>
        <w:rPr>
          <w:b/>
        </w:rPr>
        <w:t xml:space="preserve">8.20. </w:t>
      </w:r>
      <w:r>
        <w:t>Certidão negativa de falência, expedida pelo distribuidor da sede do fornecedor, caso se trate de empresário individual ou sociedade empresária;</w:t>
      </w:r>
    </w:p>
    <w:p>
      <w:pPr>
        <w:jc w:val="both"/>
      </w:pPr>
      <w:r>
        <w:rPr>
          <w:b/>
        </w:rPr>
        <w:t xml:space="preserve">8.21. </w:t>
      </w:r>
      <w:r>
        <w:rPr>
          <w:color w:val="FF0000"/>
        </w:rPr>
        <w:t>Balanço patrimonial, demonstração de resultado de exercício e demais demonstrações contábeis dos 2 (dois) últimos exercícios sociais, comprovando:</w:t>
      </w:r>
    </w:p>
    <w:p>
      <w:pPr>
        <w:jc w:val="both"/>
      </w:pPr>
      <w:r>
        <w:rPr>
          <w:b/>
        </w:rPr>
        <w:t xml:space="preserve">a) </w:t>
      </w:r>
      <w:r>
        <w:rPr>
          <w:color w:val="FF0000"/>
        </w:rPr>
        <w:t>a)</w:t>
        <w:tab/>
        <w:t xml:space="preserve">Índices de Liquidez Geral (LG), Liquidez Corrente (LC), e Solvência Geral (SG) superiores a 1 (um). </w:t>
      </w:r>
    </w:p>
    <w:p>
      <w:pPr>
        <w:jc w:val="both"/>
      </w:pPr>
      <w:r>
        <w:rPr>
          <w:b/>
        </w:rPr>
        <w:t xml:space="preserve">8.21.1. </w:t>
      </w:r>
      <w:r>
        <w:rPr>
          <w:color w:val="FF0000"/>
        </w:rPr>
        <w:t>As empresas criadas no exercício financeiro da licitação deverão atender a todas as exigências da habilitação e poderão substituir os demonstrativos contábeis pelo balanço de abertura.</w:t>
      </w:r>
    </w:p>
    <w:p>
      <w:pPr>
        <w:jc w:val="both"/>
      </w:pPr>
      <w:r>
        <w:rPr>
          <w:b/>
        </w:rPr>
        <w:t xml:space="preserve">8.21.2. </w:t>
      </w:r>
      <w:r>
        <w:rPr>
          <w:color w:val="FF0000"/>
        </w:rPr>
        <w:t>Os documentos referidos acima limitar-se-ão ao último exercício no caso de a pessoa jurídica ter sido constituída há menos de 2 (dois) anos.</w:t>
      </w:r>
    </w:p>
    <w:p>
      <w:pPr>
        <w:jc w:val="both"/>
      </w:pPr>
      <w:r>
        <w:rPr>
          <w:b/>
        </w:rPr>
        <w:t xml:space="preserve">8.21.3. </w:t>
      </w:r>
      <w:r>
        <w:rPr>
          <w:color w:val="FF0000"/>
        </w:rPr>
        <w:t>Os documentos referidos acima deverão ser exigidos com base no limite definido pela Receita Federal do Brasil para transmissão da Escrituração Contábil Digital - ECD ao Sped, quando for o caso, ou outro limite estabelecido pela legislação aplicável.</w:t>
      </w:r>
    </w:p>
    <w:p>
      <w:pPr>
        <w:jc w:val="both"/>
      </w:pPr>
      <w:r>
        <w:rPr>
          <w:b/>
        </w:rPr>
        <w:t xml:space="preserve">8.22. </w:t>
      </w:r>
      <w:r>
        <w:rPr>
          <w:color w:val="FF0000"/>
        </w:rPr>
        <w:t>O atendimento dos índices econômicos previstos nesta seção deverá ser atestado mediante declaração assinada por profissional habilitado da área contábil, apresentada pelo fornecedor.</w:t>
      </w:r>
    </w:p>
    <w:p>
      <w:pPr>
        <w:jc w:val="both"/>
      </w:pPr>
      <w:r>
        <w:rPr>
          <w:b/>
        </w:rPr>
        <w:t>Qualificação Técnica</w:t>
      </w:r>
    </w:p>
    <w:p>
      <w:pPr>
        <w:jc w:val="both"/>
      </w:pPr>
      <w:r>
        <w:rPr>
          <w:b/>
        </w:rPr>
        <w:t xml:space="preserve">8.23. </w:t>
      </w:r>
      <w:r>
        <w:rPr>
          <w:color w:val="FF0000"/>
        </w:rPr>
        <w:t>Declaração de que o licitante tomou conhecimento de todas as informações e das condições locais para o cumprimento das obrigações objeto da licitação, assegurado a ele o direito de realização de vistoria prévia;</w:t>
      </w:r>
    </w:p>
    <w:p>
      <w:pPr>
        <w:jc w:val="both"/>
      </w:pPr>
      <w:r>
        <w:rPr>
          <w:b/>
        </w:rPr>
        <w:t xml:space="preserve">8.23.1. </w:t>
      </w:r>
      <w:r>
        <w:rPr>
          <w:color w:val="FF0000"/>
        </w:rPr>
        <w:t>A declaração acima poderá ser substituída por declaração formal assinada pelo responsável técnico do licitante acerca do conhecimento pleno das condições e peculiaridades da contratação;</w:t>
      </w:r>
    </w:p>
    <w:p>
      <w:pPr>
        <w:jc w:val="both"/>
      </w:pPr>
      <w:r>
        <w:rPr>
          <w:b/>
        </w:rPr>
        <w:t xml:space="preserve">8.24. </w:t>
      </w:r>
      <w:r>
        <w:rPr>
          <w:color w:val="FF0000"/>
        </w:rPr>
        <w:t>Registro ou inscrição da LICITANTE no Conselho Regional de Engenharia e Agronomia – CREA, em plena validade,</w:t>
      </w:r>
    </w:p>
    <w:p>
      <w:pPr>
        <w:jc w:val="both"/>
      </w:pPr>
      <w:r>
        <w:rPr>
          <w:b/>
        </w:rPr>
        <w:t xml:space="preserve">8.24.1. </w:t>
      </w:r>
      <w:r>
        <w:rPr>
          <w:color w:val="FF0000"/>
        </w:rPr>
        <w:t>Sociedades empresárias estrangeiras atenderão à exigência prevista na subdivisão acima por meio da apresentação, no momento da celebração da contratação, da solicitação de registro perante a entidade profissional competente no Brasil;</w:t>
      </w:r>
    </w:p>
    <w:p>
      <w:pPr>
        <w:jc w:val="both"/>
      </w:pPr>
      <w:r>
        <w:rPr>
          <w:b/>
        </w:rPr>
        <w:t xml:space="preserve">8.25. </w:t>
      </w:r>
      <w:r>
        <w:rPr>
          <w:color w:val="FF0000"/>
        </w:rPr>
        <w:t>Comprovação de capacidade operacional para execução de serviço similar de complexidade tecnológica e operacional equivalente ou superior ao objeto desta contratação, ou ao item pertinente, por meio da apresentação de certidão(ões) ou atestado(s), fornecido(s) por pessoas jurídicas de direito público ou privado, ou regularmente emitido(s) pelo conselho profissional competente, quando for o caso;</w:t>
      </w:r>
    </w:p>
    <w:p>
      <w:pPr>
        <w:jc w:val="both"/>
      </w:pPr>
      <w:r>
        <w:rPr>
          <w:b/>
        </w:rPr>
        <w:t xml:space="preserve">8.25.1. </w:t>
      </w:r>
      <w:r>
        <w:rPr>
          <w:color w:val="FF0000"/>
        </w:rPr>
        <w:t xml:space="preserve">Para fins da comprovação de que trata a subdivisão acima, o(s) atestado(s) ou certidão(ões) deverá(ão) dizer respeito a contrato(s) executado(s) com a(s) seguinte(s) característica(s) mínima(s): </w:t>
      </w:r>
    </w:p>
    <w:p>
      <w:pPr>
        <w:jc w:val="both"/>
      </w:pPr>
      <w:r>
        <w:rPr>
          <w:b/>
        </w:rPr>
        <w:t xml:space="preserve">8.25.1.1. </w:t>
      </w:r>
      <w:r>
        <w:rPr>
          <w:color w:val="FF0000"/>
        </w:rPr>
        <w:t>Comprovação de execução de serviços de implantação, sustentação, suporte técnico ou administração de infraestrutura de virtualização, alta disponibilidade, armazenamento ou Datacenter, contemplando ambiente corporativo com servidores, storage e soluções de redundância operacional;</w:t>
      </w:r>
    </w:p>
    <w:p>
      <w:pPr>
        <w:jc w:val="both"/>
      </w:pPr>
      <w:r>
        <w:rPr>
          <w:b/>
        </w:rPr>
        <w:t xml:space="preserve">8.25.1.2. </w:t>
      </w:r>
      <w:r>
        <w:rPr>
          <w:color w:val="FF0000"/>
        </w:rPr>
        <w:t>Comprovação de execução de serviços envolvendo instalação, configuração, manutenção ou sustentação de soluções de backup corporativo, armazenamento de dados, retenção, replicação ou recuperação de desastres em ambiente de missão crítica;</w:t>
      </w:r>
    </w:p>
    <w:p>
      <w:pPr>
        <w:jc w:val="both"/>
      </w:pPr>
      <w:r>
        <w:rPr>
          <w:b/>
        </w:rPr>
        <w:t xml:space="preserve">8.25.1.3. </w:t>
      </w:r>
      <w:r>
        <w:rPr>
          <w:color w:val="FF0000"/>
        </w:rPr>
        <w:t>Comprovação de execução de serviços de fornecimento, locação, implantação, manutenção ou suporte técnico de infraestrutura de TI composta por equipamentos de Datacenter, incluindo servidores, switches, nobreaks, racks, virtualização ou soluções correlatas de alta disponibilidade.</w:t>
      </w:r>
    </w:p>
    <w:p>
      <w:pPr>
        <w:jc w:val="both"/>
      </w:pPr>
      <w:r>
        <w:rPr>
          <w:b/>
        </w:rPr>
        <w:t xml:space="preserve">8.25.2. </w:t>
      </w:r>
      <w:r>
        <w:rPr>
          <w:color w:val="FF0000"/>
        </w:rPr>
        <w:t>Serão admitidos, para fins de comprovação de quantitativo mínimo de serviço similar, a apresentação e o somatório de diferentes certidões ou atestados de serviços executados de forma concomitante;</w:t>
      </w:r>
    </w:p>
    <w:p>
      <w:pPr>
        <w:jc w:val="both"/>
      </w:pPr>
      <w:r>
        <w:rPr>
          <w:b/>
        </w:rPr>
        <w:t xml:space="preserve">8.25.3. </w:t>
      </w:r>
      <w:r>
        <w:rPr>
          <w:color w:val="FF0000"/>
        </w:rPr>
        <w:t>Os atestados de capacidade técnica poderão ser apresentados em nome da matriz ou da filial do licitante;</w:t>
      </w:r>
    </w:p>
    <w:p>
      <w:pPr>
        <w:jc w:val="both"/>
      </w:pPr>
      <w:r>
        <w:rPr>
          <w:b/>
        </w:rPr>
        <w:t xml:space="preserve">8.25.4. </w:t>
      </w:r>
      <w:r>
        <w:rPr>
          <w:color w:val="FF0000"/>
        </w:rPr>
        <w:t>O licitante disponibilizará todas as informações necessárias à comprovação da legitimidade do(s) atestado(s), apresentando, quando solicitado pela Administração, cópia do contrato que deu suporte à contratação, endereço atual do contratante e local em que foi executado o objeto contratado, dentre outros documentos;</w:t>
      </w:r>
    </w:p>
    <w:p>
      <w:pPr>
        <w:jc w:val="both"/>
      </w:pPr>
      <w:r>
        <w:rPr>
          <w:b/>
        </w:rPr>
        <w:t>Outras comprovações</w:t>
      </w:r>
    </w:p>
    <w:p>
      <w:pPr>
        <w:jc w:val="both"/>
      </w:pPr>
      <w:r>
        <w:rPr>
          <w:b/>
        </w:rPr>
        <w:t xml:space="preserve">8.26. </w:t>
      </w:r>
      <w:r>
        <w:t>Declaração subscrita por representante legal do licitante, atestando que:</w:t>
      </w:r>
    </w:p>
    <w:p>
      <w:pPr>
        <w:jc w:val="both"/>
      </w:pPr>
      <w:r>
        <w:rPr>
          <w:b/>
        </w:rPr>
        <w:t xml:space="preserve">a) </w:t>
      </w:r>
      <w:r>
        <w:t>cumpre as normas relativas à saúde e segurança no trabalho, nos termos do art. 117, parágrafo único, da Constituição Estadual;</w:t>
      </w:r>
    </w:p>
    <w:p>
      <w:pPr>
        <w:jc w:val="both"/>
      </w:pPr>
      <w:r>
        <w:rPr>
          <w:b/>
        </w:rPr>
        <w:t xml:space="preserve">b) </w:t>
      </w:r>
      <w:r>
        <w:t>atenderá, na data da contratação, ao disposto no art. 5º-C e se compromete a não disponibilizar empregado que incorra na vedação prevista no art. 5º-D, ambos da Lei nº 6.019, de 1974, com redação dada pela Lei nº 13.467, de 2017, quando o caso;</w:t>
      </w:r>
    </w:p>
    <w:p/>
    <w:p>
      <w:pPr>
        <w:jc w:val="both"/>
      </w:pPr>
      <w:r>
        <w:rPr>
          <w:b/>
        </w:rPr>
        <w:t>9. ESTIMATIVAS DO VALOR DA CONTRATAÇÃO</w:t>
      </w:r>
    </w:p>
    <w:p>
      <w:pPr>
        <w:jc w:val="both"/>
      </w:pPr>
      <w:r>
        <w:rPr>
          <w:b/>
        </w:rPr>
        <w:t xml:space="preserve">9.1. </w:t>
      </w:r>
      <w:r>
        <w:t>O valor estimado da contratação tem caráter sigiloso e não será tornado público antes de definido o resultado do julgamento das propostas. O valor estimado da contratação foi definido com observância do disposto no Decreto estadual nº 67.888, de 17 de agosto de 2023.</w:t>
      </w:r>
    </w:p>
    <w:p/>
    <w:p>
      <w:pPr>
        <w:jc w:val="both"/>
      </w:pPr>
      <w:r>
        <w:rPr>
          <w:b/>
        </w:rPr>
        <w:t>10. ADEQUAÇÃO ORÇAMENTÁRIA</w:t>
      </w:r>
    </w:p>
    <w:p>
      <w:pPr>
        <w:jc w:val="both"/>
      </w:pPr>
      <w:r>
        <w:rPr>
          <w:b/>
        </w:rPr>
        <w:t xml:space="preserve">10.1. </w:t>
      </w:r>
      <w:r>
        <w:t>As despesas decorrentes da presente contratação correrão à conta de recursos específicos consignados no Orçamento do Estado.</w:t>
      </w:r>
    </w:p>
    <w:p>
      <w:pPr>
        <w:jc w:val="both"/>
      </w:pPr>
      <w:r>
        <w:rPr>
          <w:b/>
        </w:rPr>
        <w:t xml:space="preserve">10.2. </w:t>
      </w:r>
      <w:r>
        <w:t>No presente exercício, a contratação será atendida pela seguinte dotação:</w:t>
      </w:r>
    </w:p>
    <w:p>
      <w:pPr>
        <w:jc w:val="both"/>
      </w:pPr>
      <w:r>
        <w:rPr>
          <w:b/>
        </w:rPr>
        <w:t xml:space="preserve">a) </w:t>
      </w:r>
      <w:r>
        <w:t>Gestão/Unidade: [...];</w:t>
      </w:r>
    </w:p>
    <w:p>
      <w:pPr>
        <w:jc w:val="both"/>
      </w:pPr>
      <w:r>
        <w:rPr>
          <w:b/>
        </w:rPr>
        <w:t xml:space="preserve">I. </w:t>
      </w:r>
      <w:r>
        <w:t>Fonte de Recursos: [...];</w:t>
      </w:r>
    </w:p>
    <w:p>
      <w:pPr>
        <w:jc w:val="both"/>
      </w:pPr>
      <w:r>
        <w:rPr>
          <w:b/>
        </w:rPr>
        <w:t xml:space="preserve">II. </w:t>
      </w:r>
      <w:r>
        <w:t>Programa de Trabalho: [...];</w:t>
      </w:r>
    </w:p>
    <w:p>
      <w:pPr>
        <w:jc w:val="both"/>
      </w:pPr>
      <w:r>
        <w:rPr>
          <w:b/>
        </w:rPr>
        <w:t xml:space="preserve">III. </w:t>
      </w:r>
      <w:r>
        <w:t>Elemento de Despesa: [...];</w:t>
      </w:r>
    </w:p>
    <w:p>
      <w:pPr>
        <w:jc w:val="both"/>
      </w:pPr>
      <w:r>
        <w:rPr>
          <w:b/>
        </w:rPr>
        <w:t xml:space="preserve">a) </w:t>
      </w:r>
      <w:r>
        <w:t>Plano Interno: [...].</w:t>
      </w:r>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