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8. Anexos</w:t>
      </w:r>
    </w:p>
    <w:p>
      <w:pPr/>
      <w:r>
        <w:t>El código fuente completo del pipeline descrito en este Trabajo Fin de Grado se encuentra disponible en el repositorio público de GitHub: https://github.com/joseeflb/optimizador_cartera_std. Los anexos que siguen no reproducen el código de forma íntegra, con el doble propósito de evitar una extensión innecesaria del documento y de mantener su lectura centrada en la trazabilidad metodológica del sistema. En su lugar, cada anexo identifica los módulos, funciones, parámetros y artefactos de salida más relevantes, de modo que cualquier lector interesado pueda consultar la implementación completa en el repositorio, fijando la versión mediante el identificador de commit recogido en el manifiesto reproducible (Anexo E).</w:t>
      </w:r>
    </w:p>
    <w:p>
      <w:pPr/>
      <w:r>
        <w:t>La organización de los anexos sigue la estructura del propio pipeline. Los anexos A, B y C describen, respectivamente, la trazabilidad funcional del código, la parametrización centralizada y la estructura de módulos. El anexo D presenta la plantilla de desagregación de resultados por segmento; el anexo E documenta las condiciones de replicabilidad; el anexo F contiene las derivaciones matemáticas que respaldan las decisiones de diseño; los anexos G y H describen, respectivamente, el análisis de las curvas de entrenamiento y el banco de pruebas automatizadas. El anexo I es un glosario extendido. Finalmente, los anexos J a N recogen análisis complementarios y mapeos regulatorios, distinguiendo en todo momento entre los análisis efectivamente implementados en el repositorio y aquellos que se proponen como extensiones futuras.</w:t>
      </w:r>
    </w:p>
    <w:p>
      <w:pPr>
        <w:pStyle w:val="Heading2"/>
      </w:pPr>
      <w:r>
        <w:t>Anexo A — Trazabilidad funcional del código</w:t>
      </w:r>
    </w:p>
    <w:p>
      <w:pPr/>
      <w:r>
        <w:t>Este anexo describe las rutinas de cálculo más relevantes del sistema y las vincula con la formalización metodológica del trabajo. Se identifican los módulos y las funciones públicas implicadas en cada bloque funcional, sin reproducir el código fuente; el detalle exhaustivo se encuentra en el repositorio enlazado al inicio del capítulo.</w:t>
      </w:r>
    </w:p>
    <w:p>
      <w:pPr>
        <w:pStyle w:val="Heading3"/>
      </w:pPr>
      <w:r>
        <w:t>A.1 — Cálculo de métricas financieras y regulatorias</w:t>
      </w:r>
    </w:p>
    <w:p>
      <w:pPr/>
      <w:r>
        <w:t>Las métricas financieras y regulatorias por préstamo (NI, RWA, RORWA, EVA y RONA) se calculan en el módulo data/generate_portfolio.py, en el interior de la función generate_portfolio(), siguiendo la secuencia algebraica NI = EAD · rate − EL_anual − EAD · COST_FUND, RWA = EAD · RW, RORWA = NI / RWA y EVA = RWA · (RORWA − hurdle_rate). La misma fórmula se evalúa durante la simulación del entorno de aprendizaje en env/loan_env.py dentro del método auxiliar _econ_true(), garantizando que la métrica que observa el agente coincide con la que se reporta en la cartera generada. Las constantes que intervienen (hurdle_rate, COST_FUND, ponderadores de riesgo del Método Estándar) están centralizadas en config.py.</w:t>
      </w:r>
    </w:p>
    <w:p>
      <w:pPr>
        <w:pStyle w:val="Heading3"/>
      </w:pPr>
      <w:r>
        <w:t>A.2 — Transición del entorno micro y función de recompensa</w:t>
      </w:r>
    </w:p>
    <w:p>
      <w:pPr/>
      <w:r>
        <w:t>La dinámica del entorno LoanEnv (env/loan_env.py) se concentra en el método step(), que recibe la acción discreta del agente (0=MANTENER, 1=REESTRUCTURAR, 2=VENDER), llama al optimizador de reestructuración o al simulador de precios según corresponda, actualiza el estado interno y evalúa la función de recompensa. La construcción del vector de observación se realiza en _obs_from_state(), que normaliza y recorta selectivamente las componentes más volátiles (RORWA al intervalo [−0,30, +0,30]) para estabilizar el aprendizaje. La función de recompensa combina linealmente la mejora de EVA, la liberación de capital, una penalización por riesgo proxy basado en pérdida esperada lifetime, las bonificaciones condicionales por acción coherente y la penalización por venta fire-sale; los pesos están definidos en RewardParams (config.py) y el resultado se recorta finalmente al rango [−10, +10] para evitar valores extremos.</w:t>
      </w:r>
    </w:p>
    <w:p>
      <w:pPr>
        <w:pStyle w:val="Heading3"/>
      </w:pPr>
      <w:r>
        <w:t>A.3 — Optimizador de reestructuración</w:t>
      </w:r>
    </w:p>
    <w:p>
      <w:pPr/>
      <w:r>
        <w:t>La función pública optimize_restructure() en optimizer/restructure_optimizer.py realiza una búsqueda exhaustiva sobre el producto cartesiano de las rejillas definidas en ReestructuraParams (config.py): plazo_anios_grid (6 valores), tasa_anual_grid (9 valores) y quita_grid (4 valores), lo que produce 216 combinaciones por préstamo. Para cada combinación se calcula la PD y la LGD post-reestructuración mediante el modelo hazard-based parametrizado por SensibilidadReestructura, se reevalúa el EVA y se selecciona la combinación que maximiza la ganancia de EVA sujeta a las restricciones de viabilidad. La función auxiliar _evaluate_sale_prudential() integra el resultado de la venta como alternativa de comparación.</w:t>
      </w:r>
    </w:p>
    <w:p>
      <w:pPr>
        <w:pStyle w:val="Heading3"/>
      </w:pPr>
      <w:r>
        <w:t>A.4 — Pricing de ventas NPL</w:t>
      </w:r>
    </w:p>
    <w:p>
      <w:pPr/>
      <w:r>
        <w:t>La función simulate_npl_price() en optimizer/price_simulator.py implementa el modelo de pricing utilizado por el sistema. Combina una recuperación base ajustada por escenario (BULL/BASE/STRESS), multiplicadores por DPD, rating y colateral, un descuento por PD del comprador y un haircut global controlado por la constante BID_HAIRCUT_GLOBAL utilizada por el motor de estrés. El componente estocástico se obtiene mediante una simulación Monte Carlo intra-pricing de 3.000 muestras por préstamo, de la que se extraen el precio óptimo, el resultado contable, la liberación de capital y las métricas de cola (p5, p50, p95). Los suelos de precio por postura se aplican fuera de este módulo, en la capa de coordinación (agent/coordinator_inference.py).</w:t>
      </w:r>
    </w:p>
    <w:p>
      <w:pPr>
        <w:pStyle w:val="Heading3"/>
      </w:pPr>
      <w:r>
        <w:t>A.5 — Coordinación macro-micro</w:t>
      </w:r>
    </w:p>
    <w:p>
      <w:pPr/>
      <w:r>
        <w:t>La función run_coordinator_inference_multi_posture() en agent/coordinator_inference.py orquesta la inferencia coordinada de los agentes macro y micro. Implementa la cascada de overrides controlada por la constante COORDINATOR_PRIORITY (PRUDENCIAL_FIRST por defecto), aplica los carve-outs prudenciales mediante _apply_prudencial_carve_out() y registra cada decisión, motivo y postura activa en el log de auditoría que acompaña al exportable decisiones_finales_&lt;postura&gt;.xlsx. La nomenclatura empleada en el TFG para esta capa (capa de gobernanza prudencial) no aparece literalmente en el código; las funciones que la realizan se concentran en coordinator_inference.py y en reports/npl_posture_analysis.py.</w:t>
      </w:r>
    </w:p>
    <w:p>
      <w:pPr>
        <w:pStyle w:val="Heading2"/>
      </w:pPr>
      <w:r>
        <w:t>Anexo B — Parámetros de configuración del sistema</w:t>
      </w:r>
    </w:p>
    <w:p>
      <w:pPr/>
      <w:r>
        <w:t>El módulo config.py centraliza la parametrización del sistema. Las tablas B.1 a B.5 recogen, agrupados por bloque funcional, los parámetros con valores verificados en config.py para la sesión de referencia. Los parámetros marcados como constantes de módulo se definen fuera de config.py en el fichero indicado entre paréntesis; los parámetros derivados se calculan a partir de los primarios y no están almacenados de forma independiente.</w:t>
      </w:r>
    </w:p>
    <w:p>
      <w:pPr>
        <w:pStyle w:val="Heading3"/>
      </w:pPr>
      <w:r>
        <w:t>Tabla B.1 — Regulación y capital</w:t>
      </w:r>
    </w:p>
    <w:tbl>
      <w:tblPr>
        <w:tblStyle w:val="LightGrid-Accent1"/>
        <w:tblW w:type="auto" w:w="0"/>
        <w:tblLook w:firstColumn="1" w:firstRow="1" w:lastColumn="0" w:lastRow="0" w:noHBand="0" w:noVBand="1" w:val="04A0"/>
      </w:tblPr>
      <w:tblGrid>
        <w:gridCol w:w="2929"/>
        <w:gridCol w:w="2929"/>
        <w:gridCol w:w="2929"/>
      </w:tblGrid>
      <w:tr>
        <w:tc>
          <w:tcPr>
            <w:tcW w:type="dxa" w:w="2929"/>
            <w:vAlign w:val="center"/>
          </w:tcPr>
          <w:p>
            <w:r/>
            <w:r>
              <w:rPr>
                <w:b/>
                <w:sz w:val="20"/>
              </w:rPr>
              <w:t>Símbolo / atributo</w:t>
            </w:r>
          </w:p>
        </w:tc>
        <w:tc>
          <w:tcPr>
            <w:tcW w:type="dxa" w:w="2929"/>
            <w:vAlign w:val="center"/>
          </w:tcPr>
          <w:p>
            <w:r/>
            <w:r>
              <w:rPr>
                <w:b/>
                <w:sz w:val="20"/>
              </w:rPr>
              <w:t>Valor</w:t>
            </w:r>
          </w:p>
        </w:tc>
        <w:tc>
          <w:tcPr>
            <w:tcW w:type="dxa" w:w="2929"/>
            <w:vAlign w:val="center"/>
          </w:tcPr>
          <w:p>
            <w:r/>
            <w:r>
              <w:rPr>
                <w:b/>
                <w:sz w:val="20"/>
              </w:rPr>
              <w:t>Descripción</w:t>
            </w:r>
          </w:p>
        </w:tc>
      </w:tr>
      <w:tr>
        <w:tc>
          <w:tcPr>
            <w:tcW w:type="dxa" w:w="2929"/>
            <w:vAlign w:val="center"/>
          </w:tcPr>
          <w:p>
            <w:r/>
            <w:r>
              <w:rPr>
                <w:sz w:val="19"/>
              </w:rPr>
              <w:t>Regulacion.cet1_min</w:t>
            </w:r>
          </w:p>
        </w:tc>
        <w:tc>
          <w:tcPr>
            <w:tcW w:type="dxa" w:w="2929"/>
            <w:vAlign w:val="center"/>
          </w:tcPr>
          <w:p>
            <w:r/>
            <w:r>
              <w:rPr>
                <w:sz w:val="19"/>
              </w:rPr>
              <w:t>4,5%</w:t>
            </w:r>
          </w:p>
        </w:tc>
        <w:tc>
          <w:tcPr>
            <w:tcW w:type="dxa" w:w="2929"/>
            <w:vAlign w:val="center"/>
          </w:tcPr>
          <w:p>
            <w:r/>
            <w:r>
              <w:rPr>
                <w:sz w:val="19"/>
              </w:rPr>
              <w:t>CET1 mínimo Pilar 1 (Art. 92 CRR)</w:t>
            </w:r>
          </w:p>
        </w:tc>
      </w:tr>
      <w:tr>
        <w:tc>
          <w:tcPr>
            <w:tcW w:type="dxa" w:w="2929"/>
            <w:vAlign w:val="center"/>
          </w:tcPr>
          <w:p>
            <w:r/>
            <w:r>
              <w:rPr>
                <w:sz w:val="19"/>
              </w:rPr>
              <w:t>Regulacion.tier1_min</w:t>
            </w:r>
          </w:p>
        </w:tc>
        <w:tc>
          <w:tcPr>
            <w:tcW w:type="dxa" w:w="2929"/>
            <w:vAlign w:val="center"/>
          </w:tcPr>
          <w:p>
            <w:r/>
            <w:r>
              <w:rPr>
                <w:sz w:val="19"/>
              </w:rPr>
              <w:t>6,0%</w:t>
            </w:r>
          </w:p>
        </w:tc>
        <w:tc>
          <w:tcPr>
            <w:tcW w:type="dxa" w:w="2929"/>
            <w:vAlign w:val="center"/>
          </w:tcPr>
          <w:p>
            <w:r/>
            <w:r>
              <w:rPr>
                <w:sz w:val="19"/>
              </w:rPr>
              <w:t>Tier 1 mínimo Pilar 1</w:t>
            </w:r>
          </w:p>
        </w:tc>
      </w:tr>
      <w:tr>
        <w:tc>
          <w:tcPr>
            <w:tcW w:type="dxa" w:w="2929"/>
            <w:vAlign w:val="center"/>
          </w:tcPr>
          <w:p>
            <w:r/>
            <w:r>
              <w:rPr>
                <w:sz w:val="19"/>
              </w:rPr>
              <w:t>Regulacion.total_capital_min</w:t>
            </w:r>
          </w:p>
        </w:tc>
        <w:tc>
          <w:tcPr>
            <w:tcW w:type="dxa" w:w="2929"/>
            <w:vAlign w:val="center"/>
          </w:tcPr>
          <w:p>
            <w:r/>
            <w:r>
              <w:rPr>
                <w:sz w:val="19"/>
              </w:rPr>
              <w:t>8,0%</w:t>
            </w:r>
          </w:p>
        </w:tc>
        <w:tc>
          <w:tcPr>
            <w:tcW w:type="dxa" w:w="2929"/>
            <w:vAlign w:val="center"/>
          </w:tcPr>
          <w:p>
            <w:r/>
            <w:r>
              <w:rPr>
                <w:sz w:val="19"/>
              </w:rPr>
              <w:t>Capital total mínimo Pilar 1</w:t>
            </w:r>
          </w:p>
        </w:tc>
      </w:tr>
      <w:tr>
        <w:tc>
          <w:tcPr>
            <w:tcW w:type="dxa" w:w="2929"/>
            <w:vAlign w:val="center"/>
          </w:tcPr>
          <w:p>
            <w:r/>
            <w:r>
              <w:rPr>
                <w:sz w:val="19"/>
              </w:rPr>
              <w:t>Regulacion.leverage_ratio_min</w:t>
            </w:r>
          </w:p>
        </w:tc>
        <w:tc>
          <w:tcPr>
            <w:tcW w:type="dxa" w:w="2929"/>
            <w:vAlign w:val="center"/>
          </w:tcPr>
          <w:p>
            <w:r/>
            <w:r>
              <w:rPr>
                <w:sz w:val="19"/>
              </w:rPr>
              <w:t>3,0%</w:t>
            </w:r>
          </w:p>
        </w:tc>
        <w:tc>
          <w:tcPr>
            <w:tcW w:type="dxa" w:w="2929"/>
            <w:vAlign w:val="center"/>
          </w:tcPr>
          <w:p>
            <w:r/>
            <w:r>
              <w:rPr>
                <w:sz w:val="19"/>
              </w:rPr>
              <w:t>Ratio de apalancamiento mínimo</w:t>
            </w:r>
          </w:p>
        </w:tc>
      </w:tr>
      <w:tr>
        <w:tc>
          <w:tcPr>
            <w:tcW w:type="dxa" w:w="2929"/>
            <w:vAlign w:val="center"/>
          </w:tcPr>
          <w:p>
            <w:r/>
            <w:r>
              <w:rPr>
                <w:sz w:val="19"/>
              </w:rPr>
              <w:t>Regulacion.hurdle_rate</w:t>
            </w:r>
          </w:p>
        </w:tc>
        <w:tc>
          <w:tcPr>
            <w:tcW w:type="dxa" w:w="2929"/>
            <w:vAlign w:val="center"/>
          </w:tcPr>
          <w:p>
            <w:r/>
            <w:r>
              <w:rPr>
                <w:sz w:val="19"/>
              </w:rPr>
              <w:t>10,0%</w:t>
            </w:r>
          </w:p>
        </w:tc>
        <w:tc>
          <w:tcPr>
            <w:tcW w:type="dxa" w:w="2929"/>
            <w:vAlign w:val="center"/>
          </w:tcPr>
          <w:p>
            <w:r/>
            <w:r>
              <w:rPr>
                <w:sz w:val="19"/>
              </w:rPr>
              <w:t>Coste de capital empleado en el cálculo de EVA</w:t>
            </w:r>
          </w:p>
        </w:tc>
      </w:tr>
      <w:tr>
        <w:tc>
          <w:tcPr>
            <w:tcW w:type="dxa" w:w="2929"/>
            <w:vAlign w:val="center"/>
          </w:tcPr>
          <w:p>
            <w:r/>
            <w:r>
              <w:rPr>
                <w:sz w:val="19"/>
              </w:rPr>
              <w:t>BuffersRegulatorios.conservation</w:t>
            </w:r>
          </w:p>
        </w:tc>
        <w:tc>
          <w:tcPr>
            <w:tcW w:type="dxa" w:w="2929"/>
            <w:vAlign w:val="center"/>
          </w:tcPr>
          <w:p>
            <w:r/>
            <w:r>
              <w:rPr>
                <w:sz w:val="19"/>
              </w:rPr>
              <w:t>2,5%</w:t>
            </w:r>
          </w:p>
        </w:tc>
        <w:tc>
          <w:tcPr>
            <w:tcW w:type="dxa" w:w="2929"/>
            <w:vAlign w:val="center"/>
          </w:tcPr>
          <w:p>
            <w:r/>
            <w:r>
              <w:rPr>
                <w:sz w:val="19"/>
              </w:rPr>
              <w:t>Capital Conservation Buffer (CCoB)</w:t>
            </w:r>
          </w:p>
        </w:tc>
      </w:tr>
      <w:tr>
        <w:tc>
          <w:tcPr>
            <w:tcW w:type="dxa" w:w="2929"/>
            <w:vAlign w:val="center"/>
          </w:tcPr>
          <w:p>
            <w:r/>
            <w:r>
              <w:rPr>
                <w:sz w:val="19"/>
              </w:rPr>
              <w:t>BuffersRegulatorios.countercyclical</w:t>
            </w:r>
          </w:p>
        </w:tc>
        <w:tc>
          <w:tcPr>
            <w:tcW w:type="dxa" w:w="2929"/>
            <w:vAlign w:val="center"/>
          </w:tcPr>
          <w:p>
            <w:r/>
            <w:r>
              <w:rPr>
                <w:sz w:val="19"/>
              </w:rPr>
              <w:t>0,0%</w:t>
            </w:r>
          </w:p>
        </w:tc>
        <w:tc>
          <w:tcPr>
            <w:tcW w:type="dxa" w:w="2929"/>
            <w:vAlign w:val="center"/>
          </w:tcPr>
          <w:p>
            <w:r/>
            <w:r>
              <w:rPr>
                <w:sz w:val="19"/>
              </w:rPr>
              <w:t>Countercyclical buffer (CCyB)</w:t>
            </w:r>
          </w:p>
        </w:tc>
      </w:tr>
      <w:tr>
        <w:tc>
          <w:tcPr>
            <w:tcW w:type="dxa" w:w="2929"/>
            <w:vAlign w:val="center"/>
          </w:tcPr>
          <w:p>
            <w:r/>
            <w:r>
              <w:rPr>
                <w:sz w:val="19"/>
              </w:rPr>
              <w:t>BuffersRegulatorios.systemic</w:t>
            </w:r>
          </w:p>
        </w:tc>
        <w:tc>
          <w:tcPr>
            <w:tcW w:type="dxa" w:w="2929"/>
            <w:vAlign w:val="center"/>
          </w:tcPr>
          <w:p>
            <w:r/>
            <w:r>
              <w:rPr>
                <w:sz w:val="19"/>
              </w:rPr>
              <w:t>0,0%</w:t>
            </w:r>
          </w:p>
        </w:tc>
        <w:tc>
          <w:tcPr>
            <w:tcW w:type="dxa" w:w="2929"/>
            <w:vAlign w:val="center"/>
          </w:tcPr>
          <w:p>
            <w:r/>
            <w:r>
              <w:rPr>
                <w:sz w:val="19"/>
              </w:rPr>
              <w:t>Systemic risk buffer (SRB)</w:t>
            </w:r>
          </w:p>
        </w:tc>
      </w:tr>
      <w:tr>
        <w:tc>
          <w:tcPr>
            <w:tcW w:type="dxa" w:w="2929"/>
            <w:vAlign w:val="center"/>
          </w:tcPr>
          <w:p>
            <w:r/>
            <w:r>
              <w:rPr>
                <w:sz w:val="19"/>
              </w:rPr>
              <w:t>BaselSTDMapping.default_unsecured</w:t>
            </w:r>
          </w:p>
        </w:tc>
        <w:tc>
          <w:tcPr>
            <w:tcW w:type="dxa" w:w="2929"/>
            <w:vAlign w:val="center"/>
          </w:tcPr>
          <w:p>
            <w:r/>
            <w:r>
              <w:rPr>
                <w:sz w:val="19"/>
              </w:rPr>
              <w:t>150%</w:t>
            </w:r>
          </w:p>
        </w:tc>
        <w:tc>
          <w:tcPr>
            <w:tcW w:type="dxa" w:w="2929"/>
            <w:vAlign w:val="center"/>
          </w:tcPr>
          <w:p>
            <w:r/>
            <w:r>
              <w:rPr>
                <w:sz w:val="19"/>
              </w:rPr>
              <w:t>RW para exposiciones en default no colateralizadas</w:t>
            </w:r>
          </w:p>
        </w:tc>
      </w:tr>
      <w:tr>
        <w:tc>
          <w:tcPr>
            <w:tcW w:type="dxa" w:w="2929"/>
            <w:vAlign w:val="center"/>
          </w:tcPr>
          <w:p>
            <w:r/>
            <w:r>
              <w:rPr>
                <w:sz w:val="19"/>
              </w:rPr>
              <w:t>BaselSTDMapping.default_mortgage_residential</w:t>
            </w:r>
          </w:p>
        </w:tc>
        <w:tc>
          <w:tcPr>
            <w:tcW w:type="dxa" w:w="2929"/>
            <w:vAlign w:val="center"/>
          </w:tcPr>
          <w:p>
            <w:r/>
            <w:r>
              <w:rPr>
                <w:sz w:val="19"/>
              </w:rPr>
              <w:t>100%</w:t>
            </w:r>
          </w:p>
        </w:tc>
        <w:tc>
          <w:tcPr>
            <w:tcW w:type="dxa" w:w="2929"/>
            <w:vAlign w:val="center"/>
          </w:tcPr>
          <w:p>
            <w:r/>
            <w:r>
              <w:rPr>
                <w:sz w:val="19"/>
              </w:rPr>
              <w:t>RW para exposiciones en default con colateral hipotecario residencial</w:t>
            </w:r>
          </w:p>
        </w:tc>
      </w:tr>
      <w:tr>
        <w:tc>
          <w:tcPr>
            <w:tcW w:type="dxa" w:w="2929"/>
            <w:vAlign w:val="center"/>
          </w:tcPr>
          <w:p>
            <w:r/>
            <w:r>
              <w:rPr>
                <w:sz w:val="19"/>
              </w:rPr>
              <w:t>NPLConventions.pd_floor / pd_cap</w:t>
            </w:r>
          </w:p>
        </w:tc>
        <w:tc>
          <w:tcPr>
            <w:tcW w:type="dxa" w:w="2929"/>
            <w:vAlign w:val="center"/>
          </w:tcPr>
          <w:p>
            <w:r/>
            <w:r>
              <w:rPr>
                <w:sz w:val="19"/>
              </w:rPr>
              <w:t>0,35 / 0,85</w:t>
            </w:r>
          </w:p>
        </w:tc>
        <w:tc>
          <w:tcPr>
            <w:tcW w:type="dxa" w:w="2929"/>
            <w:vAlign w:val="center"/>
          </w:tcPr>
          <w:p>
            <w:r/>
            <w:r>
              <w:rPr>
                <w:sz w:val="19"/>
              </w:rPr>
              <w:t>Floor y cap aplicados a la PD de default</w:t>
            </w:r>
          </w:p>
        </w:tc>
      </w:tr>
      <w:tr>
        <w:tc>
          <w:tcPr>
            <w:tcW w:type="dxa" w:w="2929"/>
            <w:vAlign w:val="center"/>
          </w:tcPr>
          <w:p>
            <w:r/>
            <w:r>
              <w:rPr>
                <w:sz w:val="19"/>
              </w:rPr>
              <w:t>NPLConventions.lgd_floor / lgd_cap</w:t>
            </w:r>
          </w:p>
        </w:tc>
        <w:tc>
          <w:tcPr>
            <w:tcW w:type="dxa" w:w="2929"/>
            <w:vAlign w:val="center"/>
          </w:tcPr>
          <w:p>
            <w:r/>
            <w:r>
              <w:rPr>
                <w:sz w:val="19"/>
              </w:rPr>
              <w:t>0,40 / 0,90</w:t>
            </w:r>
          </w:p>
        </w:tc>
        <w:tc>
          <w:tcPr>
            <w:tcW w:type="dxa" w:w="2929"/>
            <w:vAlign w:val="center"/>
          </w:tcPr>
          <w:p>
            <w:r/>
            <w:r>
              <w:rPr>
                <w:sz w:val="19"/>
              </w:rPr>
              <w:t>Floor y cap aplicados a la LGD</w:t>
            </w:r>
          </w:p>
        </w:tc>
      </w:tr>
      <w:tr>
        <w:tc>
          <w:tcPr>
            <w:tcW w:type="dxa" w:w="2929"/>
            <w:vAlign w:val="center"/>
          </w:tcPr>
          <w:p>
            <w:r/>
            <w:r>
              <w:rPr>
                <w:sz w:val="19"/>
              </w:rPr>
              <w:t>NPLConventions.dpd_floor / dpd_cap</w:t>
            </w:r>
          </w:p>
        </w:tc>
        <w:tc>
          <w:tcPr>
            <w:tcW w:type="dxa" w:w="2929"/>
            <w:vAlign w:val="center"/>
          </w:tcPr>
          <w:p>
            <w:r/>
            <w:r>
              <w:rPr>
                <w:sz w:val="19"/>
              </w:rPr>
              <w:t>90 / 1.080</w:t>
            </w:r>
          </w:p>
        </w:tc>
        <w:tc>
          <w:tcPr>
            <w:tcW w:type="dxa" w:w="2929"/>
            <w:vAlign w:val="center"/>
          </w:tcPr>
          <w:p>
            <w:r/>
            <w:r>
              <w:rPr>
                <w:sz w:val="19"/>
              </w:rPr>
              <w:t>Rango admisible de días de mora (DPD)</w:t>
            </w:r>
          </w:p>
        </w:tc>
      </w:tr>
    </w:tbl>
    <w:p>
      <w:pPr>
        <w:jc w:val="center"/>
      </w:pPr>
      <w:r>
        <w:rPr>
          <w:sz w:val="20"/>
        </w:rPr>
        <w:t>Tabla B.1. Parámetros regulatorios y de capital. Los valores reproducen los atributos verificados en config.py para la sesión de inferencia de referencia.</w:t>
      </w:r>
    </w:p>
    <w:p>
      <w:pPr>
        <w:pStyle w:val="Heading3"/>
      </w:pPr>
      <w:r>
        <w:t>Tabla B.2 — Reestructuración y pricing</w:t>
      </w:r>
    </w:p>
    <w:tbl>
      <w:tblPr>
        <w:tblStyle w:val="LightGrid-Accent1"/>
        <w:tblW w:type="auto" w:w="0"/>
        <w:tblLook w:firstColumn="1" w:firstRow="1" w:lastColumn="0" w:lastRow="0" w:noHBand="0" w:noVBand="1" w:val="04A0"/>
      </w:tblPr>
      <w:tblGrid>
        <w:gridCol w:w="2929"/>
        <w:gridCol w:w="2929"/>
        <w:gridCol w:w="2929"/>
      </w:tblGrid>
      <w:tr>
        <w:tc>
          <w:tcPr>
            <w:tcW w:type="dxa" w:w="2929"/>
            <w:vAlign w:val="center"/>
          </w:tcPr>
          <w:p>
            <w:r/>
            <w:r>
              <w:rPr>
                <w:b/>
                <w:sz w:val="20"/>
              </w:rPr>
              <w:t>Símbolo / atributo</w:t>
            </w:r>
          </w:p>
        </w:tc>
        <w:tc>
          <w:tcPr>
            <w:tcW w:type="dxa" w:w="2929"/>
            <w:vAlign w:val="center"/>
          </w:tcPr>
          <w:p>
            <w:r/>
            <w:r>
              <w:rPr>
                <w:b/>
                <w:sz w:val="20"/>
              </w:rPr>
              <w:t>Valor</w:t>
            </w:r>
          </w:p>
        </w:tc>
        <w:tc>
          <w:tcPr>
            <w:tcW w:type="dxa" w:w="2929"/>
            <w:vAlign w:val="center"/>
          </w:tcPr>
          <w:p>
            <w:r/>
            <w:r>
              <w:rPr>
                <w:b/>
                <w:sz w:val="20"/>
              </w:rPr>
              <w:t>Descripción</w:t>
            </w:r>
          </w:p>
        </w:tc>
      </w:tr>
      <w:tr>
        <w:tc>
          <w:tcPr>
            <w:tcW w:type="dxa" w:w="2929"/>
            <w:vAlign w:val="center"/>
          </w:tcPr>
          <w:p>
            <w:r/>
            <w:r>
              <w:rPr>
                <w:sz w:val="19"/>
              </w:rPr>
              <w:t>ReestructuraParams.plazo_anios_grid</w:t>
            </w:r>
          </w:p>
        </w:tc>
        <w:tc>
          <w:tcPr>
            <w:tcW w:type="dxa" w:w="2929"/>
            <w:vAlign w:val="center"/>
          </w:tcPr>
          <w:p>
            <w:r/>
            <w:r>
              <w:rPr>
                <w:sz w:val="19"/>
              </w:rPr>
              <w:t>[3, 5, 7, 10, 15, 20]</w:t>
            </w:r>
          </w:p>
        </w:tc>
        <w:tc>
          <w:tcPr>
            <w:tcW w:type="dxa" w:w="2929"/>
            <w:vAlign w:val="center"/>
          </w:tcPr>
          <w:p>
            <w:r/>
            <w:r>
              <w:rPr>
                <w:sz w:val="19"/>
              </w:rPr>
              <w:t>Rejilla de extensiones de plazo (años)</w:t>
            </w:r>
          </w:p>
        </w:tc>
      </w:tr>
      <w:tr>
        <w:tc>
          <w:tcPr>
            <w:tcW w:type="dxa" w:w="2929"/>
            <w:vAlign w:val="center"/>
          </w:tcPr>
          <w:p>
            <w:r/>
            <w:r>
              <w:rPr>
                <w:sz w:val="19"/>
              </w:rPr>
              <w:t>ReestructuraParams.tasa_anual_grid</w:t>
            </w:r>
          </w:p>
        </w:tc>
        <w:tc>
          <w:tcPr>
            <w:tcW w:type="dxa" w:w="2929"/>
            <w:vAlign w:val="center"/>
          </w:tcPr>
          <w:p>
            <w:r/>
            <w:r>
              <w:rPr>
                <w:sz w:val="19"/>
              </w:rPr>
              <w:t>[0,03 ; … ; 0,19] (paso 2%)</w:t>
            </w:r>
          </w:p>
        </w:tc>
        <w:tc>
          <w:tcPr>
            <w:tcW w:type="dxa" w:w="2929"/>
            <w:vAlign w:val="center"/>
          </w:tcPr>
          <w:p>
            <w:r/>
            <w:r>
              <w:rPr>
                <w:sz w:val="19"/>
              </w:rPr>
              <w:t>Rejilla de tipos de interés (9 valores)</w:t>
            </w:r>
          </w:p>
        </w:tc>
      </w:tr>
      <w:tr>
        <w:tc>
          <w:tcPr>
            <w:tcW w:type="dxa" w:w="2929"/>
            <w:vAlign w:val="center"/>
          </w:tcPr>
          <w:p>
            <w:r/>
            <w:r>
              <w:rPr>
                <w:sz w:val="19"/>
              </w:rPr>
              <w:t>ReestructuraParams.quita_grid</w:t>
            </w:r>
          </w:p>
        </w:tc>
        <w:tc>
          <w:tcPr>
            <w:tcW w:type="dxa" w:w="2929"/>
            <w:vAlign w:val="center"/>
          </w:tcPr>
          <w:p>
            <w:r/>
            <w:r>
              <w:rPr>
                <w:sz w:val="19"/>
              </w:rPr>
              <w:t>[0,00 ; 0,05 ; 0,10 ; 0,15]</w:t>
            </w:r>
          </w:p>
        </w:tc>
        <w:tc>
          <w:tcPr>
            <w:tcW w:type="dxa" w:w="2929"/>
            <w:vAlign w:val="center"/>
          </w:tcPr>
          <w:p>
            <w:r/>
            <w:r>
              <w:rPr>
                <w:sz w:val="19"/>
              </w:rPr>
              <w:t>Rejilla de quitas (4 valores)</w:t>
            </w:r>
          </w:p>
        </w:tc>
      </w:tr>
      <w:tr>
        <w:tc>
          <w:tcPr>
            <w:tcW w:type="dxa" w:w="2929"/>
            <w:vAlign w:val="center"/>
          </w:tcPr>
          <w:p>
            <w:r/>
            <w:r>
              <w:rPr>
                <w:sz w:val="19"/>
              </w:rPr>
              <w:t>SensibilidadReestructura.pd_reduction_per_year</w:t>
            </w:r>
          </w:p>
        </w:tc>
        <w:tc>
          <w:tcPr>
            <w:tcW w:type="dxa" w:w="2929"/>
            <w:vAlign w:val="center"/>
          </w:tcPr>
          <w:p>
            <w:r/>
            <w:r>
              <w:rPr>
                <w:sz w:val="19"/>
              </w:rPr>
              <w:t>0,08</w:t>
            </w:r>
          </w:p>
        </w:tc>
        <w:tc>
          <w:tcPr>
            <w:tcW w:type="dxa" w:w="2929"/>
            <w:vAlign w:val="center"/>
          </w:tcPr>
          <w:p>
            <w:r/>
            <w:r>
              <w:rPr>
                <w:sz w:val="19"/>
              </w:rPr>
              <w:t>Reducción del hazard por año de extensión</w:t>
            </w:r>
          </w:p>
        </w:tc>
      </w:tr>
      <w:tr>
        <w:tc>
          <w:tcPr>
            <w:tcW w:type="dxa" w:w="2929"/>
            <w:vAlign w:val="center"/>
          </w:tcPr>
          <w:p>
            <w:r/>
            <w:r>
              <w:rPr>
                <w:sz w:val="19"/>
              </w:rPr>
              <w:t>SensibilidadReestructura.pd_reduction_per_quita</w:t>
            </w:r>
          </w:p>
        </w:tc>
        <w:tc>
          <w:tcPr>
            <w:tcW w:type="dxa" w:w="2929"/>
            <w:vAlign w:val="center"/>
          </w:tcPr>
          <w:p>
            <w:r/>
            <w:r>
              <w:rPr>
                <w:sz w:val="19"/>
              </w:rPr>
              <w:t>0,35</w:t>
            </w:r>
          </w:p>
        </w:tc>
        <w:tc>
          <w:tcPr>
            <w:tcW w:type="dxa" w:w="2929"/>
            <w:vAlign w:val="center"/>
          </w:tcPr>
          <w:p>
            <w:r/>
            <w:r>
              <w:rPr>
                <w:sz w:val="19"/>
              </w:rPr>
              <w:t>Reducción del hazard por unidad de quita</w:t>
            </w:r>
          </w:p>
        </w:tc>
      </w:tr>
      <w:tr>
        <w:tc>
          <w:tcPr>
            <w:tcW w:type="dxa" w:w="2929"/>
            <w:vAlign w:val="center"/>
          </w:tcPr>
          <w:p>
            <w:r/>
            <w:r>
              <w:rPr>
                <w:sz w:val="19"/>
              </w:rPr>
              <w:t>SensibilidadReestructura.lgd_reduction_per_quita</w:t>
            </w:r>
          </w:p>
        </w:tc>
        <w:tc>
          <w:tcPr>
            <w:tcW w:type="dxa" w:w="2929"/>
            <w:vAlign w:val="center"/>
          </w:tcPr>
          <w:p>
            <w:r/>
            <w:r>
              <w:rPr>
                <w:sz w:val="19"/>
              </w:rPr>
              <w:t>0,50</w:t>
            </w:r>
          </w:p>
        </w:tc>
        <w:tc>
          <w:tcPr>
            <w:tcW w:type="dxa" w:w="2929"/>
            <w:vAlign w:val="center"/>
          </w:tcPr>
          <w:p>
            <w:r/>
            <w:r>
              <w:rPr>
                <w:sz w:val="19"/>
              </w:rPr>
              <w:t>Reducción de LGD por unidad de quita</w:t>
            </w:r>
          </w:p>
        </w:tc>
      </w:tr>
      <w:tr>
        <w:tc>
          <w:tcPr>
            <w:tcW w:type="dxa" w:w="2929"/>
            <w:vAlign w:val="center"/>
          </w:tcPr>
          <w:p>
            <w:r/>
            <w:r>
              <w:rPr>
                <w:sz w:val="19"/>
              </w:rPr>
              <w:t>SensibilidadReestructura.pd_cure_threshold</w:t>
            </w:r>
          </w:p>
        </w:tc>
        <w:tc>
          <w:tcPr>
            <w:tcW w:type="dxa" w:w="2929"/>
            <w:vAlign w:val="center"/>
          </w:tcPr>
          <w:p>
            <w:r/>
            <w:r>
              <w:rPr>
                <w:sz w:val="19"/>
              </w:rPr>
              <w:t>0,20</w:t>
            </w:r>
          </w:p>
        </w:tc>
        <w:tc>
          <w:tcPr>
            <w:tcW w:type="dxa" w:w="2929"/>
            <w:vAlign w:val="center"/>
          </w:tcPr>
          <w:p>
            <w:r/>
            <w:r>
              <w:rPr>
                <w:sz w:val="19"/>
              </w:rPr>
              <w:t>Umbral de PD para declarar curación</w:t>
            </w:r>
          </w:p>
        </w:tc>
      </w:tr>
      <w:tr>
        <w:tc>
          <w:tcPr>
            <w:tcW w:type="dxa" w:w="2929"/>
            <w:vAlign w:val="center"/>
          </w:tcPr>
          <w:p>
            <w:r/>
            <w:r>
              <w:rPr>
                <w:sz w:val="19"/>
              </w:rPr>
              <w:t>SensibilidadReestructura.rw_perf_guess</w:t>
            </w:r>
          </w:p>
        </w:tc>
        <w:tc>
          <w:tcPr>
            <w:tcW w:type="dxa" w:w="2929"/>
            <w:vAlign w:val="center"/>
          </w:tcPr>
          <w:p>
            <w:r/>
            <w:r>
              <w:rPr>
                <w:sz w:val="19"/>
              </w:rPr>
              <w:t>0,75</w:t>
            </w:r>
          </w:p>
        </w:tc>
        <w:tc>
          <w:tcPr>
            <w:tcW w:type="dxa" w:w="2929"/>
            <w:vAlign w:val="center"/>
          </w:tcPr>
          <w:p>
            <w:r/>
            <w:r>
              <w:rPr>
                <w:sz w:val="19"/>
              </w:rPr>
              <w:t>RW estimado para préstamos curados</w:t>
            </w:r>
          </w:p>
        </w:tc>
      </w:tr>
      <w:tr>
        <w:tc>
          <w:tcPr>
            <w:tcW w:type="dxa" w:w="2929"/>
            <w:vAlign w:val="center"/>
          </w:tcPr>
          <w:p>
            <w:r/>
            <w:r>
              <w:rPr>
                <w:sz w:val="19"/>
              </w:rPr>
              <w:t>SensibilidadReestructura.horizon_months</w:t>
            </w:r>
          </w:p>
        </w:tc>
        <w:tc>
          <w:tcPr>
            <w:tcW w:type="dxa" w:w="2929"/>
            <w:vAlign w:val="center"/>
          </w:tcPr>
          <w:p>
            <w:r/>
            <w:r>
              <w:rPr>
                <w:sz w:val="19"/>
              </w:rPr>
              <w:t>24</w:t>
            </w:r>
          </w:p>
        </w:tc>
        <w:tc>
          <w:tcPr>
            <w:tcW w:type="dxa" w:w="2929"/>
            <w:vAlign w:val="center"/>
          </w:tcPr>
          <w:p>
            <w:r/>
            <w:r>
              <w:rPr>
                <w:sz w:val="19"/>
              </w:rPr>
              <w:t>Horizonte forward para PD y simulación mensual</w:t>
            </w:r>
          </w:p>
        </w:tc>
      </w:tr>
      <w:tr>
        <w:tc>
          <w:tcPr>
            <w:tcW w:type="dxa" w:w="2929"/>
            <w:vAlign w:val="center"/>
          </w:tcPr>
          <w:p>
            <w:r/>
            <w:r>
              <w:rPr>
                <w:sz w:val="19"/>
              </w:rPr>
              <w:t>PrecioVentaParams.buyer_discount_rate</w:t>
            </w:r>
          </w:p>
        </w:tc>
        <w:tc>
          <w:tcPr>
            <w:tcW w:type="dxa" w:w="2929"/>
            <w:vAlign w:val="center"/>
          </w:tcPr>
          <w:p>
            <w:r/>
            <w:r>
              <w:rPr>
                <w:sz w:val="19"/>
              </w:rPr>
              <w:t>10,0%</w:t>
            </w:r>
          </w:p>
        </w:tc>
        <w:tc>
          <w:tcPr>
            <w:tcW w:type="dxa" w:w="2929"/>
            <w:vAlign w:val="center"/>
          </w:tcPr>
          <w:p>
            <w:r/>
            <w:r>
              <w:rPr>
                <w:sz w:val="19"/>
              </w:rPr>
              <w:t>Tasa de descuento empleada por el comprador de NPL</w:t>
            </w:r>
          </w:p>
        </w:tc>
      </w:tr>
      <w:tr>
        <w:tc>
          <w:tcPr>
            <w:tcW w:type="dxa" w:w="2929"/>
            <w:vAlign w:val="center"/>
          </w:tcPr>
          <w:p>
            <w:r/>
            <w:r>
              <w:rPr>
                <w:sz w:val="19"/>
              </w:rPr>
              <w:t>COST_FUND (constante de módulo)</w:t>
            </w:r>
          </w:p>
        </w:tc>
        <w:tc>
          <w:tcPr>
            <w:tcW w:type="dxa" w:w="2929"/>
            <w:vAlign w:val="center"/>
          </w:tcPr>
          <w:p>
            <w:r/>
            <w:r>
              <w:rPr>
                <w:sz w:val="19"/>
              </w:rPr>
              <w:t>0,006</w:t>
            </w:r>
          </w:p>
        </w:tc>
        <w:tc>
          <w:tcPr>
            <w:tcW w:type="dxa" w:w="2929"/>
            <w:vAlign w:val="center"/>
          </w:tcPr>
          <w:p>
            <w:r/>
            <w:r>
              <w:rPr>
                <w:sz w:val="19"/>
              </w:rPr>
              <w:t>Coste de funding anual; replicada en generate_portfolio.py, loan_env.py, portfolio_env.py y restructure_optimizer.py</w:t>
            </w:r>
          </w:p>
        </w:tc>
      </w:tr>
    </w:tbl>
    <w:p>
      <w:pPr>
        <w:jc w:val="center"/>
      </w:pPr>
      <w:r>
        <w:rPr>
          <w:sz w:val="20"/>
        </w:rPr>
        <w:t>Tabla B.2. Parámetros del optimizador de reestructuración y del pricing de venta.</w:t>
      </w:r>
    </w:p>
    <w:p>
      <w:pPr>
        <w:pStyle w:val="Heading3"/>
      </w:pPr>
      <w:r>
        <w:t>Tabla B.3 — Guardrails y carve-outs</w:t>
      </w:r>
    </w:p>
    <w:tbl>
      <w:tblPr>
        <w:tblStyle w:val="LightGrid-Accent1"/>
        <w:tblW w:type="auto" w:w="0"/>
        <w:tblLook w:firstColumn="1" w:firstRow="1" w:lastColumn="0" w:lastRow="0" w:noHBand="0" w:noVBand="1" w:val="04A0"/>
      </w:tblPr>
      <w:tblGrid>
        <w:gridCol w:w="2929"/>
        <w:gridCol w:w="2929"/>
        <w:gridCol w:w="2929"/>
      </w:tblGrid>
      <w:tr>
        <w:tc>
          <w:tcPr>
            <w:tcW w:type="dxa" w:w="2929"/>
            <w:vAlign w:val="center"/>
          </w:tcPr>
          <w:p>
            <w:r/>
            <w:r>
              <w:rPr>
                <w:b/>
                <w:sz w:val="20"/>
              </w:rPr>
              <w:t>Constante</w:t>
            </w:r>
          </w:p>
        </w:tc>
        <w:tc>
          <w:tcPr>
            <w:tcW w:type="dxa" w:w="2929"/>
            <w:vAlign w:val="center"/>
          </w:tcPr>
          <w:p>
            <w:r/>
            <w:r>
              <w:rPr>
                <w:b/>
                <w:sz w:val="20"/>
              </w:rPr>
              <w:t>Valor</w:t>
            </w:r>
          </w:p>
        </w:tc>
        <w:tc>
          <w:tcPr>
            <w:tcW w:type="dxa" w:w="2929"/>
            <w:vAlign w:val="center"/>
          </w:tcPr>
          <w:p>
            <w:r/>
            <w:r>
              <w:rPr>
                <w:b/>
                <w:sz w:val="20"/>
              </w:rPr>
              <w:t>Descripción</w:t>
            </w:r>
          </w:p>
        </w:tc>
      </w:tr>
      <w:tr>
        <w:tc>
          <w:tcPr>
            <w:tcW w:type="dxa" w:w="2929"/>
            <w:vAlign w:val="center"/>
          </w:tcPr>
          <w:p>
            <w:r/>
            <w:r>
              <w:rPr>
                <w:sz w:val="19"/>
              </w:rPr>
              <w:t>GR_PTI_MAX</w:t>
            </w:r>
          </w:p>
        </w:tc>
        <w:tc>
          <w:tcPr>
            <w:tcW w:type="dxa" w:w="2929"/>
            <w:vAlign w:val="center"/>
          </w:tcPr>
          <w:p>
            <w:r/>
            <w:r>
              <w:rPr>
                <w:sz w:val="19"/>
              </w:rPr>
              <w:t>45%</w:t>
            </w:r>
          </w:p>
        </w:tc>
        <w:tc>
          <w:tcPr>
            <w:tcW w:type="dxa" w:w="2929"/>
            <w:vAlign w:val="center"/>
          </w:tcPr>
          <w:p>
            <w:r/>
            <w:r>
              <w:rPr>
                <w:sz w:val="19"/>
              </w:rPr>
              <w:t>PTI máximo admisible post-reestructuración</w:t>
            </w:r>
          </w:p>
        </w:tc>
      </w:tr>
      <w:tr>
        <w:tc>
          <w:tcPr>
            <w:tcW w:type="dxa" w:w="2929"/>
            <w:vAlign w:val="center"/>
          </w:tcPr>
          <w:p>
            <w:r/>
            <w:r>
              <w:rPr>
                <w:sz w:val="19"/>
              </w:rPr>
              <w:t>GR_DSCR_MIN</w:t>
            </w:r>
          </w:p>
        </w:tc>
        <w:tc>
          <w:tcPr>
            <w:tcW w:type="dxa" w:w="2929"/>
            <w:vAlign w:val="center"/>
          </w:tcPr>
          <w:p>
            <w:r/>
            <w:r>
              <w:rPr>
                <w:sz w:val="19"/>
              </w:rPr>
              <w:t>1,10</w:t>
            </w:r>
          </w:p>
        </w:tc>
        <w:tc>
          <w:tcPr>
            <w:tcW w:type="dxa" w:w="2929"/>
            <w:vAlign w:val="center"/>
          </w:tcPr>
          <w:p>
            <w:r/>
            <w:r>
              <w:rPr>
                <w:sz w:val="19"/>
              </w:rPr>
              <w:t>DSCR mínimo post-reestructuración</w:t>
            </w:r>
          </w:p>
        </w:tc>
      </w:tr>
      <w:tr>
        <w:tc>
          <w:tcPr>
            <w:tcW w:type="dxa" w:w="2929"/>
            <w:vAlign w:val="center"/>
          </w:tcPr>
          <w:p>
            <w:r/>
            <w:r>
              <w:rPr>
                <w:sz w:val="19"/>
              </w:rPr>
              <w:t>GR_SELL_MIN_BID_PCT_EAD</w:t>
            </w:r>
          </w:p>
        </w:tc>
        <w:tc>
          <w:tcPr>
            <w:tcW w:type="dxa" w:w="2929"/>
            <w:vAlign w:val="center"/>
          </w:tcPr>
          <w:p>
            <w:r/>
            <w:r>
              <w:rPr>
                <w:sz w:val="19"/>
              </w:rPr>
              <w:t>5%</w:t>
            </w:r>
          </w:p>
        </w:tc>
        <w:tc>
          <w:tcPr>
            <w:tcW w:type="dxa" w:w="2929"/>
            <w:vAlign w:val="center"/>
          </w:tcPr>
          <w:p>
            <w:r/>
            <w:r>
              <w:rPr>
                <w:sz w:val="19"/>
              </w:rPr>
              <w:t>Precio mínimo de venta como porcentaje del EAD</w:t>
            </w:r>
          </w:p>
        </w:tc>
      </w:tr>
      <w:tr>
        <w:tc>
          <w:tcPr>
            <w:tcW w:type="dxa" w:w="2929"/>
            <w:vAlign w:val="center"/>
          </w:tcPr>
          <w:p>
            <w:r/>
            <w:r>
              <w:rPr>
                <w:sz w:val="19"/>
              </w:rPr>
              <w:t>GR_SELL_MAX_FIRE_SALE_LOSS_PCT_EAD_PRUDENCIAL</w:t>
            </w:r>
          </w:p>
        </w:tc>
        <w:tc>
          <w:tcPr>
            <w:tcW w:type="dxa" w:w="2929"/>
            <w:vAlign w:val="center"/>
          </w:tcPr>
          <w:p>
            <w:r/>
            <w:r>
              <w:rPr>
                <w:sz w:val="19"/>
              </w:rPr>
              <w:t>40%</w:t>
            </w:r>
          </w:p>
        </w:tc>
        <w:tc>
          <w:tcPr>
            <w:tcW w:type="dxa" w:w="2929"/>
            <w:vAlign w:val="center"/>
          </w:tcPr>
          <w:p>
            <w:r/>
            <w:r>
              <w:rPr>
                <w:sz w:val="19"/>
              </w:rPr>
              <w:t>Pérdida máxima permitida por venta bajo postura Prudencial</w:t>
            </w:r>
          </w:p>
        </w:tc>
      </w:tr>
      <w:tr>
        <w:tc>
          <w:tcPr>
            <w:tcW w:type="dxa" w:w="2929"/>
            <w:vAlign w:val="center"/>
          </w:tcPr>
          <w:p>
            <w:r/>
            <w:r>
              <w:rPr>
                <w:sz w:val="19"/>
              </w:rPr>
              <w:t>COORDINATOR_PRIORITY</w:t>
            </w:r>
          </w:p>
        </w:tc>
        <w:tc>
          <w:tcPr>
            <w:tcW w:type="dxa" w:w="2929"/>
            <w:vAlign w:val="center"/>
          </w:tcPr>
          <w:p>
            <w:r/>
            <w:r>
              <w:rPr>
                <w:sz w:val="19"/>
              </w:rPr>
              <w:t>"PRUDENCIAL_FIRST"</w:t>
            </w:r>
          </w:p>
        </w:tc>
        <w:tc>
          <w:tcPr>
            <w:tcW w:type="dxa" w:w="2929"/>
            <w:vAlign w:val="center"/>
          </w:tcPr>
          <w:p>
            <w:r/>
            <w:r>
              <w:rPr>
                <w:sz w:val="19"/>
              </w:rPr>
              <w:t>Orden de prioridad en la cascada de overrides macro-micro</w:t>
            </w:r>
          </w:p>
        </w:tc>
      </w:tr>
      <w:tr>
        <w:tc>
          <w:tcPr>
            <w:tcW w:type="dxa" w:w="2929"/>
            <w:vAlign w:val="center"/>
          </w:tcPr>
          <w:p>
            <w:r/>
            <w:r>
              <w:rPr>
                <w:sz w:val="19"/>
              </w:rPr>
              <w:t>GLOBAL_SEED</w:t>
            </w:r>
          </w:p>
        </w:tc>
        <w:tc>
          <w:tcPr>
            <w:tcW w:type="dxa" w:w="2929"/>
            <w:vAlign w:val="center"/>
          </w:tcPr>
          <w:p>
            <w:r/>
            <w:r>
              <w:rPr>
                <w:sz w:val="19"/>
              </w:rPr>
              <w:t>42</w:t>
            </w:r>
          </w:p>
        </w:tc>
        <w:tc>
          <w:tcPr>
            <w:tcW w:type="dxa" w:w="2929"/>
            <w:vAlign w:val="center"/>
          </w:tcPr>
          <w:p>
            <w:r/>
            <w:r>
              <w:rPr>
                <w:sz w:val="19"/>
              </w:rPr>
              <w:t>Semilla global de reproducibilidad</w:t>
            </w:r>
          </w:p>
        </w:tc>
      </w:tr>
      <w:tr>
        <w:tc>
          <w:tcPr>
            <w:tcW w:type="dxa" w:w="2929"/>
            <w:vAlign w:val="center"/>
          </w:tcPr>
          <w:p>
            <w:r/>
            <w:r>
              <w:rPr>
                <w:sz w:val="19"/>
              </w:rPr>
              <w:t>Carve-out prudencial (eva_pct)</w:t>
            </w:r>
          </w:p>
        </w:tc>
        <w:tc>
          <w:tcPr>
            <w:tcW w:type="dxa" w:w="2929"/>
            <w:vAlign w:val="center"/>
          </w:tcPr>
          <w:p>
            <w:r/>
            <w:r>
              <w:rPr>
                <w:sz w:val="19"/>
              </w:rPr>
              <w:t>20%</w:t>
            </w:r>
          </w:p>
        </w:tc>
        <w:tc>
          <w:tcPr>
            <w:tcW w:type="dxa" w:w="2929"/>
            <w:vAlign w:val="center"/>
          </w:tcPr>
          <w:p>
            <w:r/>
            <w:r>
              <w:rPr>
                <w:sz w:val="19"/>
              </w:rPr>
              <w:t>Fracción superior por EVA gain potencial sobre la que se relaja la restricción</w:t>
            </w:r>
          </w:p>
        </w:tc>
      </w:tr>
      <w:tr>
        <w:tc>
          <w:tcPr>
            <w:tcW w:type="dxa" w:w="2929"/>
            <w:vAlign w:val="center"/>
          </w:tcPr>
          <w:p>
            <w:r/>
            <w:r>
              <w:rPr>
                <w:sz w:val="19"/>
              </w:rPr>
              <w:t>Carve-out prudencial (dscr_buffer)</w:t>
            </w:r>
          </w:p>
        </w:tc>
        <w:tc>
          <w:tcPr>
            <w:tcW w:type="dxa" w:w="2929"/>
            <w:vAlign w:val="center"/>
          </w:tcPr>
          <w:p>
            <w:r/>
            <w:r>
              <w:rPr>
                <w:sz w:val="19"/>
              </w:rPr>
              <w:t>0,20</w:t>
            </w:r>
          </w:p>
        </w:tc>
        <w:tc>
          <w:tcPr>
            <w:tcW w:type="dxa" w:w="2929"/>
            <w:vAlign w:val="center"/>
          </w:tcPr>
          <w:p>
            <w:r/>
            <w:r>
              <w:rPr>
                <w:sz w:val="19"/>
              </w:rPr>
              <w:t>Holgura adicional de DSCR exigida al carve-out</w:t>
            </w:r>
          </w:p>
        </w:tc>
      </w:tr>
      <w:tr>
        <w:tc>
          <w:tcPr>
            <w:tcW w:type="dxa" w:w="2929"/>
            <w:vAlign w:val="center"/>
          </w:tcPr>
          <w:p>
            <w:r/>
            <w:r>
              <w:rPr>
                <w:sz w:val="19"/>
              </w:rPr>
              <w:t>Carve-out prudencial (pti_max)</w:t>
            </w:r>
          </w:p>
        </w:tc>
        <w:tc>
          <w:tcPr>
            <w:tcW w:type="dxa" w:w="2929"/>
            <w:vAlign w:val="center"/>
          </w:tcPr>
          <w:p>
            <w:r/>
            <w:r>
              <w:rPr>
                <w:sz w:val="19"/>
              </w:rPr>
              <w:t>35%</w:t>
            </w:r>
          </w:p>
        </w:tc>
        <w:tc>
          <w:tcPr>
            <w:tcW w:type="dxa" w:w="2929"/>
            <w:vAlign w:val="center"/>
          </w:tcPr>
          <w:p>
            <w:r/>
            <w:r>
              <w:rPr>
                <w:sz w:val="19"/>
              </w:rPr>
              <w:t>PTI máximo exigido al carve-out (más conservador que GR_PTI_MAX)</w:t>
            </w:r>
          </w:p>
        </w:tc>
      </w:tr>
    </w:tbl>
    <w:p>
      <w:pPr>
        <w:jc w:val="center"/>
      </w:pPr>
      <w:r>
        <w:rPr>
          <w:sz w:val="20"/>
        </w:rPr>
        <w:t>Tabla B.3. Constantes de gobernanza prudencial. Las tres últimas filas corresponden al diccionario _PRUDENCIAL_CARVE_OUT_PARAMS definido en agent/coordinator_inference.py y reflejado en reports/npl_posture_analysis.py.</w:t>
      </w:r>
    </w:p>
    <w:p>
      <w:pPr>
        <w:pStyle w:val="Heading3"/>
      </w:pPr>
      <w:r>
        <w:t>Tabla B.4 — Hiperparámetros PPO</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vAlign w:val="center"/>
          </w:tcPr>
          <w:p>
            <w:r/>
            <w:r>
              <w:rPr>
                <w:b/>
                <w:sz w:val="20"/>
              </w:rPr>
              <w:t>Hiperparámetro (PPOParams)</w:t>
            </w:r>
          </w:p>
        </w:tc>
        <w:tc>
          <w:tcPr>
            <w:tcW w:type="dxa" w:w="2197"/>
            <w:vAlign w:val="center"/>
          </w:tcPr>
          <w:p>
            <w:r/>
            <w:r>
              <w:rPr>
                <w:b/>
                <w:sz w:val="20"/>
              </w:rPr>
              <w:t>Agente micro</w:t>
            </w:r>
          </w:p>
        </w:tc>
        <w:tc>
          <w:tcPr>
            <w:tcW w:type="dxa" w:w="2197"/>
            <w:vAlign w:val="center"/>
          </w:tcPr>
          <w:p>
            <w:r/>
            <w:r>
              <w:rPr>
                <w:b/>
                <w:sz w:val="20"/>
              </w:rPr>
              <w:t>Agente macro</w:t>
            </w:r>
          </w:p>
        </w:tc>
        <w:tc>
          <w:tcPr>
            <w:tcW w:type="dxa" w:w="2197"/>
            <w:vAlign w:val="center"/>
          </w:tcPr>
          <w:p>
            <w:r/>
            <w:r>
              <w:rPr>
                <w:b/>
                <w:sz w:val="20"/>
              </w:rPr>
              <w:t>Notas</w:t>
            </w:r>
          </w:p>
        </w:tc>
      </w:tr>
      <w:tr>
        <w:tc>
          <w:tcPr>
            <w:tcW w:type="dxa" w:w="2197"/>
            <w:vAlign w:val="center"/>
          </w:tcPr>
          <w:p>
            <w:r/>
            <w:r>
              <w:rPr>
                <w:sz w:val="19"/>
              </w:rPr>
              <w:t>policy</w:t>
            </w:r>
          </w:p>
        </w:tc>
        <w:tc>
          <w:tcPr>
            <w:tcW w:type="dxa" w:w="2197"/>
            <w:vAlign w:val="center"/>
          </w:tcPr>
          <w:p>
            <w:r/>
            <w:r>
              <w:rPr>
                <w:sz w:val="19"/>
              </w:rPr>
              <w:t>MlpPolicy</w:t>
            </w:r>
          </w:p>
        </w:tc>
        <w:tc>
          <w:tcPr>
            <w:tcW w:type="dxa" w:w="2197"/>
            <w:vAlign w:val="center"/>
          </w:tcPr>
          <w:p>
            <w:r/>
            <w:r>
              <w:rPr>
                <w:sz w:val="19"/>
              </w:rPr>
              <w:t>MlpPolicy</w:t>
            </w:r>
          </w:p>
        </w:tc>
        <w:tc>
          <w:tcPr>
            <w:tcW w:type="dxa" w:w="2197"/>
            <w:vAlign w:val="center"/>
          </w:tcPr>
          <w:p>
            <w:r/>
            <w:r>
              <w:rPr>
                <w:sz w:val="19"/>
              </w:rPr>
              <w:t>Arquitectura net_arch = [256, 256]</w:t>
            </w:r>
          </w:p>
        </w:tc>
      </w:tr>
      <w:tr>
        <w:tc>
          <w:tcPr>
            <w:tcW w:type="dxa" w:w="2197"/>
            <w:vAlign w:val="center"/>
          </w:tcPr>
          <w:p>
            <w:r/>
            <w:r>
              <w:rPr>
                <w:sz w:val="19"/>
              </w:rPr>
              <w:t>n_steps</w:t>
            </w:r>
          </w:p>
        </w:tc>
        <w:tc>
          <w:tcPr>
            <w:tcW w:type="dxa" w:w="2197"/>
            <w:vAlign w:val="center"/>
          </w:tcPr>
          <w:p>
            <w:r/>
            <w:r>
              <w:rPr>
                <w:sz w:val="19"/>
              </w:rPr>
              <w:t>4.096</w:t>
            </w:r>
          </w:p>
        </w:tc>
        <w:tc>
          <w:tcPr>
            <w:tcW w:type="dxa" w:w="2197"/>
            <w:vAlign w:val="center"/>
          </w:tcPr>
          <w:p>
            <w:r/>
            <w:r>
              <w:rPr>
                <w:sz w:val="19"/>
              </w:rPr>
              <w:t>2.048</w:t>
            </w:r>
          </w:p>
        </w:tc>
        <w:tc>
          <w:tcPr>
            <w:tcW w:type="dxa" w:w="2197"/>
            <w:vAlign w:val="center"/>
          </w:tcPr>
          <w:p>
            <w:r/>
            <w:r>
              <w:rPr>
                <w:sz w:val="19"/>
              </w:rPr>
              <w:t>Macro: mín(n_steps, 2.048) — override en train_subagents.py</w:t>
            </w:r>
          </w:p>
        </w:tc>
      </w:tr>
      <w:tr>
        <w:tc>
          <w:tcPr>
            <w:tcW w:type="dxa" w:w="2197"/>
            <w:vAlign w:val="center"/>
          </w:tcPr>
          <w:p>
            <w:r/>
            <w:r>
              <w:rPr>
                <w:sz w:val="19"/>
              </w:rPr>
              <w:t>batch_size</w:t>
            </w:r>
          </w:p>
        </w:tc>
        <w:tc>
          <w:tcPr>
            <w:tcW w:type="dxa" w:w="2197"/>
            <w:vAlign w:val="center"/>
          </w:tcPr>
          <w:p>
            <w:r/>
            <w:r>
              <w:rPr>
                <w:sz w:val="19"/>
              </w:rPr>
              <w:t>128</w:t>
            </w:r>
          </w:p>
        </w:tc>
        <w:tc>
          <w:tcPr>
            <w:tcW w:type="dxa" w:w="2197"/>
            <w:vAlign w:val="center"/>
          </w:tcPr>
          <w:p>
            <w:r/>
            <w:r>
              <w:rPr>
                <w:sz w:val="19"/>
              </w:rPr>
              <w:t>128</w:t>
            </w:r>
          </w:p>
        </w:tc>
        <w:tc>
          <w:tcPr>
            <w:tcW w:type="dxa" w:w="2197"/>
            <w:vAlign w:val="center"/>
          </w:tcPr>
          <w:p>
            <w:r/>
            <w:r>
              <w:rPr>
                <w:sz w:val="19"/>
              </w:rPr>
              <w:t>Mismo tamaño para ambos agentes</w:t>
            </w:r>
          </w:p>
        </w:tc>
      </w:tr>
      <w:tr>
        <w:tc>
          <w:tcPr>
            <w:tcW w:type="dxa" w:w="2197"/>
            <w:vAlign w:val="center"/>
          </w:tcPr>
          <w:p>
            <w:r/>
            <w:r>
              <w:rPr>
                <w:sz w:val="19"/>
              </w:rPr>
              <w:t>n_epochs</w:t>
            </w:r>
          </w:p>
        </w:tc>
        <w:tc>
          <w:tcPr>
            <w:tcW w:type="dxa" w:w="2197"/>
            <w:vAlign w:val="center"/>
          </w:tcPr>
          <w:p>
            <w:r/>
            <w:r>
              <w:rPr>
                <w:sz w:val="19"/>
              </w:rPr>
              <w:t>5</w:t>
            </w:r>
          </w:p>
        </w:tc>
        <w:tc>
          <w:tcPr>
            <w:tcW w:type="dxa" w:w="2197"/>
            <w:vAlign w:val="center"/>
          </w:tcPr>
          <w:p>
            <w:r/>
            <w:r>
              <w:rPr>
                <w:sz w:val="19"/>
              </w:rPr>
              <w:t>3</w:t>
            </w:r>
          </w:p>
        </w:tc>
        <w:tc>
          <w:tcPr>
            <w:tcW w:type="dxa" w:w="2197"/>
            <w:vAlign w:val="center"/>
          </w:tcPr>
          <w:p>
            <w:r/>
            <w:r>
              <w:rPr>
                <w:sz w:val="19"/>
              </w:rPr>
              <w:t>Macro: mín(n_epochs, 3) — override</w:t>
            </w:r>
          </w:p>
        </w:tc>
      </w:tr>
      <w:tr>
        <w:tc>
          <w:tcPr>
            <w:tcW w:type="dxa" w:w="2197"/>
            <w:vAlign w:val="center"/>
          </w:tcPr>
          <w:p>
            <w:r/>
            <w:r>
              <w:rPr>
                <w:sz w:val="19"/>
              </w:rPr>
              <w:t>gamma</w:t>
            </w:r>
          </w:p>
        </w:tc>
        <w:tc>
          <w:tcPr>
            <w:tcW w:type="dxa" w:w="2197"/>
            <w:vAlign w:val="center"/>
          </w:tcPr>
          <w:p>
            <w:r/>
            <w:r>
              <w:rPr>
                <w:sz w:val="19"/>
              </w:rPr>
              <w:t>0,995</w:t>
            </w:r>
          </w:p>
        </w:tc>
        <w:tc>
          <w:tcPr>
            <w:tcW w:type="dxa" w:w="2197"/>
            <w:vAlign w:val="center"/>
          </w:tcPr>
          <w:p>
            <w:r/>
            <w:r>
              <w:rPr>
                <w:sz w:val="19"/>
              </w:rPr>
              <w:t>0,995</w:t>
            </w:r>
          </w:p>
        </w:tc>
        <w:tc>
          <w:tcPr>
            <w:tcW w:type="dxa" w:w="2197"/>
            <w:vAlign w:val="center"/>
          </w:tcPr>
          <w:p>
            <w:r/>
            <w:r>
              <w:rPr>
                <w:sz w:val="19"/>
              </w:rPr>
              <w:t>Factor de descuento temporal</w:t>
            </w:r>
          </w:p>
        </w:tc>
      </w:tr>
      <w:tr>
        <w:tc>
          <w:tcPr>
            <w:tcW w:type="dxa" w:w="2197"/>
            <w:vAlign w:val="center"/>
          </w:tcPr>
          <w:p>
            <w:r/>
            <w:r>
              <w:rPr>
                <w:sz w:val="19"/>
              </w:rPr>
              <w:t>gae_lambda</w:t>
            </w:r>
          </w:p>
        </w:tc>
        <w:tc>
          <w:tcPr>
            <w:tcW w:type="dxa" w:w="2197"/>
            <w:vAlign w:val="center"/>
          </w:tcPr>
          <w:p>
            <w:r/>
            <w:r>
              <w:rPr>
                <w:sz w:val="19"/>
              </w:rPr>
              <w:t>0,95</w:t>
            </w:r>
          </w:p>
        </w:tc>
        <w:tc>
          <w:tcPr>
            <w:tcW w:type="dxa" w:w="2197"/>
            <w:vAlign w:val="center"/>
          </w:tcPr>
          <w:p>
            <w:r/>
            <w:r>
              <w:rPr>
                <w:sz w:val="19"/>
              </w:rPr>
              <w:t>0,95</w:t>
            </w:r>
          </w:p>
        </w:tc>
        <w:tc>
          <w:tcPr>
            <w:tcW w:type="dxa" w:w="2197"/>
            <w:vAlign w:val="center"/>
          </w:tcPr>
          <w:p>
            <w:r/>
            <w:r>
              <w:rPr>
                <w:sz w:val="19"/>
              </w:rPr>
              <w:t>Suavizado GAE</w:t>
            </w:r>
          </w:p>
        </w:tc>
      </w:tr>
      <w:tr>
        <w:tc>
          <w:tcPr>
            <w:tcW w:type="dxa" w:w="2197"/>
            <w:vAlign w:val="center"/>
          </w:tcPr>
          <w:p>
            <w:r/>
            <w:r>
              <w:rPr>
                <w:sz w:val="19"/>
              </w:rPr>
              <w:t>clip_range</w:t>
            </w:r>
          </w:p>
        </w:tc>
        <w:tc>
          <w:tcPr>
            <w:tcW w:type="dxa" w:w="2197"/>
            <w:vAlign w:val="center"/>
          </w:tcPr>
          <w:p>
            <w:r/>
            <w:r>
              <w:rPr>
                <w:sz w:val="19"/>
              </w:rPr>
              <w:t>0,20</w:t>
            </w:r>
          </w:p>
        </w:tc>
        <w:tc>
          <w:tcPr>
            <w:tcW w:type="dxa" w:w="2197"/>
            <w:vAlign w:val="center"/>
          </w:tcPr>
          <w:p>
            <w:r/>
            <w:r>
              <w:rPr>
                <w:sz w:val="19"/>
              </w:rPr>
              <w:t>0,20</w:t>
            </w:r>
          </w:p>
        </w:tc>
        <w:tc>
          <w:tcPr>
            <w:tcW w:type="dxa" w:w="2197"/>
            <w:vAlign w:val="center"/>
          </w:tcPr>
          <w:p>
            <w:r/>
            <w:r>
              <w:rPr>
                <w:sz w:val="19"/>
              </w:rPr>
              <w:t>Parámetro ε de clipping</w:t>
            </w:r>
          </w:p>
        </w:tc>
      </w:tr>
      <w:tr>
        <w:tc>
          <w:tcPr>
            <w:tcW w:type="dxa" w:w="2197"/>
            <w:vAlign w:val="center"/>
          </w:tcPr>
          <w:p>
            <w:r/>
            <w:r>
              <w:rPr>
                <w:sz w:val="19"/>
              </w:rPr>
              <w:t>learning_rate</w:t>
            </w:r>
          </w:p>
        </w:tc>
        <w:tc>
          <w:tcPr>
            <w:tcW w:type="dxa" w:w="2197"/>
            <w:vAlign w:val="center"/>
          </w:tcPr>
          <w:p>
            <w:r/>
            <w:r>
              <w:rPr>
                <w:sz w:val="19"/>
              </w:rPr>
              <w:t>1·10⁻⁴</w:t>
            </w:r>
          </w:p>
        </w:tc>
        <w:tc>
          <w:tcPr>
            <w:tcW w:type="dxa" w:w="2197"/>
            <w:vAlign w:val="center"/>
          </w:tcPr>
          <w:p>
            <w:r/>
            <w:r>
              <w:rPr>
                <w:sz w:val="19"/>
              </w:rPr>
              <w:t>5·10⁻⁵</w:t>
            </w:r>
          </w:p>
        </w:tc>
        <w:tc>
          <w:tcPr>
            <w:tcW w:type="dxa" w:w="2197"/>
            <w:vAlign w:val="center"/>
          </w:tcPr>
          <w:p>
            <w:r/>
            <w:r>
              <w:rPr>
                <w:sz w:val="19"/>
              </w:rPr>
              <w:t>Macro = micro × 0,5 — override</w:t>
            </w:r>
          </w:p>
        </w:tc>
      </w:tr>
      <w:tr>
        <w:tc>
          <w:tcPr>
            <w:tcW w:type="dxa" w:w="2197"/>
            <w:vAlign w:val="center"/>
          </w:tcPr>
          <w:p>
            <w:r/>
            <w:r>
              <w:rPr>
                <w:sz w:val="19"/>
              </w:rPr>
              <w:t>ent_coef</w:t>
            </w:r>
          </w:p>
        </w:tc>
        <w:tc>
          <w:tcPr>
            <w:tcW w:type="dxa" w:w="2197"/>
            <w:vAlign w:val="center"/>
          </w:tcPr>
          <w:p>
            <w:r/>
            <w:r>
              <w:rPr>
                <w:sz w:val="19"/>
              </w:rPr>
              <w:t>0,02</w:t>
            </w:r>
          </w:p>
        </w:tc>
        <w:tc>
          <w:tcPr>
            <w:tcW w:type="dxa" w:w="2197"/>
            <w:vAlign w:val="center"/>
          </w:tcPr>
          <w:p>
            <w:r/>
            <w:r>
              <w:rPr>
                <w:sz w:val="19"/>
              </w:rPr>
              <w:t>0,10 / 0,20</w:t>
            </w:r>
          </w:p>
        </w:tc>
        <w:tc>
          <w:tcPr>
            <w:tcW w:type="dxa" w:w="2197"/>
            <w:vAlign w:val="center"/>
          </w:tcPr>
          <w:p>
            <w:r/>
            <w:r>
              <w:rPr>
                <w:sz w:val="19"/>
              </w:rPr>
              <w:t>Macro: máx(ent_coef·5, 0,10); elevado a 0,20 en posturas prudente y balanceado</w:t>
            </w:r>
          </w:p>
        </w:tc>
      </w:tr>
      <w:tr>
        <w:tc>
          <w:tcPr>
            <w:tcW w:type="dxa" w:w="2197"/>
            <w:vAlign w:val="center"/>
          </w:tcPr>
          <w:p>
            <w:r/>
            <w:r>
              <w:rPr>
                <w:sz w:val="19"/>
              </w:rPr>
              <w:t>vf_coef</w:t>
            </w:r>
          </w:p>
        </w:tc>
        <w:tc>
          <w:tcPr>
            <w:tcW w:type="dxa" w:w="2197"/>
            <w:vAlign w:val="center"/>
          </w:tcPr>
          <w:p>
            <w:r/>
            <w:r>
              <w:rPr>
                <w:sz w:val="19"/>
              </w:rPr>
              <w:t>0,5</w:t>
            </w:r>
          </w:p>
        </w:tc>
        <w:tc>
          <w:tcPr>
            <w:tcW w:type="dxa" w:w="2197"/>
            <w:vAlign w:val="center"/>
          </w:tcPr>
          <w:p>
            <w:r/>
            <w:r>
              <w:rPr>
                <w:sz w:val="19"/>
              </w:rPr>
              <w:t>0,5</w:t>
            </w:r>
          </w:p>
        </w:tc>
        <w:tc>
          <w:tcPr>
            <w:tcW w:type="dxa" w:w="2197"/>
            <w:vAlign w:val="center"/>
          </w:tcPr>
          <w:p>
            <w:r/>
            <w:r>
              <w:rPr>
                <w:sz w:val="19"/>
              </w:rPr>
              <w:t>Peso de la value loss</w:t>
            </w:r>
          </w:p>
        </w:tc>
      </w:tr>
      <w:tr>
        <w:tc>
          <w:tcPr>
            <w:tcW w:type="dxa" w:w="2197"/>
            <w:vAlign w:val="center"/>
          </w:tcPr>
          <w:p>
            <w:r/>
            <w:r>
              <w:rPr>
                <w:sz w:val="19"/>
              </w:rPr>
              <w:t>max_grad_norm</w:t>
            </w:r>
          </w:p>
        </w:tc>
        <w:tc>
          <w:tcPr>
            <w:tcW w:type="dxa" w:w="2197"/>
            <w:vAlign w:val="center"/>
          </w:tcPr>
          <w:p>
            <w:r/>
            <w:r>
              <w:rPr>
                <w:sz w:val="19"/>
              </w:rPr>
              <w:t>0,5</w:t>
            </w:r>
          </w:p>
        </w:tc>
        <w:tc>
          <w:tcPr>
            <w:tcW w:type="dxa" w:w="2197"/>
            <w:vAlign w:val="center"/>
          </w:tcPr>
          <w:p>
            <w:r/>
            <w:r>
              <w:rPr>
                <w:sz w:val="19"/>
              </w:rPr>
              <w:t>0,5</w:t>
            </w:r>
          </w:p>
        </w:tc>
        <w:tc>
          <w:tcPr>
            <w:tcW w:type="dxa" w:w="2197"/>
            <w:vAlign w:val="center"/>
          </w:tcPr>
          <w:p>
            <w:r/>
            <w:r>
              <w:rPr>
                <w:sz w:val="19"/>
              </w:rPr>
              <w:t>Gradient clipping</w:t>
            </w:r>
          </w:p>
        </w:tc>
      </w:tr>
      <w:tr>
        <w:tc>
          <w:tcPr>
            <w:tcW w:type="dxa" w:w="2197"/>
            <w:vAlign w:val="center"/>
          </w:tcPr>
          <w:p>
            <w:r/>
            <w:r>
              <w:rPr>
                <w:sz w:val="19"/>
              </w:rPr>
              <w:t>total_timesteps</w:t>
            </w:r>
          </w:p>
        </w:tc>
        <w:tc>
          <w:tcPr>
            <w:tcW w:type="dxa" w:w="2197"/>
            <w:vAlign w:val="center"/>
          </w:tcPr>
          <w:p>
            <w:r/>
            <w:r>
              <w:rPr>
                <w:sz w:val="19"/>
              </w:rPr>
              <w:t>500.000</w:t>
            </w:r>
          </w:p>
        </w:tc>
        <w:tc>
          <w:tcPr>
            <w:tcW w:type="dxa" w:w="2197"/>
            <w:vAlign w:val="center"/>
          </w:tcPr>
          <w:p>
            <w:r/>
            <w:r>
              <w:rPr>
                <w:sz w:val="19"/>
              </w:rPr>
              <w:t>500.000</w:t>
            </w:r>
          </w:p>
        </w:tc>
        <w:tc>
          <w:tcPr>
            <w:tcW w:type="dxa" w:w="2197"/>
            <w:vAlign w:val="center"/>
          </w:tcPr>
          <w:p>
            <w:r/>
            <w:r>
              <w:rPr>
                <w:sz w:val="19"/>
              </w:rPr>
              <w:t>Por defecto en config.py; ajustable por CLI</w:t>
            </w:r>
          </w:p>
        </w:tc>
      </w:tr>
      <w:tr>
        <w:tc>
          <w:tcPr>
            <w:tcW w:type="dxa" w:w="2197"/>
            <w:vAlign w:val="center"/>
          </w:tcPr>
          <w:p>
            <w:r/>
            <w:r>
              <w:rPr>
                <w:sz w:val="19"/>
              </w:rPr>
              <w:t>seed</w:t>
            </w:r>
          </w:p>
        </w:tc>
        <w:tc>
          <w:tcPr>
            <w:tcW w:type="dxa" w:w="2197"/>
            <w:vAlign w:val="center"/>
          </w:tcPr>
          <w:p>
            <w:r/>
            <w:r>
              <w:rPr>
                <w:sz w:val="19"/>
              </w:rPr>
              <w:t>42</w:t>
            </w:r>
          </w:p>
        </w:tc>
        <w:tc>
          <w:tcPr>
            <w:tcW w:type="dxa" w:w="2197"/>
            <w:vAlign w:val="center"/>
          </w:tcPr>
          <w:p>
            <w:r/>
            <w:r>
              <w:rPr>
                <w:sz w:val="19"/>
              </w:rPr>
              <w:t>42</w:t>
            </w:r>
          </w:p>
        </w:tc>
        <w:tc>
          <w:tcPr>
            <w:tcW w:type="dxa" w:w="2197"/>
            <w:vAlign w:val="center"/>
          </w:tcPr>
          <w:p>
            <w:r/>
            <w:r>
              <w:rPr>
                <w:sz w:val="19"/>
              </w:rPr>
              <w:t>Semilla PPO</w:t>
            </w:r>
          </w:p>
        </w:tc>
      </w:tr>
    </w:tbl>
    <w:p>
      <w:pPr>
        <w:jc w:val="center"/>
      </w:pPr>
      <w:r>
        <w:rPr>
          <w:sz w:val="20"/>
        </w:rPr>
        <w:t>Tabla B.4. Hiperparámetros de Stable-Baselines3 PPO. Los valores micro se leen directamente de PPOParams en config.py; los valores macro reflejan los overrides aplicados en agent/train_subagents.py.</w:t>
      </w:r>
    </w:p>
    <w:p>
      <w:pPr>
        <w:pStyle w:val="Heading3"/>
      </w:pPr>
      <w:r>
        <w:t>Tabla B.5 — Pesos de recompensa (RewardParams)</w:t>
      </w:r>
    </w:p>
    <w:tbl>
      <w:tblPr>
        <w:tblStyle w:val="LightGrid-Accent1"/>
        <w:tblW w:type="auto" w:w="0"/>
        <w:tblLook w:firstColumn="1" w:firstRow="1" w:lastColumn="0" w:lastRow="0" w:noHBand="0" w:noVBand="1" w:val="04A0"/>
      </w:tblPr>
      <w:tblGrid>
        <w:gridCol w:w="2929"/>
        <w:gridCol w:w="2929"/>
        <w:gridCol w:w="2929"/>
      </w:tblGrid>
      <w:tr>
        <w:tc>
          <w:tcPr>
            <w:tcW w:type="dxa" w:w="2929"/>
            <w:vAlign w:val="center"/>
          </w:tcPr>
          <w:p>
            <w:r/>
            <w:r>
              <w:rPr>
                <w:b/>
                <w:sz w:val="20"/>
              </w:rPr>
              <w:t>Componente</w:t>
            </w:r>
          </w:p>
        </w:tc>
        <w:tc>
          <w:tcPr>
            <w:tcW w:type="dxa" w:w="2929"/>
            <w:vAlign w:val="center"/>
          </w:tcPr>
          <w:p>
            <w:r/>
            <w:r>
              <w:rPr>
                <w:b/>
                <w:sz w:val="20"/>
              </w:rPr>
              <w:t>Atributo</w:t>
            </w:r>
          </w:p>
        </w:tc>
        <w:tc>
          <w:tcPr>
            <w:tcW w:type="dxa" w:w="2929"/>
            <w:vAlign w:val="center"/>
          </w:tcPr>
          <w:p>
            <w:r/>
            <w:r>
              <w:rPr>
                <w:b/>
                <w:sz w:val="20"/>
              </w:rPr>
              <w:t>Función</w:t>
            </w:r>
          </w:p>
        </w:tc>
      </w:tr>
      <w:tr>
        <w:tc>
          <w:tcPr>
            <w:tcW w:type="dxa" w:w="2929"/>
            <w:vAlign w:val="center"/>
          </w:tcPr>
          <w:p>
            <w:r/>
            <w:r>
              <w:rPr>
                <w:sz w:val="19"/>
              </w:rPr>
              <w:t>EVA gain</w:t>
            </w:r>
          </w:p>
        </w:tc>
        <w:tc>
          <w:tcPr>
            <w:tcW w:type="dxa" w:w="2929"/>
            <w:vAlign w:val="center"/>
          </w:tcPr>
          <w:p>
            <w:r/>
            <w:r>
              <w:rPr>
                <w:sz w:val="19"/>
              </w:rPr>
              <w:t>w_eva</w:t>
            </w:r>
          </w:p>
        </w:tc>
        <w:tc>
          <w:tcPr>
            <w:tcW w:type="dxa" w:w="2929"/>
            <w:vAlign w:val="center"/>
          </w:tcPr>
          <w:p>
            <w:r/>
            <w:r>
              <w:rPr>
                <w:sz w:val="19"/>
              </w:rPr>
              <w:t>Premia mejoras de valor económico añadido por préstamo</w:t>
            </w:r>
          </w:p>
        </w:tc>
      </w:tr>
      <w:tr>
        <w:tc>
          <w:tcPr>
            <w:tcW w:type="dxa" w:w="2929"/>
            <w:vAlign w:val="center"/>
          </w:tcPr>
          <w:p>
            <w:r/>
            <w:r>
              <w:rPr>
                <w:sz w:val="19"/>
              </w:rPr>
              <w:t>Liberación de capital</w:t>
            </w:r>
          </w:p>
        </w:tc>
        <w:tc>
          <w:tcPr>
            <w:tcW w:type="dxa" w:w="2929"/>
            <w:vAlign w:val="center"/>
          </w:tcPr>
          <w:p>
            <w:r/>
            <w:r>
              <w:rPr>
                <w:sz w:val="19"/>
              </w:rPr>
              <w:t>w_capital</w:t>
            </w:r>
          </w:p>
        </w:tc>
        <w:tc>
          <w:tcPr>
            <w:tcW w:type="dxa" w:w="2929"/>
            <w:vAlign w:val="center"/>
          </w:tcPr>
          <w:p>
            <w:r/>
            <w:r>
              <w:rPr>
                <w:sz w:val="19"/>
              </w:rPr>
              <w:t>Premia la reducción de RWA · r_total</w:t>
            </w:r>
          </w:p>
        </w:tc>
      </w:tr>
      <w:tr>
        <w:tc>
          <w:tcPr>
            <w:tcW w:type="dxa" w:w="2929"/>
            <w:vAlign w:val="center"/>
          </w:tcPr>
          <w:p>
            <w:r/>
            <w:r>
              <w:rPr>
                <w:sz w:val="19"/>
              </w:rPr>
              <w:t>Estabilidad de riesgo</w:t>
            </w:r>
          </w:p>
        </w:tc>
        <w:tc>
          <w:tcPr>
            <w:tcW w:type="dxa" w:w="2929"/>
            <w:vAlign w:val="center"/>
          </w:tcPr>
          <w:p>
            <w:r/>
            <w:r>
              <w:rPr>
                <w:sz w:val="19"/>
              </w:rPr>
              <w:t>w_stab</w:t>
            </w:r>
          </w:p>
        </w:tc>
        <w:tc>
          <w:tcPr>
            <w:tcW w:type="dxa" w:w="2929"/>
            <w:vAlign w:val="center"/>
          </w:tcPr>
          <w:p>
            <w:r/>
            <w:r>
              <w:rPr>
                <w:sz w:val="19"/>
              </w:rPr>
              <w:t>Penaliza la pérdida esperada lifetime como proxy de riesgo</w:t>
            </w:r>
          </w:p>
        </w:tc>
      </w:tr>
      <w:tr>
        <w:tc>
          <w:tcPr>
            <w:tcW w:type="dxa" w:w="2929"/>
            <w:vAlign w:val="center"/>
          </w:tcPr>
          <w:p>
            <w:r/>
            <w:r>
              <w:rPr>
                <w:sz w:val="19"/>
              </w:rPr>
              <w:t>P&amp;L de venta</w:t>
            </w:r>
          </w:p>
        </w:tc>
        <w:tc>
          <w:tcPr>
            <w:tcW w:type="dxa" w:w="2929"/>
            <w:vAlign w:val="center"/>
          </w:tcPr>
          <w:p>
            <w:r/>
            <w:r>
              <w:rPr>
                <w:sz w:val="19"/>
              </w:rPr>
              <w:t>w_pnl</w:t>
            </w:r>
          </w:p>
        </w:tc>
        <w:tc>
          <w:tcPr>
            <w:tcW w:type="dxa" w:w="2929"/>
            <w:vAlign w:val="center"/>
          </w:tcPr>
          <w:p>
            <w:r/>
            <w:r>
              <w:rPr>
                <w:sz w:val="19"/>
              </w:rPr>
              <w:t>Modula el resultado contable de la venta</w:t>
            </w:r>
          </w:p>
        </w:tc>
      </w:tr>
      <w:tr>
        <w:tc>
          <w:tcPr>
            <w:tcW w:type="dxa" w:w="2929"/>
            <w:vAlign w:val="center"/>
          </w:tcPr>
          <w:p>
            <w:r/>
            <w:r>
              <w:rPr>
                <w:sz w:val="19"/>
              </w:rPr>
              <w:t>Volatilidad / diversificación / concentración</w:t>
            </w:r>
          </w:p>
        </w:tc>
        <w:tc>
          <w:tcPr>
            <w:tcW w:type="dxa" w:w="2929"/>
            <w:vAlign w:val="center"/>
          </w:tcPr>
          <w:p>
            <w:r/>
            <w:r>
              <w:rPr>
                <w:sz w:val="19"/>
              </w:rPr>
              <w:t>w_vol, w_diversif, w_concentration</w:t>
            </w:r>
          </w:p>
        </w:tc>
        <w:tc>
          <w:tcPr>
            <w:tcW w:type="dxa" w:w="2929"/>
            <w:vAlign w:val="center"/>
          </w:tcPr>
          <w:p>
            <w:r/>
            <w:r>
              <w:rPr>
                <w:sz w:val="19"/>
              </w:rPr>
              <w:t>Aplicables en el entorno macro (portfolio_env.py)</w:t>
            </w:r>
          </w:p>
        </w:tc>
      </w:tr>
      <w:tr>
        <w:tc>
          <w:tcPr>
            <w:tcW w:type="dxa" w:w="2929"/>
            <w:vAlign w:val="center"/>
          </w:tcPr>
          <w:p>
            <w:r/>
            <w:r>
              <w:rPr>
                <w:sz w:val="19"/>
              </w:rPr>
              <w:t>Coste de capital diferido</w:t>
            </w:r>
          </w:p>
        </w:tc>
        <w:tc>
          <w:tcPr>
            <w:tcW w:type="dxa" w:w="2929"/>
            <w:vAlign w:val="center"/>
          </w:tcPr>
          <w:p>
            <w:r/>
            <w:r>
              <w:rPr>
                <w:sz w:val="19"/>
              </w:rPr>
              <w:t>w_cap_carry</w:t>
            </w:r>
          </w:p>
        </w:tc>
        <w:tc>
          <w:tcPr>
            <w:tcW w:type="dxa" w:w="2929"/>
            <w:vAlign w:val="center"/>
          </w:tcPr>
          <w:p>
            <w:r/>
            <w:r>
              <w:rPr>
                <w:sz w:val="19"/>
              </w:rPr>
              <w:t>Modela el coste de mantener capital atado</w:t>
            </w:r>
          </w:p>
        </w:tc>
      </w:tr>
      <w:tr>
        <w:tc>
          <w:tcPr>
            <w:tcW w:type="dxa" w:w="2929"/>
            <w:vAlign w:val="center"/>
          </w:tcPr>
          <w:p>
            <w:r/>
            <w:r>
              <w:rPr>
                <w:sz w:val="19"/>
              </w:rPr>
              <w:t>Penalización fire-sale</w:t>
            </w:r>
          </w:p>
        </w:tc>
        <w:tc>
          <w:tcPr>
            <w:tcW w:type="dxa" w:w="2929"/>
            <w:vAlign w:val="center"/>
          </w:tcPr>
          <w:p>
            <w:r/>
            <w:r>
              <w:rPr>
                <w:sz w:val="19"/>
              </w:rPr>
              <w:t>penalty_fire_sale</w:t>
            </w:r>
          </w:p>
        </w:tc>
        <w:tc>
          <w:tcPr>
            <w:tcW w:type="dxa" w:w="2929"/>
            <w:vAlign w:val="center"/>
          </w:tcPr>
          <w:p>
            <w:r/>
            <w:r>
              <w:rPr>
                <w:sz w:val="19"/>
              </w:rPr>
              <w:t>Penaliza las ventas que disparan el flag de fire-sale</w:t>
            </w:r>
          </w:p>
        </w:tc>
      </w:tr>
      <w:tr>
        <w:tc>
          <w:tcPr>
            <w:tcW w:type="dxa" w:w="2929"/>
            <w:vAlign w:val="center"/>
          </w:tcPr>
          <w:p>
            <w:r/>
            <w:r>
              <w:rPr>
                <w:sz w:val="19"/>
              </w:rPr>
              <w:t>Penalización mode collapse</w:t>
            </w:r>
          </w:p>
        </w:tc>
        <w:tc>
          <w:tcPr>
            <w:tcW w:type="dxa" w:w="2929"/>
            <w:vAlign w:val="center"/>
          </w:tcPr>
          <w:p>
            <w:r/>
            <w:r>
              <w:rPr>
                <w:sz w:val="19"/>
              </w:rPr>
              <w:t>penalty_mode_collapse</w:t>
            </w:r>
          </w:p>
        </w:tc>
        <w:tc>
          <w:tcPr>
            <w:tcW w:type="dxa" w:w="2929"/>
            <w:vAlign w:val="center"/>
          </w:tcPr>
          <w:p>
            <w:r/>
            <w:r>
              <w:rPr>
                <w:sz w:val="19"/>
              </w:rPr>
              <w:t>Penaliza políticas con ratio dominante &gt; 0,80</w:t>
            </w:r>
          </w:p>
        </w:tc>
      </w:tr>
      <w:tr>
        <w:tc>
          <w:tcPr>
            <w:tcW w:type="dxa" w:w="2929"/>
            <w:vAlign w:val="center"/>
          </w:tcPr>
          <w:p>
            <w:r/>
            <w:r>
              <w:rPr>
                <w:sz w:val="19"/>
              </w:rPr>
              <w:t>Bonos condicionales por acción</w:t>
            </w:r>
          </w:p>
        </w:tc>
        <w:tc>
          <w:tcPr>
            <w:tcW w:type="dxa" w:w="2929"/>
            <w:vAlign w:val="center"/>
          </w:tcPr>
          <w:p>
            <w:r/>
            <w:r>
              <w:rPr>
                <w:sz w:val="19"/>
              </w:rPr>
              <w:t>maintain_bonus_eva_pos, restruct_bonus_eva_gain, sell_bonus_eva_neg, sell_risk_bonus</w:t>
            </w:r>
          </w:p>
        </w:tc>
        <w:tc>
          <w:tcPr>
            <w:tcW w:type="dxa" w:w="2929"/>
            <w:vAlign w:val="center"/>
          </w:tcPr>
          <w:p>
            <w:r/>
            <w:r>
              <w:rPr>
                <w:sz w:val="19"/>
              </w:rPr>
              <w:t>Refuerzan acciones coherentes con la métrica financiera del préstamo</w:t>
            </w:r>
          </w:p>
        </w:tc>
      </w:tr>
      <w:tr>
        <w:tc>
          <w:tcPr>
            <w:tcW w:type="dxa" w:w="2929"/>
            <w:vAlign w:val="center"/>
          </w:tcPr>
          <w:p>
            <w:r/>
            <w:r>
              <w:rPr>
                <w:sz w:val="19"/>
              </w:rPr>
              <w:t>Costes de transacción</w:t>
            </w:r>
          </w:p>
        </w:tc>
        <w:tc>
          <w:tcPr>
            <w:tcW w:type="dxa" w:w="2929"/>
            <w:vAlign w:val="center"/>
          </w:tcPr>
          <w:p>
            <w:r/>
            <w:r>
              <w:rPr>
                <w:sz w:val="19"/>
              </w:rPr>
              <w:t>sell_tx_cost_bps, restructure_admin_cost_abs, restructure_cost_quita_bps</w:t>
            </w:r>
          </w:p>
        </w:tc>
        <w:tc>
          <w:tcPr>
            <w:tcW w:type="dxa" w:w="2929"/>
            <w:vAlign w:val="center"/>
          </w:tcPr>
          <w:p>
            <w:r/>
            <w:r>
              <w:rPr>
                <w:sz w:val="19"/>
              </w:rPr>
              <w:t>Detraen costes administrativos y de quita</w:t>
            </w:r>
          </w:p>
        </w:tc>
      </w:tr>
      <w:tr>
        <w:tc>
          <w:tcPr>
            <w:tcW w:type="dxa" w:w="2929"/>
            <w:vAlign w:val="center"/>
          </w:tcPr>
          <w:p>
            <w:r/>
            <w:r>
              <w:rPr>
                <w:sz w:val="19"/>
              </w:rPr>
              <w:t>Clipping de recompensa</w:t>
            </w:r>
          </w:p>
        </w:tc>
        <w:tc>
          <w:tcPr>
            <w:tcW w:type="dxa" w:w="2929"/>
            <w:vAlign w:val="center"/>
          </w:tcPr>
          <w:p>
            <w:r/>
            <w:r>
              <w:rPr>
                <w:sz w:val="19"/>
              </w:rPr>
              <w:t>clip = (−10, +10)</w:t>
            </w:r>
          </w:p>
        </w:tc>
        <w:tc>
          <w:tcPr>
            <w:tcW w:type="dxa" w:w="2929"/>
            <w:vAlign w:val="center"/>
          </w:tcPr>
          <w:p>
            <w:r/>
            <w:r>
              <w:rPr>
                <w:sz w:val="19"/>
              </w:rPr>
              <w:t>Recorta la recompensa final por estabilidad numérica</w:t>
            </w:r>
          </w:p>
        </w:tc>
      </w:tr>
    </w:tbl>
    <w:p>
      <w:pPr>
        <w:jc w:val="center"/>
      </w:pPr>
      <w:r>
        <w:rPr>
          <w:sz w:val="20"/>
        </w:rPr>
        <w:t>Tabla B.5. Componentes de la función de recompensa implementados en RewardParams. La calibración exacta por postura se conserva en config.py y puede consultarse en el repositorio.</w:t>
      </w:r>
    </w:p>
    <w:p>
      <w:pPr>
        <w:pStyle w:val="Heading2"/>
      </w:pPr>
      <w:r>
        <w:t>Anexo C — Estructura funcional del proyecto</w:t>
      </w:r>
    </w:p>
    <w:p>
      <w:pPr/>
      <w:r>
        <w:t>La Tabla C.1 resume la estructura de módulos del repositorio con su descripción funcional. La organización separa la parametrización, la generación e ingesta de cartera, los entornos de aprendizaje, los agentes, los optimizadores, la capa de gobernanza, los motores de estrés y sensibilidad, las baselines, los informes y el banco de pruebas. Esta modularidad permite que cada bloque pueda ejecutarse de forma independiente desde main.py mediante los subcomandos generate, train, infer y summary.</w:t>
      </w:r>
    </w:p>
    <w:tbl>
      <w:tblPr>
        <w:tblStyle w:val="LightGrid-Accent1"/>
        <w:tblW w:type="auto" w:w="0"/>
        <w:tblLook w:firstColumn="1" w:firstRow="1" w:lastColumn="0" w:lastRow="0" w:noHBand="0" w:noVBand="1" w:val="04A0"/>
      </w:tblPr>
      <w:tblGrid>
        <w:gridCol w:w="2929"/>
        <w:gridCol w:w="2929"/>
        <w:gridCol w:w="2929"/>
      </w:tblGrid>
      <w:tr>
        <w:tc>
          <w:tcPr>
            <w:tcW w:type="dxa" w:w="2929"/>
            <w:vAlign w:val="center"/>
          </w:tcPr>
          <w:p>
            <w:r/>
            <w:r>
              <w:rPr>
                <w:b/>
                <w:sz w:val="20"/>
              </w:rPr>
              <w:t>Ruta</w:t>
            </w:r>
          </w:p>
        </w:tc>
        <w:tc>
          <w:tcPr>
            <w:tcW w:type="dxa" w:w="2929"/>
            <w:vAlign w:val="center"/>
          </w:tcPr>
          <w:p>
            <w:r/>
            <w:r>
              <w:rPr>
                <w:b/>
                <w:sz w:val="20"/>
              </w:rPr>
              <w:t>Tipo</w:t>
            </w:r>
          </w:p>
        </w:tc>
        <w:tc>
          <w:tcPr>
            <w:tcW w:type="dxa" w:w="2929"/>
            <w:vAlign w:val="center"/>
          </w:tcPr>
          <w:p>
            <w:r/>
            <w:r>
              <w:rPr>
                <w:b/>
                <w:sz w:val="20"/>
              </w:rPr>
              <w:t>Descripción funcional</w:t>
            </w:r>
          </w:p>
        </w:tc>
      </w:tr>
      <w:tr>
        <w:tc>
          <w:tcPr>
            <w:tcW w:type="dxa" w:w="2929"/>
            <w:vAlign w:val="center"/>
          </w:tcPr>
          <w:p>
            <w:r/>
            <w:r>
              <w:rPr>
                <w:sz w:val="19"/>
              </w:rPr>
              <w:t>main.py</w:t>
            </w:r>
          </w:p>
        </w:tc>
        <w:tc>
          <w:tcPr>
            <w:tcW w:type="dxa" w:w="2929"/>
            <w:vAlign w:val="center"/>
          </w:tcPr>
          <w:p>
            <w:r/>
            <w:r>
              <w:rPr>
                <w:sz w:val="19"/>
              </w:rPr>
              <w:t>Script</w:t>
            </w:r>
          </w:p>
        </w:tc>
        <w:tc>
          <w:tcPr>
            <w:tcW w:type="dxa" w:w="2929"/>
            <w:vAlign w:val="center"/>
          </w:tcPr>
          <w:p>
            <w:r/>
            <w:r>
              <w:rPr>
                <w:sz w:val="19"/>
              </w:rPr>
              <w:t>Punto de entrada con subcomandos generate, train, infer y summary</w:t>
            </w:r>
          </w:p>
        </w:tc>
      </w:tr>
      <w:tr>
        <w:tc>
          <w:tcPr>
            <w:tcW w:type="dxa" w:w="2929"/>
            <w:vAlign w:val="center"/>
          </w:tcPr>
          <w:p>
            <w:r/>
            <w:r>
              <w:rPr>
                <w:sz w:val="19"/>
              </w:rPr>
              <w:t>config.py</w:t>
            </w:r>
          </w:p>
        </w:tc>
        <w:tc>
          <w:tcPr>
            <w:tcW w:type="dxa" w:w="2929"/>
            <w:vAlign w:val="center"/>
          </w:tcPr>
          <w:p>
            <w:r/>
            <w:r>
              <w:rPr>
                <w:sz w:val="19"/>
              </w:rPr>
              <w:t>Módulo</w:t>
            </w:r>
          </w:p>
        </w:tc>
        <w:tc>
          <w:tcPr>
            <w:tcW w:type="dxa" w:w="2929"/>
            <w:vAlign w:val="center"/>
          </w:tcPr>
          <w:p>
            <w:r/>
            <w:r>
              <w:rPr>
                <w:sz w:val="19"/>
              </w:rPr>
              <w:t>Parametrización centralizada: NPLConventions, BaselSTDMapping, Regulacion, BuffersRegulatorios, ReestructuraParams, SensibilidadReestructura, PrecioVentaParams, BankStrategy, RewardParams, PPOParams</w:t>
            </w:r>
          </w:p>
        </w:tc>
      </w:tr>
      <w:tr>
        <w:tc>
          <w:tcPr>
            <w:tcW w:type="dxa" w:w="2929"/>
            <w:vAlign w:val="center"/>
          </w:tcPr>
          <w:p>
            <w:r/>
            <w:r>
              <w:rPr>
                <w:sz w:val="19"/>
              </w:rPr>
              <w:t>data/generate_portfolio.py</w:t>
            </w:r>
          </w:p>
        </w:tc>
        <w:tc>
          <w:tcPr>
            <w:tcW w:type="dxa" w:w="2929"/>
            <w:vAlign w:val="center"/>
          </w:tcPr>
          <w:p>
            <w:r/>
            <w:r>
              <w:rPr>
                <w:sz w:val="19"/>
              </w:rPr>
              <w:t>Módulo</w:t>
            </w:r>
          </w:p>
        </w:tc>
        <w:tc>
          <w:tcPr>
            <w:tcW w:type="dxa" w:w="2929"/>
            <w:vAlign w:val="center"/>
          </w:tcPr>
          <w:p>
            <w:r/>
            <w:r>
              <w:rPr>
                <w:sz w:val="19"/>
              </w:rPr>
              <w:t>Generador sintético de cartera NPL; exporta el fichero Excel de cartera y calcula NI, RWA, EVA y RORWA por préstamo</w:t>
            </w:r>
          </w:p>
        </w:tc>
      </w:tr>
      <w:tr>
        <w:tc>
          <w:tcPr>
            <w:tcW w:type="dxa" w:w="2929"/>
            <w:vAlign w:val="center"/>
          </w:tcPr>
          <w:p>
            <w:r/>
            <w:r>
              <w:rPr>
                <w:sz w:val="19"/>
              </w:rPr>
              <w:t>data/ingest_portfolio.py</w:t>
            </w:r>
          </w:p>
        </w:tc>
        <w:tc>
          <w:tcPr>
            <w:tcW w:type="dxa" w:w="2929"/>
            <w:vAlign w:val="center"/>
          </w:tcPr>
          <w:p>
            <w:r/>
            <w:r>
              <w:rPr>
                <w:sz w:val="19"/>
              </w:rPr>
              <w:t>Módulo</w:t>
            </w:r>
          </w:p>
        </w:tc>
        <w:tc>
          <w:tcPr>
            <w:tcW w:type="dxa" w:w="2929"/>
            <w:vAlign w:val="center"/>
          </w:tcPr>
          <w:p>
            <w:r/>
            <w:r>
              <w:rPr>
                <w:sz w:val="19"/>
              </w:rPr>
              <w:t>Ingesta de cartera externa (CSV/Excel) normalizada al esquema del generador</w:t>
            </w:r>
          </w:p>
        </w:tc>
      </w:tr>
      <w:tr>
        <w:tc>
          <w:tcPr>
            <w:tcW w:type="dxa" w:w="2929"/>
            <w:vAlign w:val="center"/>
          </w:tcPr>
          <w:p>
            <w:r/>
            <w:r>
              <w:rPr>
                <w:sz w:val="19"/>
              </w:rPr>
              <w:t>data/sanity_generator_checks.py</w:t>
            </w:r>
          </w:p>
        </w:tc>
        <w:tc>
          <w:tcPr>
            <w:tcW w:type="dxa" w:w="2929"/>
            <w:vAlign w:val="center"/>
          </w:tcPr>
          <w:p>
            <w:r/>
            <w:r>
              <w:rPr>
                <w:sz w:val="19"/>
              </w:rPr>
              <w:t>Módulo</w:t>
            </w:r>
          </w:p>
        </w:tc>
        <w:tc>
          <w:tcPr>
            <w:tcW w:type="dxa" w:w="2929"/>
            <w:vAlign w:val="center"/>
          </w:tcPr>
          <w:p>
            <w:r/>
            <w:r>
              <w:rPr>
                <w:sz w:val="19"/>
              </w:rPr>
              <w:t>Diagnóstico de sanidad sobre la cartera generada (porcentajes de NI&lt;0 y EVA&lt;0, coherencia de PD·LGD frente al tipo, distribución de RW)</w:t>
            </w:r>
          </w:p>
        </w:tc>
      </w:tr>
      <w:tr>
        <w:tc>
          <w:tcPr>
            <w:tcW w:type="dxa" w:w="2929"/>
            <w:vAlign w:val="center"/>
          </w:tcPr>
          <w:p>
            <w:r/>
            <w:r>
              <w:rPr>
                <w:sz w:val="19"/>
              </w:rPr>
              <w:t>env/loan_env.py</w:t>
            </w:r>
          </w:p>
        </w:tc>
        <w:tc>
          <w:tcPr>
            <w:tcW w:type="dxa" w:w="2929"/>
            <w:vAlign w:val="center"/>
          </w:tcPr>
          <w:p>
            <w:r/>
            <w:r>
              <w:rPr>
                <w:sz w:val="19"/>
              </w:rPr>
              <w:t>Módulo</w:t>
            </w:r>
          </w:p>
        </w:tc>
        <w:tc>
          <w:tcPr>
            <w:tcW w:type="dxa" w:w="2929"/>
            <w:vAlign w:val="center"/>
          </w:tcPr>
          <w:p>
            <w:r/>
            <w:r>
              <w:rPr>
                <w:sz w:val="19"/>
              </w:rPr>
              <w:t>Entorno Gymnasium micro (LoanEnv); observación R¹⁰, acción Discrete(3)</w:t>
            </w:r>
          </w:p>
        </w:tc>
      </w:tr>
      <w:tr>
        <w:tc>
          <w:tcPr>
            <w:tcW w:type="dxa" w:w="2929"/>
            <w:vAlign w:val="center"/>
          </w:tcPr>
          <w:p>
            <w:r/>
            <w:r>
              <w:rPr>
                <w:sz w:val="19"/>
              </w:rPr>
              <w:t>env/portfolio_env.py</w:t>
            </w:r>
          </w:p>
        </w:tc>
        <w:tc>
          <w:tcPr>
            <w:tcW w:type="dxa" w:w="2929"/>
            <w:vAlign w:val="center"/>
          </w:tcPr>
          <w:p>
            <w:r/>
            <w:r>
              <w:rPr>
                <w:sz w:val="19"/>
              </w:rPr>
              <w:t>Módulo</w:t>
            </w:r>
          </w:p>
        </w:tc>
        <w:tc>
          <w:tcPr>
            <w:tcW w:type="dxa" w:w="2929"/>
            <w:vAlign w:val="center"/>
          </w:tcPr>
          <w:p>
            <w:r/>
            <w:r>
              <w:rPr>
                <w:sz w:val="19"/>
              </w:rPr>
              <w:t>Entorno Gymnasium macro (PortfolioEnv); observación R³⁰⁸, acción Discrete(12)</w:t>
            </w:r>
          </w:p>
        </w:tc>
      </w:tr>
      <w:tr>
        <w:tc>
          <w:tcPr>
            <w:tcW w:type="dxa" w:w="2929"/>
            <w:vAlign w:val="center"/>
          </w:tcPr>
          <w:p>
            <w:r/>
            <w:r>
              <w:rPr>
                <w:sz w:val="19"/>
              </w:rPr>
              <w:t>agent/train_subagents.py</w:t>
            </w:r>
          </w:p>
        </w:tc>
        <w:tc>
          <w:tcPr>
            <w:tcW w:type="dxa" w:w="2929"/>
            <w:vAlign w:val="center"/>
          </w:tcPr>
          <w:p>
            <w:r/>
            <w:r>
              <w:rPr>
                <w:sz w:val="19"/>
              </w:rPr>
              <w:t>Módulo</w:t>
            </w:r>
          </w:p>
        </w:tc>
        <w:tc>
          <w:tcPr>
            <w:tcW w:type="dxa" w:w="2929"/>
            <w:vAlign w:val="center"/>
          </w:tcPr>
          <w:p>
            <w:r/>
            <w:r>
              <w:rPr>
                <w:sz w:val="19"/>
              </w:rPr>
              <w:t>Entrenamiento PPO de los agentes micro y macro con DummyVecEnv, VecNormalize y SubagentEvalCallback</w:t>
            </w:r>
          </w:p>
        </w:tc>
      </w:tr>
      <w:tr>
        <w:tc>
          <w:tcPr>
            <w:tcW w:type="dxa" w:w="2929"/>
            <w:vAlign w:val="center"/>
          </w:tcPr>
          <w:p>
            <w:r/>
            <w:r>
              <w:rPr>
                <w:sz w:val="19"/>
              </w:rPr>
              <w:t>agent/policy_inference.py</w:t>
            </w:r>
          </w:p>
        </w:tc>
        <w:tc>
          <w:tcPr>
            <w:tcW w:type="dxa" w:w="2929"/>
            <w:vAlign w:val="center"/>
          </w:tcPr>
          <w:p>
            <w:r/>
            <w:r>
              <w:rPr>
                <w:sz w:val="19"/>
              </w:rPr>
              <w:t>Módulo</w:t>
            </w:r>
          </w:p>
        </w:tc>
        <w:tc>
          <w:tcPr>
            <w:tcW w:type="dxa" w:w="2929"/>
            <w:vAlign w:val="center"/>
          </w:tcPr>
          <w:p>
            <w:r/>
            <w:r>
              <w:rPr>
                <w:sz w:val="19"/>
              </w:rPr>
              <w:t>Inferencia del agente micro a nivel de préstamo</w:t>
            </w:r>
          </w:p>
        </w:tc>
      </w:tr>
      <w:tr>
        <w:tc>
          <w:tcPr>
            <w:tcW w:type="dxa" w:w="2929"/>
            <w:vAlign w:val="center"/>
          </w:tcPr>
          <w:p>
            <w:r/>
            <w:r>
              <w:rPr>
                <w:sz w:val="19"/>
              </w:rPr>
              <w:t>agent/policy_inference_portfolio.py</w:t>
            </w:r>
          </w:p>
        </w:tc>
        <w:tc>
          <w:tcPr>
            <w:tcW w:type="dxa" w:w="2929"/>
            <w:vAlign w:val="center"/>
          </w:tcPr>
          <w:p>
            <w:r/>
            <w:r>
              <w:rPr>
                <w:sz w:val="19"/>
              </w:rPr>
              <w:t>Módulo</w:t>
            </w:r>
          </w:p>
        </w:tc>
        <w:tc>
          <w:tcPr>
            <w:tcW w:type="dxa" w:w="2929"/>
            <w:vAlign w:val="center"/>
          </w:tcPr>
          <w:p>
            <w:r/>
            <w:r>
              <w:rPr>
                <w:sz w:val="19"/>
              </w:rPr>
              <w:t>Inferencia del agente macro a nivel de cartera</w:t>
            </w:r>
          </w:p>
        </w:tc>
      </w:tr>
      <w:tr>
        <w:tc>
          <w:tcPr>
            <w:tcW w:type="dxa" w:w="2929"/>
            <w:vAlign w:val="center"/>
          </w:tcPr>
          <w:p>
            <w:r/>
            <w:r>
              <w:rPr>
                <w:sz w:val="19"/>
              </w:rPr>
              <w:t>agent/coordinator_inference.py</w:t>
            </w:r>
          </w:p>
        </w:tc>
        <w:tc>
          <w:tcPr>
            <w:tcW w:type="dxa" w:w="2929"/>
            <w:vAlign w:val="center"/>
          </w:tcPr>
          <w:p>
            <w:r/>
            <w:r>
              <w:rPr>
                <w:sz w:val="19"/>
              </w:rPr>
              <w:t>Módulo</w:t>
            </w:r>
          </w:p>
        </w:tc>
        <w:tc>
          <w:tcPr>
            <w:tcW w:type="dxa" w:w="2929"/>
            <w:vAlign w:val="center"/>
          </w:tcPr>
          <w:p>
            <w:r/>
            <w:r>
              <w:rPr>
                <w:sz w:val="19"/>
              </w:rPr>
              <w:t>Inferencia coordinada macro-micro; cascada de overrides, carve-outs prudenciales y exportación de decisiones</w:t>
            </w:r>
          </w:p>
        </w:tc>
      </w:tr>
      <w:tr>
        <w:tc>
          <w:tcPr>
            <w:tcW w:type="dxa" w:w="2929"/>
            <w:vAlign w:val="center"/>
          </w:tcPr>
          <w:p>
            <w:r/>
            <w:r>
              <w:rPr>
                <w:sz w:val="19"/>
              </w:rPr>
              <w:t>optimizer/restructure_optimizer.py</w:t>
            </w:r>
          </w:p>
        </w:tc>
        <w:tc>
          <w:tcPr>
            <w:tcW w:type="dxa" w:w="2929"/>
            <w:vAlign w:val="center"/>
          </w:tcPr>
          <w:p>
            <w:r/>
            <w:r>
              <w:rPr>
                <w:sz w:val="19"/>
              </w:rPr>
              <w:t>Módulo</w:t>
            </w:r>
          </w:p>
        </w:tc>
        <w:tc>
          <w:tcPr>
            <w:tcW w:type="dxa" w:w="2929"/>
            <w:vAlign w:val="center"/>
          </w:tcPr>
          <w:p>
            <w:r/>
            <w:r>
              <w:rPr>
                <w:sz w:val="19"/>
              </w:rPr>
              <w:t>Búsqueda exhaustiva en rejilla (216 combinaciones) sobre el modelo hazard-based de PD y LGD post-reestructuración</w:t>
            </w:r>
          </w:p>
        </w:tc>
      </w:tr>
      <w:tr>
        <w:tc>
          <w:tcPr>
            <w:tcW w:type="dxa" w:w="2929"/>
            <w:vAlign w:val="center"/>
          </w:tcPr>
          <w:p>
            <w:r/>
            <w:r>
              <w:rPr>
                <w:sz w:val="19"/>
              </w:rPr>
              <w:t>optimizer/price_simulator.py</w:t>
            </w:r>
          </w:p>
        </w:tc>
        <w:tc>
          <w:tcPr>
            <w:tcW w:type="dxa" w:w="2929"/>
            <w:vAlign w:val="center"/>
          </w:tcPr>
          <w:p>
            <w:r/>
            <w:r>
              <w:rPr>
                <w:sz w:val="19"/>
              </w:rPr>
              <w:t>Módulo</w:t>
            </w:r>
          </w:p>
        </w:tc>
        <w:tc>
          <w:tcPr>
            <w:tcW w:type="dxa" w:w="2929"/>
            <w:vAlign w:val="center"/>
          </w:tcPr>
          <w:p>
            <w:r/>
            <w:r>
              <w:rPr>
                <w:sz w:val="19"/>
              </w:rPr>
              <w:t>Pricing de NPL con simulación Monte Carlo intra-pricing y haircut por escenario</w:t>
            </w:r>
          </w:p>
        </w:tc>
      </w:tr>
      <w:tr>
        <w:tc>
          <w:tcPr>
            <w:tcW w:type="dxa" w:w="2929"/>
            <w:vAlign w:val="center"/>
          </w:tcPr>
          <w:p>
            <w:r/>
            <w:r>
              <w:rPr>
                <w:sz w:val="19"/>
              </w:rPr>
              <w:t>risk/gates.py</w:t>
            </w:r>
          </w:p>
        </w:tc>
        <w:tc>
          <w:tcPr>
            <w:tcW w:type="dxa" w:w="2929"/>
            <w:vAlign w:val="center"/>
          </w:tcPr>
          <w:p>
            <w:r/>
            <w:r>
              <w:rPr>
                <w:sz w:val="19"/>
              </w:rPr>
              <w:t>Módulo</w:t>
            </w:r>
          </w:p>
        </w:tc>
        <w:tc>
          <w:tcPr>
            <w:tcW w:type="dxa" w:w="2929"/>
            <w:vAlign w:val="center"/>
          </w:tcPr>
          <w:p>
            <w:r/>
            <w:r>
              <w:rPr>
                <w:sz w:val="19"/>
              </w:rPr>
              <w:t>Guardrails de viabilidad (check_restruct_viability, check_sell_fire_sale, check_sell_capital)</w:t>
            </w:r>
          </w:p>
        </w:tc>
      </w:tr>
      <w:tr>
        <w:tc>
          <w:tcPr>
            <w:tcW w:type="dxa" w:w="2929"/>
            <w:vAlign w:val="center"/>
          </w:tcPr>
          <w:p>
            <w:r/>
            <w:r>
              <w:rPr>
                <w:sz w:val="19"/>
              </w:rPr>
              <w:t>engines/stress_engine.py</w:t>
            </w:r>
          </w:p>
        </w:tc>
        <w:tc>
          <w:tcPr>
            <w:tcW w:type="dxa" w:w="2929"/>
            <w:vAlign w:val="center"/>
          </w:tcPr>
          <w:p>
            <w:r/>
            <w:r>
              <w:rPr>
                <w:sz w:val="19"/>
              </w:rPr>
              <w:t>Módulo</w:t>
            </w:r>
          </w:p>
        </w:tc>
        <w:tc>
          <w:tcPr>
            <w:tcW w:type="dxa" w:w="2929"/>
            <w:vAlign w:val="center"/>
          </w:tcPr>
          <w:p>
            <w:r/>
            <w:r>
              <w:rPr>
                <w:sz w:val="19"/>
              </w:rPr>
              <w:t>Motor de estrés; lee configs/stress_scenarios.yaml y ejecuta el producto escenarios × posturas</w:t>
            </w:r>
          </w:p>
        </w:tc>
      </w:tr>
      <w:tr>
        <w:tc>
          <w:tcPr>
            <w:tcW w:type="dxa" w:w="2929"/>
            <w:vAlign w:val="center"/>
          </w:tcPr>
          <w:p>
            <w:r/>
            <w:r>
              <w:rPr>
                <w:sz w:val="19"/>
              </w:rPr>
              <w:t>engines/sensitivities_engine.py</w:t>
            </w:r>
          </w:p>
        </w:tc>
        <w:tc>
          <w:tcPr>
            <w:tcW w:type="dxa" w:w="2929"/>
            <w:vAlign w:val="center"/>
          </w:tcPr>
          <w:p>
            <w:r/>
            <w:r>
              <w:rPr>
                <w:sz w:val="19"/>
              </w:rPr>
              <w:t>Módulo</w:t>
            </w:r>
          </w:p>
        </w:tc>
        <w:tc>
          <w:tcPr>
            <w:tcW w:type="dxa" w:w="2929"/>
            <w:vAlign w:val="center"/>
          </w:tcPr>
          <w:p>
            <w:r/>
            <w:r>
              <w:rPr>
                <w:sz w:val="19"/>
              </w:rPr>
              <w:t>Barrido de sensibilidad sobre un parámetro de shock (por defecto PD_mult de 1,0 a 1,5)</w:t>
            </w:r>
          </w:p>
        </w:tc>
      </w:tr>
      <w:tr>
        <w:tc>
          <w:tcPr>
            <w:tcW w:type="dxa" w:w="2929"/>
            <w:vAlign w:val="center"/>
          </w:tcPr>
          <w:p>
            <w:r/>
            <w:r>
              <w:rPr>
                <w:sz w:val="19"/>
              </w:rPr>
              <w:t>baselines/baseline_policies.py</w:t>
            </w:r>
          </w:p>
        </w:tc>
        <w:tc>
          <w:tcPr>
            <w:tcW w:type="dxa" w:w="2929"/>
            <w:vAlign w:val="center"/>
          </w:tcPr>
          <w:p>
            <w:r/>
            <w:r>
              <w:rPr>
                <w:sz w:val="19"/>
              </w:rPr>
              <w:t>Módulo</w:t>
            </w:r>
          </w:p>
        </w:tc>
        <w:tc>
          <w:tcPr>
            <w:tcW w:type="dxa" w:w="2929"/>
            <w:vAlign w:val="center"/>
          </w:tcPr>
          <w:p>
            <w:r/>
            <w:r>
              <w:rPr>
                <w:sz w:val="19"/>
              </w:rPr>
              <w:t>Políticas baseline reglares (BaselinePrudencialRules, BaselineDesinversionRules)</w:t>
            </w:r>
          </w:p>
        </w:tc>
      </w:tr>
      <w:tr>
        <w:tc>
          <w:tcPr>
            <w:tcW w:type="dxa" w:w="2929"/>
            <w:vAlign w:val="center"/>
          </w:tcPr>
          <w:p>
            <w:r/>
            <w:r>
              <w:rPr>
                <w:sz w:val="19"/>
              </w:rPr>
              <w:t>reports/make_committee_pack.py</w:t>
            </w:r>
          </w:p>
        </w:tc>
        <w:tc>
          <w:tcPr>
            <w:tcW w:type="dxa" w:w="2929"/>
            <w:vAlign w:val="center"/>
          </w:tcPr>
          <w:p>
            <w:r/>
            <w:r>
              <w:rPr>
                <w:sz w:val="19"/>
              </w:rPr>
              <w:t>Módulo</w:t>
            </w:r>
          </w:p>
        </w:tc>
        <w:tc>
          <w:tcPr>
            <w:tcW w:type="dxa" w:w="2929"/>
            <w:vAlign w:val="center"/>
          </w:tcPr>
          <w:p>
            <w:r/>
            <w:r>
              <w:rPr>
                <w:sz w:val="19"/>
              </w:rPr>
              <w:t>Empaqueta el committee pack y escribe MANIFEST.json con commit Git, versión de Python y SHA-256 de modelos y VecNormalize</w:t>
            </w:r>
          </w:p>
        </w:tc>
      </w:tr>
      <w:tr>
        <w:tc>
          <w:tcPr>
            <w:tcW w:type="dxa" w:w="2929"/>
            <w:vAlign w:val="center"/>
          </w:tcPr>
          <w:p>
            <w:r/>
            <w:r>
              <w:rPr>
                <w:sz w:val="19"/>
              </w:rPr>
              <w:t>reports/npl_posture_analysis.py</w:t>
            </w:r>
          </w:p>
        </w:tc>
        <w:tc>
          <w:tcPr>
            <w:tcW w:type="dxa" w:w="2929"/>
            <w:vAlign w:val="center"/>
          </w:tcPr>
          <w:p>
            <w:r/>
            <w:r>
              <w:rPr>
                <w:sz w:val="19"/>
              </w:rPr>
              <w:t>Módulo</w:t>
            </w:r>
          </w:p>
        </w:tc>
        <w:tc>
          <w:tcPr>
            <w:tcW w:type="dxa" w:w="2929"/>
            <w:vAlign w:val="center"/>
          </w:tcPr>
          <w:p>
            <w:r/>
            <w:r>
              <w:rPr>
                <w:sz w:val="19"/>
              </w:rPr>
              <w:t>Análisis por postura: distance checks, envelopes de negociación y carve-outs</w:t>
            </w:r>
          </w:p>
        </w:tc>
      </w:tr>
      <w:tr>
        <w:tc>
          <w:tcPr>
            <w:tcW w:type="dxa" w:w="2929"/>
            <w:vAlign w:val="center"/>
          </w:tcPr>
          <w:p>
            <w:r/>
            <w:r>
              <w:rPr>
                <w:sz w:val="19"/>
              </w:rPr>
              <w:t>configs/stress_scenarios.yaml</w:t>
            </w:r>
          </w:p>
        </w:tc>
        <w:tc>
          <w:tcPr>
            <w:tcW w:type="dxa" w:w="2929"/>
            <w:vAlign w:val="center"/>
          </w:tcPr>
          <w:p>
            <w:r/>
            <w:r>
              <w:rPr>
                <w:sz w:val="19"/>
              </w:rPr>
              <w:t>Configuración</w:t>
            </w:r>
          </w:p>
        </w:tc>
        <w:tc>
          <w:tcPr>
            <w:tcW w:type="dxa" w:w="2929"/>
            <w:vAlign w:val="center"/>
          </w:tcPr>
          <w:p>
            <w:r/>
            <w:r>
              <w:rPr>
                <w:sz w:val="19"/>
              </w:rPr>
              <w:t>Definición de 4 escenarios de estrés (baseline, mild, severe, pricing_crunch)</w:t>
            </w:r>
          </w:p>
        </w:tc>
      </w:tr>
      <w:tr>
        <w:tc>
          <w:tcPr>
            <w:tcW w:type="dxa" w:w="2929"/>
            <w:vAlign w:val="center"/>
          </w:tcPr>
          <w:p>
            <w:r/>
            <w:r>
              <w:rPr>
                <w:sz w:val="19"/>
              </w:rPr>
              <w:t>tests/</w:t>
            </w:r>
          </w:p>
        </w:tc>
        <w:tc>
          <w:tcPr>
            <w:tcW w:type="dxa" w:w="2929"/>
            <w:vAlign w:val="center"/>
          </w:tcPr>
          <w:p>
            <w:r/>
            <w:r>
              <w:rPr>
                <w:sz w:val="19"/>
              </w:rPr>
              <w:t>Directorio</w:t>
            </w:r>
          </w:p>
        </w:tc>
        <w:tc>
          <w:tcPr>
            <w:tcW w:type="dxa" w:w="2929"/>
            <w:vAlign w:val="center"/>
          </w:tcPr>
          <w:p>
            <w:r/>
            <w:r>
              <w:rPr>
                <w:sz w:val="19"/>
              </w:rPr>
              <w:t>Banco de pruebas automatizadas (10 ficheros, 45 funciones test_*)</w:t>
            </w:r>
          </w:p>
        </w:tc>
      </w:tr>
      <w:tr>
        <w:tc>
          <w:tcPr>
            <w:tcW w:type="dxa" w:w="2929"/>
            <w:vAlign w:val="center"/>
          </w:tcPr>
          <w:p>
            <w:r/>
            <w:r>
              <w:rPr>
                <w:sz w:val="19"/>
              </w:rPr>
              <w:t>logs/tb/</w:t>
            </w:r>
          </w:p>
        </w:tc>
        <w:tc>
          <w:tcPr>
            <w:tcW w:type="dxa" w:w="2929"/>
            <w:vAlign w:val="center"/>
          </w:tcPr>
          <w:p>
            <w:r/>
            <w:r>
              <w:rPr>
                <w:sz w:val="19"/>
              </w:rPr>
              <w:t>Directorio</w:t>
            </w:r>
          </w:p>
        </w:tc>
        <w:tc>
          <w:tcPr>
            <w:tcW w:type="dxa" w:w="2929"/>
            <w:vAlign w:val="center"/>
          </w:tcPr>
          <w:p>
            <w:r/>
            <w:r>
              <w:rPr>
                <w:sz w:val="19"/>
              </w:rPr>
              <w:t>Eventos TensorBoard de los runs de entrenamiento PPO</w:t>
            </w:r>
          </w:p>
        </w:tc>
      </w:tr>
      <w:tr>
        <w:tc>
          <w:tcPr>
            <w:tcW w:type="dxa" w:w="2929"/>
            <w:vAlign w:val="center"/>
          </w:tcPr>
          <w:p>
            <w:r/>
            <w:r>
              <w:rPr>
                <w:sz w:val="19"/>
              </w:rPr>
              <w:t>models/</w:t>
            </w:r>
          </w:p>
        </w:tc>
        <w:tc>
          <w:tcPr>
            <w:tcW w:type="dxa" w:w="2929"/>
            <w:vAlign w:val="center"/>
          </w:tcPr>
          <w:p>
            <w:r/>
            <w:r>
              <w:rPr>
                <w:sz w:val="19"/>
              </w:rPr>
              <w:t>Directorio</w:t>
            </w:r>
          </w:p>
        </w:tc>
        <w:tc>
          <w:tcPr>
            <w:tcW w:type="dxa" w:w="2929"/>
            <w:vAlign w:val="center"/>
          </w:tcPr>
          <w:p>
            <w:r/>
            <w:r>
              <w:rPr>
                <w:sz w:val="19"/>
              </w:rPr>
              <w:t>Modelos PPO por postura (best_model_*.zip), wrappers VecNormalize (*.pkl) y metadatos de entrenamiento</w:t>
            </w:r>
          </w:p>
        </w:tc>
      </w:tr>
      <w:tr>
        <w:tc>
          <w:tcPr>
            <w:tcW w:type="dxa" w:w="2929"/>
            <w:vAlign w:val="center"/>
          </w:tcPr>
          <w:p>
            <w:r/>
            <w:r>
              <w:rPr>
                <w:sz w:val="19"/>
              </w:rPr>
              <w:t>reports/</w:t>
            </w:r>
          </w:p>
        </w:tc>
        <w:tc>
          <w:tcPr>
            <w:tcW w:type="dxa" w:w="2929"/>
            <w:vAlign w:val="center"/>
          </w:tcPr>
          <w:p>
            <w:r/>
            <w:r>
              <w:rPr>
                <w:sz w:val="19"/>
              </w:rPr>
              <w:t>Directorio</w:t>
            </w:r>
          </w:p>
        </w:tc>
        <w:tc>
          <w:tcPr>
            <w:tcW w:type="dxa" w:w="2929"/>
            <w:vAlign w:val="center"/>
          </w:tcPr>
          <w:p>
            <w:r/>
            <w:r>
              <w:rPr>
                <w:sz w:val="19"/>
              </w:rPr>
              <w:t>Salidas de inferencia, committee packs, análisis por postura y artefactos de informe</w:t>
            </w:r>
          </w:p>
        </w:tc>
      </w:tr>
      <w:tr>
        <w:tc>
          <w:tcPr>
            <w:tcW w:type="dxa" w:w="2929"/>
            <w:vAlign w:val="center"/>
          </w:tcPr>
          <w:p>
            <w:r/>
            <w:r>
              <w:rPr>
                <w:sz w:val="19"/>
              </w:rPr>
              <w:t>.github/workflows/smoke.yml</w:t>
            </w:r>
          </w:p>
        </w:tc>
        <w:tc>
          <w:tcPr>
            <w:tcW w:type="dxa" w:w="2929"/>
            <w:vAlign w:val="center"/>
          </w:tcPr>
          <w:p>
            <w:r/>
            <w:r>
              <w:rPr>
                <w:sz w:val="19"/>
              </w:rPr>
              <w:t>Configuración</w:t>
            </w:r>
          </w:p>
        </w:tc>
        <w:tc>
          <w:tcPr>
            <w:tcW w:type="dxa" w:w="2929"/>
            <w:vAlign w:val="center"/>
          </w:tcPr>
          <w:p>
            <w:r/>
            <w:r>
              <w:rPr>
                <w:sz w:val="19"/>
              </w:rPr>
              <w:t>CI público que ejecuta el smoke test sobre Python 3.11 y 3.12</w:t>
            </w:r>
          </w:p>
        </w:tc>
      </w:tr>
    </w:tbl>
    <w:p>
      <w:pPr>
        <w:jc w:val="center"/>
      </w:pPr>
      <w:r>
        <w:rPr>
          <w:sz w:val="20"/>
        </w:rPr>
        <w:t>Tabla C.1. Estructura funcional del repositorio. Las rutas y descripciones reflejan el estado verificado del proyecto en el momento de la entrega; el detalle completo de cada módulo está disponible en GitHub.</w:t>
      </w:r>
    </w:p>
    <w:p>
      <w:pPr>
        <w:pStyle w:val="Heading2"/>
      </w:pPr>
      <w:r>
        <w:t>Anexo D — Plantilla de desagregación de resultados por segmento</w:t>
      </w:r>
    </w:p>
    <w:p>
      <w:pPr/>
      <w:r>
        <w:t>Este anexo proporciona la plantilla de lectura de resultados a nivel de segmento regulatorio que se obtiene a partir del exportable decisiones_finales_&lt;postura&gt;.xlsx. La desagregación se realiza siguiendo la taxonomía de pesos definida en SEGMENT_WEIGHTS (data/generate_portfolio.py): Corporate (30%), Large Corporate (22%), MidCap (18%), SME (15%), Mortgage (10%) y Project Finance (5%). Las cifras concretas dependen de la ejecución de referencia y deben tomarse de los ficheros generados por el pipeline; la tabla siguiente describe la estructura de columnas que un lector debe esperar.</w:t>
      </w:r>
    </w:p>
    <w:tbl>
      <w:tblPr>
        <w:tblStyle w:val="LightGrid-Accent1"/>
        <w:tblW w:type="auto" w:w="0"/>
        <w:tblLook w:firstColumn="1" w:firstRow="1" w:lastColumn="0" w:lastRow="0" w:noHBand="0" w:noVBand="1" w:val="04A0"/>
      </w:tblPr>
      <w:tblGrid>
        <w:gridCol w:w="4394"/>
        <w:gridCol w:w="4394"/>
      </w:tblGrid>
      <w:tr>
        <w:tc>
          <w:tcPr>
            <w:tcW w:type="dxa" w:w="4394"/>
            <w:vAlign w:val="center"/>
          </w:tcPr>
          <w:p>
            <w:r/>
            <w:r>
              <w:rPr>
                <w:b/>
                <w:sz w:val="20"/>
              </w:rPr>
              <w:t>Columna</w:t>
            </w:r>
          </w:p>
        </w:tc>
        <w:tc>
          <w:tcPr>
            <w:tcW w:type="dxa" w:w="4394"/>
            <w:vAlign w:val="center"/>
          </w:tcPr>
          <w:p>
            <w:r/>
            <w:r>
              <w:rPr>
                <w:b/>
                <w:sz w:val="20"/>
              </w:rPr>
              <w:t>Definición operativa</w:t>
            </w:r>
          </w:p>
        </w:tc>
      </w:tr>
      <w:tr>
        <w:tc>
          <w:tcPr>
            <w:tcW w:type="dxa" w:w="4394"/>
            <w:vAlign w:val="center"/>
          </w:tcPr>
          <w:p>
            <w:r/>
            <w:r>
              <w:rPr>
                <w:sz w:val="19"/>
              </w:rPr>
              <w:t>Segmento</w:t>
            </w:r>
          </w:p>
        </w:tc>
        <w:tc>
          <w:tcPr>
            <w:tcW w:type="dxa" w:w="4394"/>
            <w:vAlign w:val="center"/>
          </w:tcPr>
          <w:p>
            <w:r/>
            <w:r>
              <w:rPr>
                <w:sz w:val="19"/>
              </w:rPr>
              <w:t>Identificador del segmento regulatorio (uno de los seis definidos en SEGMENT_WEIGHTS)</w:t>
            </w:r>
          </w:p>
        </w:tc>
      </w:tr>
      <w:tr>
        <w:tc>
          <w:tcPr>
            <w:tcW w:type="dxa" w:w="4394"/>
            <w:vAlign w:val="center"/>
          </w:tcPr>
          <w:p>
            <w:r/>
            <w:r>
              <w:rPr>
                <w:sz w:val="19"/>
              </w:rPr>
              <w:t>N</w:t>
            </w:r>
          </w:p>
        </w:tc>
        <w:tc>
          <w:tcPr>
            <w:tcW w:type="dxa" w:w="4394"/>
            <w:vAlign w:val="center"/>
          </w:tcPr>
          <w:p>
            <w:r/>
            <w:r>
              <w:rPr>
                <w:sz w:val="19"/>
              </w:rPr>
              <w:t>Número de préstamos clasificados en el segmento</w:t>
            </w:r>
          </w:p>
        </w:tc>
      </w:tr>
      <w:tr>
        <w:tc>
          <w:tcPr>
            <w:tcW w:type="dxa" w:w="4394"/>
            <w:vAlign w:val="center"/>
          </w:tcPr>
          <w:p>
            <w:r/>
            <w:r>
              <w:rPr>
                <w:sz w:val="19"/>
              </w:rPr>
              <w:t>EAD (M€)</w:t>
            </w:r>
          </w:p>
        </w:tc>
        <w:tc>
          <w:tcPr>
            <w:tcW w:type="dxa" w:w="4394"/>
            <w:vAlign w:val="center"/>
          </w:tcPr>
          <w:p>
            <w:r/>
            <w:r>
              <w:rPr>
                <w:sz w:val="19"/>
              </w:rPr>
              <w:t>Suma del Exposure At Default por segmento</w:t>
            </w:r>
          </w:p>
        </w:tc>
      </w:tr>
      <w:tr>
        <w:tc>
          <w:tcPr>
            <w:tcW w:type="dxa" w:w="4394"/>
            <w:vAlign w:val="center"/>
          </w:tcPr>
          <w:p>
            <w:r/>
            <w:r>
              <w:rPr>
                <w:sz w:val="19"/>
              </w:rPr>
              <w:t>EVA pre (M€)</w:t>
            </w:r>
          </w:p>
        </w:tc>
        <w:tc>
          <w:tcPr>
            <w:tcW w:type="dxa" w:w="4394"/>
            <w:vAlign w:val="center"/>
          </w:tcPr>
          <w:p>
            <w:r/>
            <w:r>
              <w:rPr>
                <w:sz w:val="19"/>
              </w:rPr>
              <w:t>Suma del EVA inicial (sin intervención) calculado por generate_portfolio</w:t>
            </w:r>
          </w:p>
        </w:tc>
      </w:tr>
      <w:tr>
        <w:tc>
          <w:tcPr>
            <w:tcW w:type="dxa" w:w="4394"/>
            <w:vAlign w:val="center"/>
          </w:tcPr>
          <w:p>
            <w:r/>
            <w:r>
              <w:rPr>
                <w:sz w:val="19"/>
              </w:rPr>
              <w:t>EVA post (M€)</w:t>
            </w:r>
          </w:p>
        </w:tc>
        <w:tc>
          <w:tcPr>
            <w:tcW w:type="dxa" w:w="4394"/>
            <w:vAlign w:val="center"/>
          </w:tcPr>
          <w:p>
            <w:r/>
            <w:r>
              <w:rPr>
                <w:sz w:val="19"/>
              </w:rPr>
              <w:t>Suma del EVA tras aplicar la decisión final del agente coordinado</w:t>
            </w:r>
          </w:p>
        </w:tc>
      </w:tr>
      <w:tr>
        <w:tc>
          <w:tcPr>
            <w:tcW w:type="dxa" w:w="4394"/>
            <w:vAlign w:val="center"/>
          </w:tcPr>
          <w:p>
            <w:r/>
            <w:r>
              <w:rPr>
                <w:sz w:val="19"/>
              </w:rPr>
              <w:t>ΔEVA (M€)</w:t>
            </w:r>
          </w:p>
        </w:tc>
        <w:tc>
          <w:tcPr>
            <w:tcW w:type="dxa" w:w="4394"/>
            <w:vAlign w:val="center"/>
          </w:tcPr>
          <w:p>
            <w:r/>
            <w:r>
              <w:rPr>
                <w:sz w:val="19"/>
              </w:rPr>
              <w:t>Diferencia EVA post − EVA pre por segmento</w:t>
            </w:r>
          </w:p>
        </w:tc>
      </w:tr>
      <w:tr>
        <w:tc>
          <w:tcPr>
            <w:tcW w:type="dxa" w:w="4394"/>
            <w:vAlign w:val="center"/>
          </w:tcPr>
          <w:p>
            <w:r/>
            <w:r>
              <w:rPr>
                <w:sz w:val="19"/>
              </w:rPr>
              <w:t>Capital liberado (M€)</w:t>
            </w:r>
          </w:p>
        </w:tc>
        <w:tc>
          <w:tcPr>
            <w:tcW w:type="dxa" w:w="4394"/>
            <w:vAlign w:val="center"/>
          </w:tcPr>
          <w:p>
            <w:r/>
            <w:r>
              <w:rPr>
                <w:sz w:val="19"/>
              </w:rPr>
              <w:t>Reducción de RWA · r_total tras la decisión final</w:t>
            </w:r>
          </w:p>
        </w:tc>
      </w:tr>
      <w:tr>
        <w:tc>
          <w:tcPr>
            <w:tcW w:type="dxa" w:w="4394"/>
            <w:vAlign w:val="center"/>
          </w:tcPr>
          <w:p>
            <w:r/>
            <w:r>
              <w:rPr>
                <w:sz w:val="19"/>
              </w:rPr>
              <w:t>RORWA post</w:t>
            </w:r>
          </w:p>
        </w:tc>
        <w:tc>
          <w:tcPr>
            <w:tcW w:type="dxa" w:w="4394"/>
            <w:vAlign w:val="center"/>
          </w:tcPr>
          <w:p>
            <w:r/>
            <w:r>
              <w:rPr>
                <w:sz w:val="19"/>
              </w:rPr>
              <w:t>Promedio ponderado por RWA del RORWA post-decisión</w:t>
            </w:r>
          </w:p>
        </w:tc>
      </w:tr>
      <w:tr>
        <w:tc>
          <w:tcPr>
            <w:tcW w:type="dxa" w:w="4394"/>
            <w:vAlign w:val="center"/>
          </w:tcPr>
          <w:p>
            <w:r/>
            <w:r>
              <w:rPr>
                <w:sz w:val="19"/>
              </w:rPr>
              <w:t>Tasa de curación</w:t>
            </w:r>
          </w:p>
        </w:tc>
        <w:tc>
          <w:tcPr>
            <w:tcW w:type="dxa" w:w="4394"/>
            <w:vAlign w:val="center"/>
          </w:tcPr>
          <w:p>
            <w:r/>
            <w:r>
              <w:rPr>
                <w:sz w:val="19"/>
              </w:rPr>
              <w:t>Porcentaje de préstamos cuya PD post-reestructuración cae bajo SensibilidadReestructura.pd_cure_threshold</w:t>
            </w:r>
          </w:p>
        </w:tc>
      </w:tr>
    </w:tbl>
    <w:p>
      <w:pPr>
        <w:jc w:val="center"/>
      </w:pPr>
      <w:r>
        <w:rPr>
          <w:sz w:val="20"/>
        </w:rPr>
        <w:t>Tabla D.1. Estructura de desagregación por segmento. Las columnas se construyen agrupando las filas de decisiones_finales_&lt;postura&gt;.xlsx por la variable segmento. El segmento Corporate, por su mayor peso en EAD, tiende a concentrar el mayor ΔEVA absoluto; el segmento Mortgage suele presentar la mayor tasa de curación dado el peso del colateral en el cálculo de LGD post-reestructuración.</w:t>
      </w:r>
    </w:p>
    <w:p>
      <w:pPr>
        <w:pStyle w:val="Heading2"/>
      </w:pPr>
      <w:r>
        <w:t>Anexo E — Replicabilidad de la sesión de referencia</w:t>
      </w:r>
    </w:p>
    <w:p>
      <w:pPr/>
      <w:r>
        <w:t>Las condiciones mínimas para reproducir la sesión de inferencia de referencia son las siguientes:</w:t>
      </w:r>
    </w:p>
    <w:p>
      <w:pPr/>
      <w:r>
        <w:t>Semilla aleatoria. La constante GLOBAL_SEED = 42 definida en config.py se propaga a NumPy, PyTorch y Stable-Baselines3 mediante cfg.set_all_seeds() invocada al inicio de cada ejecución. La cartera sintética se genera con esta semilla a partir de numpy.random.default_rng().</w:t>
      </w:r>
    </w:p>
    <w:p>
      <w:pPr/>
      <w:r>
        <w:t>Entorno de ejecución. El flujo de integración continua (.github/workflows/smoke.yml) se ejecuta sobre Python 3.11 y 3.12. La ejecución de referencia documentada en el committee pack (MANIFEST.json) se realizó adicionalmente sobre Python 3.14.3. Las dependencias se instalan a partir de requirements-ci.txt mediante el script install_requirements_smart.py, que selecciona la combinación adecuada en función de la versión de Python detectada.</w:t>
      </w:r>
    </w:p>
    <w:p>
      <w:pPr/>
      <w:r>
        <w:t>Comandos de ejecución. La ejecución reproducible completa se invoca con:</w:t>
      </w:r>
    </w:p>
    <w:p>
      <w:pPr>
        <w:ind w:left="340"/>
      </w:pPr>
      <w:r>
        <w:rPr>
          <w:rFonts w:ascii="Consolas" w:hAnsi="Consolas"/>
          <w:sz w:val="20"/>
        </w:rPr>
        <w:t>python main.py generate --n 500</w:t>
        <w:br/>
        <w:t>python main.py train --agent both --total-steps 500000</w:t>
        <w:br/>
        <w:t>python main.py infer --all-postures --tag &lt;identificador_de_sesion&gt;</w:t>
      </w:r>
    </w:p>
    <w:p>
      <w:pPr/>
      <w:r>
        <w:t>Artefactos esperados. La ejecución produce, por postura, el fichero decisiones_finales_&lt;postura&gt;.xlsx y los informes asociados en la carpeta reports/coordinated_inference_&lt;tag&gt;_&lt;postura&gt;/. El paquete entregable, generado mediante reports/make_committee_pack.py, contiene además un fichero MANIFEST.json con el identificador de commit Git, la versión exacta de Python utilizada y las sumas de verificación SHA-256 de cada modelo preentrenado (best_model_loan_&lt;postura&gt;.zip, best_model_portfolio_&lt;postura&gt;.zip y los correspondientes vecnormalize_*.pkl) almacenados en el directorio models/.</w:t>
      </w:r>
    </w:p>
    <w:p>
      <w:pPr/>
      <w:r>
        <w:t>Verificación rápida de integridad. El módulo tests/smoke_test.py (5 funciones test_*) ejercita el flujo end-to-end en una versión reducida y puede emplearse para validar la integridad del entorno antes de lanzar una ejecución completa. Su ejecución desde la raíz del repositorio se realiza mediante python -m tests.smoke_test o pytest tests/smoke_test.py.</w:t>
      </w:r>
    </w:p>
    <w:p>
      <w:pPr>
        <w:pStyle w:val="Heading2"/>
      </w:pPr>
      <w:r>
        <w:t>Anexo F — Derivaciones matemáticas complementarias</w:t>
      </w:r>
    </w:p>
    <w:p>
      <w:pPr>
        <w:pStyle w:val="Heading3"/>
      </w:pPr>
      <w:r>
        <w:t>F.1 — Condiciones de estabilidad numérica del entrenamiento PPO</w:t>
      </w:r>
    </w:p>
    <w:p>
      <w:pPr/>
      <w:r>
        <w:t>El presente trabajo no demuestra formalmente la convergencia global de PPO, lo que excede el alcance del TFG y no constituye un resultado conocido para espacios de recompensa no estacionarios y políticas paramétricas no lineales. En su lugar, se justifica que el entrenamiento opera bajo condiciones razonables de estabilidad numérica y se aporta evidencia empírica de convergencia local mediante las curvas de TensorBoard discutidas en el anexo G.</w:t>
      </w:r>
    </w:p>
    <w:p>
      <w:pPr/>
      <w:r>
        <w:t>Las condiciones de estabilidad relevantes son las siguientes: (i) el espacio de estados está acotado componente a componente por las constantes definidas en NPLConventions y por los recortes aplicados en _obs_from_state(); (ii) la función de recompensa está acotada explícitamente al intervalo [−10, +10] mediante el parámetro clip de RewardParams; (iii) el mecanismo de clipping de PPO (clip_range = 0,20) y el gradient clipping (max_grad_norm = 0,5) limitan la magnitud de cada actualización; (iv) VecNormalize estabiliza adicionalmente la escala de observaciones y recompensas durante el entrenamiento. La combinación de estas cuatro condiciones permite verificar empíricamente que el proceso de entrenamiento es numéricamente estable, lo que se traduce en una reducción monótona del value loss y en una explained variance creciente, como se discute en el anexo G.</w:t>
      </w:r>
    </w:p>
    <w:p>
      <w:pPr>
        <w:pStyle w:val="Heading3"/>
      </w:pPr>
      <w:r>
        <w:t>F.2 — Modelo de pricing de NPL</w:t>
      </w:r>
    </w:p>
    <w:p>
      <w:pPr/>
      <w:r>
        <w:t>El precio teórico que un comprador racional estaría dispuesto a pagar por un préstamo NPL con perfil (PD, LGD, EAD, DPD, segmento) se modela en optimizer/price_simulator.py como el valor presente de la recuperación esperada, ajustado por una secuencia de multiplicadores deterministas y por un factor estocástico que captura la incertidumbre del proceso de negociación. La recuperación base se modula por escenario (BULL, BASE, STRESS), por DPD, por rating implícito y por presencia de colateral; el haircut global controlado por la constante BID_HAIRCUT_GLOBAL permite incorporar shocks de mercado en el motor de estrés. El componente estocástico se obtiene mediante una simulación Monte Carlo intra-pricing de 3.000 muestras por préstamo, de las que se reportan el precio óptimo (media), las métricas de cola p5/p50/p95 y los flags de fire-sale y de viabilidad económica.</w:t>
      </w:r>
    </w:p>
    <w:p>
      <w:pPr>
        <w:pStyle w:val="Heading3"/>
      </w:pPr>
      <w:r>
        <w:t>F.3 — Cobrabilidad: formulación conceptual no implementada</w:t>
      </w:r>
    </w:p>
    <w:p>
      <w:pPr/>
      <w:r>
        <w:t>Esta subsección recoge una formulación conceptual que no está implementada en el pipeline. En un modelo extendido podría introducirse una función de cobrabilidad φ(DPD) = exp(−κ · DPD) que descuente el NII observable en función del tiempo en mora, con κ calibrado para que φ(360 días) ≈ 0,30. El NII efectivo sería NII_eff = (EAD · rate) · φ(DPD). En la implementación actual del sistema, el NII se calcula sin factor de cobrabilidad y la degradación del valor se captura íntegramente a través de la PD forward y la EL anualizada. La incorporación de φ queda como línea de trabajo futura, alineada con la extensión documentada en la Sección 5.3 del cuerpo del TFG.</w:t>
      </w:r>
    </w:p>
    <w:p>
      <w:pPr>
        <w:pStyle w:val="Heading2"/>
      </w:pPr>
      <w:r>
        <w:t>Anexo G — Curvas de entrenamiento del agente PPO</w:t>
      </w:r>
    </w:p>
    <w:p>
      <w:pPr/>
      <w:r>
        <w:t>El directorio logs/tb/ conserva los eventos TensorBoard de los runs de entrenamiento. En el momento de la entrega, logs/tb/loan/ contiene 8 directorios de run (con identificadores PPO_26, PPO_28, PPO_29 y PPO_35–PPO_41 con huecos) y logs/tb/portfolio/ contiene 22 directorios (PPO_39 hasta PPO_73 con huecos). Esta acumulación documenta el proceso iterativo de calibración de hiperparámetros que condujo a la configuración definitiva recogida en la Tabla B.4.</w:t>
      </w:r>
    </w:p>
    <w:p>
      <w:pPr>
        <w:pStyle w:val="Heading3"/>
      </w:pPr>
      <w:r>
        <w:t>G.1 — Métricas relevantes</w:t>
      </w:r>
    </w:p>
    <w:p>
      <w:pPr/>
      <w:r>
        <w:t>Las cuatro métricas que se monitorizan sistemáticamente durante el entrenamiento son rollout/ep_rew_mean (recompensa media por episodio), train/explained_variance (fracción de la varianza del retorno explicada por la red de valor), train/policy_gradient_loss y train/value_loss. Complementariamente se monitorizan train/clip_fraction y rollout/ep_rew_std para diagnosticar posibles inestabilidades. El callback SubagentEvalCallback (agent/train_subagents.py) registra el mejor modelo según la score de evaluación y aplica early stopping con patience = 15 para el agente micro y patience = 20 para el macro.</w:t>
      </w:r>
    </w:p>
    <w:p>
      <w:pPr>
        <w:pStyle w:val="Heading3"/>
      </w:pPr>
      <w:r>
        <w:t>G.2 — Interpretación cualitativa de las curvas</w:t>
      </w:r>
    </w:p>
    <w:p>
      <w:pPr/>
      <w:r>
        <w:t>En los runs que convergen satisfactoriamente, la recompensa media asciende de forma monótona desde valores fuertemente negativos hasta una meseta estable; la explained variance pasa de valores negativos (predicción peor que la media) a valores claramente positivos, indicando que la red de valor captura una fracción creciente de la varianza del retorno; el value loss y el policy gradient loss decrecen y se estabilizan; y la clip fraction se mantiene en torno o por debajo de 0,10, valor recomendado en la literatura [Schulman et al., 2017]. La aparición simultánea de estos cuatro patrones constituye el criterio operativo de aceptación de un run.</w:t>
      </w:r>
    </w:p>
    <w:p>
      <w:pPr/>
      <w:r>
        <w:t>Los runs de calibración intermedios documentan el efecto de hiperparámetros inadecuados: la ausencia de regularización entrópica (ent_coef = 0) produce el colapso de la entropía y una política trivial; un número excesivo de epochs por iteración (n_epochs ≥ 10) amplifica el error de la red de valor; una tasa de aprendizaje elevada (lr = 3·10⁻⁴) origina oscilaciones del value loss. La configuración definitiva (Tabla B.4) corrige cada uno de estos problemas. Los valores numéricos concretos de cada run (recompensa final, explained variance, número de timesteps) pueden inspeccionarse directamente abriendo el correspondiente subdirectorio de logs/tb/ con TensorBoard.</w:t>
      </w:r>
    </w:p>
    <w:p>
      <w:pPr/>
      <w:r>
        <w:t>Las figuras G.1 a G.6, generadas a partir de los eventos TensorBoard de los runs micro y macro de referencia, ilustran los patrones descritos. Los captions de cada figura incluyen el identificador del run, el número de timesteps y la métrica representada, de modo que cualquier valor concreto puede ser reproducido lanzando TensorBoard sobre el directorio logs/tb/&lt;agente&gt;/&lt;run&gt;/ del repositorio.</w:t>
      </w:r>
    </w:p>
    <w:p>
      <w:pPr>
        <w:pStyle w:val="Heading2"/>
      </w:pPr>
      <w:r>
        <w:t>Anexo H — Banco de pruebas automatizadas</w:t>
      </w:r>
    </w:p>
    <w:p>
      <w:pPr/>
      <w:r>
        <w:t>El directorio tests/ contiene 10 ficheros de pruebas con un total de 45 funciones test_*. Las pruebas verifican propiedades estructurales del sistema (no su corrección numérica global) y blindan el código frente a regresiones futuras. Su ejecución se realiza mediante pytest tests/ desde la raíz del repositorio. Adicionalmente, el flujo público de integración continua (.github/workflows/smoke.yml) ejecuta el smoke test sobre Ubuntu y Windows con Python 3.11 y 3.12 en cada push y pull request, lo que proporciona una verificación reproducible y automática del flujo end-to-end.</w:t>
      </w:r>
    </w:p>
    <w:p>
      <w:pPr>
        <w:pStyle w:val="Heading3"/>
      </w:pPr>
      <w:r>
        <w:t>Tabla H.1 — Distribución del banco de pruebas</w:t>
      </w:r>
    </w:p>
    <w:tbl>
      <w:tblPr>
        <w:tblStyle w:val="LightGrid-Accent1"/>
        <w:tblW w:type="auto" w:w="0"/>
        <w:tblLook w:firstColumn="1" w:firstRow="1" w:lastColumn="0" w:lastRow="0" w:noHBand="0" w:noVBand="1" w:val="04A0"/>
      </w:tblPr>
      <w:tblGrid>
        <w:gridCol w:w="2929"/>
        <w:gridCol w:w="2929"/>
        <w:gridCol w:w="2929"/>
      </w:tblGrid>
      <w:tr>
        <w:tc>
          <w:tcPr>
            <w:tcW w:type="dxa" w:w="2929"/>
            <w:vAlign w:val="center"/>
          </w:tcPr>
          <w:p>
            <w:r/>
            <w:r>
              <w:rPr>
                <w:b/>
                <w:sz w:val="20"/>
              </w:rPr>
              <w:t>Fichero</w:t>
            </w:r>
          </w:p>
        </w:tc>
        <w:tc>
          <w:tcPr>
            <w:tcW w:type="dxa" w:w="2929"/>
            <w:vAlign w:val="center"/>
          </w:tcPr>
          <w:p>
            <w:r/>
            <w:r>
              <w:rPr>
                <w:b/>
                <w:sz w:val="20"/>
              </w:rPr>
              <w:t>Nº de test_</w:t>
            </w:r>
          </w:p>
        </w:tc>
        <w:tc>
          <w:tcPr>
            <w:tcW w:type="dxa" w:w="2929"/>
            <w:vAlign w:val="center"/>
          </w:tcPr>
          <w:p>
            <w:r/>
            <w:r>
              <w:rPr>
                <w:b/>
                <w:sz w:val="20"/>
              </w:rPr>
              <w:t>Propósito</w:t>
            </w:r>
          </w:p>
        </w:tc>
      </w:tr>
      <w:tr>
        <w:tc>
          <w:tcPr>
            <w:tcW w:type="dxa" w:w="2929"/>
            <w:vAlign w:val="center"/>
          </w:tcPr>
          <w:p>
            <w:r/>
            <w:r>
              <w:rPr>
                <w:sz w:val="19"/>
              </w:rPr>
              <w:t>tests/smoke_test.py</w:t>
            </w:r>
          </w:p>
        </w:tc>
        <w:tc>
          <w:tcPr>
            <w:tcW w:type="dxa" w:w="2929"/>
            <w:vAlign w:val="center"/>
          </w:tcPr>
          <w:p>
            <w:r/>
            <w:r>
              <w:rPr>
                <w:sz w:val="19"/>
              </w:rPr>
              <w:t>5</w:t>
            </w:r>
          </w:p>
        </w:tc>
        <w:tc>
          <w:tcPr>
            <w:tcW w:type="dxa" w:w="2929"/>
            <w:vAlign w:val="center"/>
          </w:tcPr>
          <w:p>
            <w:r/>
            <w:r>
              <w:rPr>
                <w:sz w:val="19"/>
              </w:rPr>
              <w:t>Verificación end-to-end del flujo reducido (smoke test)</w:t>
            </w:r>
          </w:p>
        </w:tc>
      </w:tr>
      <w:tr>
        <w:tc>
          <w:tcPr>
            <w:tcW w:type="dxa" w:w="2929"/>
            <w:vAlign w:val="center"/>
          </w:tcPr>
          <w:p>
            <w:r/>
            <w:r>
              <w:rPr>
                <w:sz w:val="19"/>
              </w:rPr>
              <w:t>tests/test_guardrails_restructure.py</w:t>
            </w:r>
          </w:p>
        </w:tc>
        <w:tc>
          <w:tcPr>
            <w:tcW w:type="dxa" w:w="2929"/>
            <w:vAlign w:val="center"/>
          </w:tcPr>
          <w:p>
            <w:r/>
            <w:r>
              <w:rPr>
                <w:sz w:val="19"/>
              </w:rPr>
              <w:t>3</w:t>
            </w:r>
          </w:p>
        </w:tc>
        <w:tc>
          <w:tcPr>
            <w:tcW w:type="dxa" w:w="2929"/>
            <w:vAlign w:val="center"/>
          </w:tcPr>
          <w:p>
            <w:r/>
            <w:r>
              <w:rPr>
                <w:sz w:val="19"/>
              </w:rPr>
              <w:t>Aserciones sobre PTI y DSCR en propuestas de reestructuración</w:t>
            </w:r>
          </w:p>
        </w:tc>
      </w:tr>
      <w:tr>
        <w:tc>
          <w:tcPr>
            <w:tcW w:type="dxa" w:w="2929"/>
            <w:vAlign w:val="center"/>
          </w:tcPr>
          <w:p>
            <w:r/>
            <w:r>
              <w:rPr>
                <w:sz w:val="19"/>
              </w:rPr>
              <w:t>tests/test_guardrails_sell.py</w:t>
            </w:r>
          </w:p>
        </w:tc>
        <w:tc>
          <w:tcPr>
            <w:tcW w:type="dxa" w:w="2929"/>
            <w:vAlign w:val="center"/>
          </w:tcPr>
          <w:p>
            <w:r/>
            <w:r>
              <w:rPr>
                <w:sz w:val="19"/>
              </w:rPr>
              <w:t>3</w:t>
            </w:r>
          </w:p>
        </w:tc>
        <w:tc>
          <w:tcPr>
            <w:tcW w:type="dxa" w:w="2929"/>
            <w:vAlign w:val="center"/>
          </w:tcPr>
          <w:p>
            <w:r/>
            <w:r>
              <w:rPr>
                <w:sz w:val="19"/>
              </w:rPr>
              <w:t>Aserciones sobre venta admisible, fire-sale y bid mínimo</w:t>
            </w:r>
          </w:p>
        </w:tc>
      </w:tr>
      <w:tr>
        <w:tc>
          <w:tcPr>
            <w:tcW w:type="dxa" w:w="2929"/>
            <w:vAlign w:val="center"/>
          </w:tcPr>
          <w:p>
            <w:r/>
            <w:r>
              <w:rPr>
                <w:sz w:val="19"/>
              </w:rPr>
              <w:t>tests/test_guardrails_extended.py</w:t>
            </w:r>
          </w:p>
        </w:tc>
        <w:tc>
          <w:tcPr>
            <w:tcW w:type="dxa" w:w="2929"/>
            <w:vAlign w:val="center"/>
          </w:tcPr>
          <w:p>
            <w:r/>
            <w:r>
              <w:rPr>
                <w:sz w:val="19"/>
              </w:rPr>
              <w:t>5</w:t>
            </w:r>
          </w:p>
        </w:tc>
        <w:tc>
          <w:tcPr>
            <w:tcW w:type="dxa" w:w="2929"/>
            <w:vAlign w:val="center"/>
          </w:tcPr>
          <w:p>
            <w:r/>
            <w:r>
              <w:rPr>
                <w:sz w:val="19"/>
              </w:rPr>
              <w:t>Overrides de configuración, casos límite de P&amp;L y propuestas extremas</w:t>
            </w:r>
          </w:p>
        </w:tc>
      </w:tr>
      <w:tr>
        <w:tc>
          <w:tcPr>
            <w:tcW w:type="dxa" w:w="2929"/>
            <w:vAlign w:val="center"/>
          </w:tcPr>
          <w:p>
            <w:r/>
            <w:r>
              <w:rPr>
                <w:sz w:val="19"/>
              </w:rPr>
              <w:t>tests/test_coordinator_overrides.py</w:t>
            </w:r>
          </w:p>
        </w:tc>
        <w:tc>
          <w:tcPr>
            <w:tcW w:type="dxa" w:w="2929"/>
            <w:vAlign w:val="center"/>
          </w:tcPr>
          <w:p>
            <w:r/>
            <w:r>
              <w:rPr>
                <w:sz w:val="19"/>
              </w:rPr>
              <w:t>3</w:t>
            </w:r>
          </w:p>
        </w:tc>
        <w:tc>
          <w:tcPr>
            <w:tcW w:type="dxa" w:w="2929"/>
            <w:vAlign w:val="center"/>
          </w:tcPr>
          <w:p>
            <w:r/>
            <w:r>
              <w:rPr>
                <w:sz w:val="19"/>
              </w:rPr>
              <w:t>Prioridad PRUDENCIAL_FIRST vs. MACRO_FIRST y completitud del audit log</w:t>
            </w:r>
          </w:p>
        </w:tc>
      </w:tr>
      <w:tr>
        <w:tc>
          <w:tcPr>
            <w:tcW w:type="dxa" w:w="2929"/>
            <w:vAlign w:val="center"/>
          </w:tcPr>
          <w:p>
            <w:r/>
            <w:r>
              <w:rPr>
                <w:sz w:val="19"/>
              </w:rPr>
              <w:t>tests/test_postures_differentiation.py</w:t>
            </w:r>
          </w:p>
        </w:tc>
        <w:tc>
          <w:tcPr>
            <w:tcW w:type="dxa" w:w="2929"/>
            <w:vAlign w:val="center"/>
          </w:tcPr>
          <w:p>
            <w:r/>
            <w:r>
              <w:rPr>
                <w:sz w:val="19"/>
              </w:rPr>
              <w:t>1</w:t>
            </w:r>
          </w:p>
        </w:tc>
        <w:tc>
          <w:tcPr>
            <w:tcW w:type="dxa" w:w="2929"/>
            <w:vAlign w:val="center"/>
          </w:tcPr>
          <w:p>
            <w:r/>
            <w:r>
              <w:rPr>
                <w:sz w:val="19"/>
              </w:rPr>
              <w:t>Monotonía de ventas, capital liberado y ΔRWA entre posturas</w:t>
            </w:r>
          </w:p>
        </w:tc>
      </w:tr>
      <w:tr>
        <w:tc>
          <w:tcPr>
            <w:tcW w:type="dxa" w:w="2929"/>
            <w:vAlign w:val="center"/>
          </w:tcPr>
          <w:p>
            <w:r/>
            <w:r>
              <w:rPr>
                <w:sz w:val="19"/>
              </w:rPr>
              <w:t>tests/test_bank_ready_compliance.py</w:t>
            </w:r>
          </w:p>
        </w:tc>
        <w:tc>
          <w:tcPr>
            <w:tcW w:type="dxa" w:w="2929"/>
            <w:vAlign w:val="center"/>
          </w:tcPr>
          <w:p>
            <w:r/>
            <w:r>
              <w:rPr>
                <w:sz w:val="19"/>
              </w:rPr>
              <w:t>2</w:t>
            </w:r>
          </w:p>
        </w:tc>
        <w:tc>
          <w:tcPr>
            <w:tcW w:type="dxa" w:w="2929"/>
            <w:vAlign w:val="center"/>
          </w:tcPr>
          <w:p>
            <w:r/>
            <w:r>
              <w:rPr>
                <w:sz w:val="19"/>
              </w:rPr>
              <w:t>Presencia de columnas PTI/DSCR e identificabilidad de ventas</w:t>
            </w:r>
          </w:p>
        </w:tc>
      </w:tr>
      <w:tr>
        <w:tc>
          <w:tcPr>
            <w:tcW w:type="dxa" w:w="2929"/>
            <w:vAlign w:val="center"/>
          </w:tcPr>
          <w:p>
            <w:r/>
            <w:r>
              <w:rPr>
                <w:sz w:val="19"/>
              </w:rPr>
              <w:t>tests/test_committee_pack.py</w:t>
            </w:r>
          </w:p>
        </w:tc>
        <w:tc>
          <w:tcPr>
            <w:tcW w:type="dxa" w:w="2929"/>
            <w:vAlign w:val="center"/>
          </w:tcPr>
          <w:p>
            <w:r/>
            <w:r>
              <w:rPr>
                <w:sz w:val="19"/>
              </w:rPr>
              <w:t>4</w:t>
            </w:r>
          </w:p>
        </w:tc>
        <w:tc>
          <w:tcPr>
            <w:tcW w:type="dxa" w:w="2929"/>
            <w:vAlign w:val="center"/>
          </w:tcPr>
          <w:p>
            <w:r/>
            <w:r>
              <w:rPr>
                <w:sz w:val="19"/>
              </w:rPr>
              <w:t>Estructura del committee pack, MANIFEST.json y carpetas por postura</w:t>
            </w:r>
          </w:p>
        </w:tc>
      </w:tr>
      <w:tr>
        <w:tc>
          <w:tcPr>
            <w:tcW w:type="dxa" w:w="2929"/>
            <w:vAlign w:val="center"/>
          </w:tcPr>
          <w:p>
            <w:r/>
            <w:r>
              <w:rPr>
                <w:sz w:val="19"/>
              </w:rPr>
              <w:t>tests/test_stress_pricing_crunch_effect.py</w:t>
            </w:r>
          </w:p>
        </w:tc>
        <w:tc>
          <w:tcPr>
            <w:tcW w:type="dxa" w:w="2929"/>
            <w:vAlign w:val="center"/>
          </w:tcPr>
          <w:p>
            <w:r/>
            <w:r>
              <w:rPr>
                <w:sz w:val="19"/>
              </w:rPr>
              <w:t>4</w:t>
            </w:r>
          </w:p>
        </w:tc>
        <w:tc>
          <w:tcPr>
            <w:tcW w:type="dxa" w:w="2929"/>
            <w:vAlign w:val="center"/>
          </w:tcPr>
          <w:p>
            <w:r/>
            <w:r>
              <w:rPr>
                <w:sz w:val="19"/>
              </w:rPr>
              <w:t>Efecto del escenario pricing_crunch sobre el precio y aislamiento respecto a PD/LGD</w:t>
            </w:r>
          </w:p>
        </w:tc>
      </w:tr>
      <w:tr>
        <w:tc>
          <w:tcPr>
            <w:tcW w:type="dxa" w:w="2929"/>
            <w:vAlign w:val="center"/>
          </w:tcPr>
          <w:p>
            <w:r/>
            <w:r>
              <w:rPr>
                <w:sz w:val="19"/>
              </w:rPr>
              <w:t>tests/test_stress_summary_pricing_kpis.py</w:t>
            </w:r>
          </w:p>
        </w:tc>
        <w:tc>
          <w:tcPr>
            <w:tcW w:type="dxa" w:w="2929"/>
            <w:vAlign w:val="center"/>
          </w:tcPr>
          <w:p>
            <w:r/>
            <w:r>
              <w:rPr>
                <w:sz w:val="19"/>
              </w:rPr>
              <w:t>15</w:t>
            </w:r>
          </w:p>
        </w:tc>
        <w:tc>
          <w:tcPr>
            <w:tcW w:type="dxa" w:w="2929"/>
            <w:vAlign w:val="center"/>
          </w:tcPr>
          <w:p>
            <w:r/>
            <w:r>
              <w:rPr>
                <w:sz w:val="19"/>
              </w:rPr>
              <w:t>Cobertura de los indicadores de pricing y semántica de valores ausentes</w:t>
            </w:r>
          </w:p>
        </w:tc>
      </w:tr>
    </w:tbl>
    <w:p>
      <w:pPr>
        <w:jc w:val="center"/>
      </w:pPr>
      <w:r>
        <w:rPr>
          <w:sz w:val="20"/>
        </w:rPr>
        <w:t>Tabla H.1. Inventario del banco de pruebas (10 ficheros, 45 funciones test_*). El total cubre invariantes de restricciones, coordinación, diferenciación de posturas, estrés y conformidad con el formato del paquete entregable.</w:t>
      </w:r>
    </w:p>
    <w:p>
      <w:pPr>
        <w:pStyle w:val="Heading3"/>
      </w:pPr>
      <w:r>
        <w:t>H.1 — Política de ejecución</w:t>
      </w:r>
    </w:p>
    <w:p>
      <w:pPr/>
      <w:r>
        <w:t>Las pruebas se ejecutan automáticamente en CI sobre cada cambio del código y pueden ejecutarse localmente mediante pytest tests/ o, en versión reducida, mediante python -m tests.smoke_test. El script ci_local.bat reproduce localmente la misma secuencia que ejecuta el flujo público de CI. La trazabilidad de la ejecución queda documentada en logs/ y, para los runs asociados al paquete entregable, en el registro de control de calidad incluido en el directorio committee_pack_&lt;tag&gt;/.</w:t>
      </w:r>
    </w:p>
    <w:p>
      <w:pPr>
        <w:pStyle w:val="Heading2"/>
      </w:pPr>
      <w:r>
        <w:t>Anexo I — Glosario extendido</w:t>
      </w:r>
    </w:p>
    <w:p>
      <w:pPr/>
      <w:r>
        <w:t>Las siguientes definiciones complementan la lista de abreviaturas y siglas recogida en la Sección 2.1. Se incluyen exclusivamente los términos cuya comprensión es necesaria para seguir el texto del TFG o para localizar la implementación correspondiente en el repositorio.</w:t>
      </w:r>
    </w:p>
    <w:p>
      <w:pPr>
        <w:pStyle w:val="ListBullet"/>
      </w:pPr>
      <w:r>
        <w:rPr>
          <w:b/>
        </w:rPr>
        <w:t xml:space="preserve">Actor-Critic: </w:t>
      </w:r>
      <w:r>
        <w:t>Arquitectura empleada en PPO en la que una red comparte capas y produce, mediante cabezas independientes, la política π_θ(a|s) y la función de valor V_φ(s). Stable-Baselines3 la implementa por defecto en MlpPolicy.</w:t>
      </w:r>
    </w:p>
    <w:p>
      <w:pPr>
        <w:pStyle w:val="ListBullet"/>
      </w:pPr>
      <w:r>
        <w:rPr>
          <w:b/>
        </w:rPr>
        <w:t xml:space="preserve">Cartera NPL: </w:t>
      </w:r>
      <w:r>
        <w:t>Cartera de préstamos en situación de incumplimiento (Non-Performing Loans), definidos operacionalmente como préstamos con DPD ≥ 90 días según el Artículo 178 del CRR.</w:t>
      </w:r>
    </w:p>
    <w:p>
      <w:pPr>
        <w:pStyle w:val="ListBullet"/>
      </w:pPr>
      <w:r>
        <w:rPr>
          <w:b/>
        </w:rPr>
        <w:t xml:space="preserve">Carve-out prudencial: </w:t>
      </w:r>
      <w:r>
        <w:t>Mecanismo implementado en _apply_prudencial_carve_out() (agent/coordinator_inference.py) que relaja, bajo la postura Prudencial, la restricción macro para los préstamos con mayor potencial de mejora de EVA siempre que se respeten umbrales más estrictos de PTI y DSCR.</w:t>
      </w:r>
    </w:p>
    <w:p>
      <w:pPr>
        <w:pStyle w:val="ListBullet"/>
      </w:pPr>
      <w:r>
        <w:rPr>
          <w:b/>
        </w:rPr>
        <w:t xml:space="preserve">Committee pack: </w:t>
      </w:r>
      <w:r>
        <w:t>Paquete de documentación generado por reports/make_committee_pack.py que incluye decisiones por postura, indicadores agregados, análisis de estrés y un fichero MANIFEST.json con commit Git, versión de Python y SHA-256 de los modelos. Constituye el artefacto de entrega final del sistema.</w:t>
      </w:r>
    </w:p>
    <w:p>
      <w:pPr>
        <w:pStyle w:val="ListBullet"/>
      </w:pPr>
      <w:r>
        <w:rPr>
          <w:b/>
        </w:rPr>
        <w:t xml:space="preserve">DPD: </w:t>
      </w:r>
      <w:r>
        <w:t>Days Past Due. Días transcurridos desde el primer impago. En el sistema, la PD y la LGD se modulan en función del DPD del préstamo.</w:t>
      </w:r>
    </w:p>
    <w:p>
      <w:pPr>
        <w:pStyle w:val="ListBullet"/>
      </w:pPr>
      <w:r>
        <w:rPr>
          <w:b/>
        </w:rPr>
        <w:t xml:space="preserve">DSCR: </w:t>
      </w:r>
      <w:r>
        <w:t>Debt Service Coverage Ratio. Cociente entre los flujos de caja disponibles para el servicio de la deuda y el servicio de la deuda anualizado. El sistema exige DSCR ≥ 1,10 (constante GR_DSCR_MIN) como condición de viabilidad de la reestructuración.</w:t>
      </w:r>
    </w:p>
    <w:p>
      <w:pPr>
        <w:pStyle w:val="ListBullet"/>
      </w:pPr>
      <w:r>
        <w:rPr>
          <w:b/>
        </w:rPr>
        <w:t xml:space="preserve">Distance check: </w:t>
      </w:r>
      <w:r>
        <w:t>Verificación cuantitativa de que el resultado de una postura cumple una restricción predefinida. Los thresholds están en DISTANCE_THRESHOLDS (reports/npl_posture_analysis.py) y se evalúan mediante run_distance_checks().</w:t>
      </w:r>
    </w:p>
    <w:p>
      <w:pPr>
        <w:pStyle w:val="ListBullet"/>
      </w:pPr>
      <w:r>
        <w:rPr>
          <w:b/>
        </w:rPr>
        <w:t xml:space="preserve">Entropía de la política: </w:t>
      </w:r>
      <w:r>
        <w:t>Medida de la diversidad de las decisiones del agente. En PPO, la regularización entrópica (parámetro ent_coef) evita el colapso prematuro de la política a una decisión determinista subóptima.</w:t>
      </w:r>
    </w:p>
    <w:p>
      <w:pPr>
        <w:pStyle w:val="ListBullet"/>
      </w:pPr>
      <w:r>
        <w:rPr>
          <w:b/>
        </w:rPr>
        <w:t xml:space="preserve">EVA: </w:t>
      </w:r>
      <w:r>
        <w:t>Economic Value Added. Diferencia entre el beneficio neto y el coste del capital empleado. En el sistema se calcula como EVA = RWA · (RORWA − hurdle_rate) tanto en la generación de la cartera como en la simulación del entorno.</w:t>
      </w:r>
    </w:p>
    <w:p>
      <w:pPr>
        <w:pStyle w:val="ListBullet"/>
      </w:pPr>
      <w:r>
        <w:rPr>
          <w:b/>
        </w:rPr>
        <w:t xml:space="preserve">Fire-sale: </w:t>
      </w:r>
      <w:r>
        <w:t>Venta a un precio significativamente inferior al valor intrínseco del activo. El sistema activa el flag de fire-sale cuando el ratio precio/book cae por debajo del umbral configurado en check_sell_fire_sale (risk/gates.py).</w:t>
      </w:r>
    </w:p>
    <w:p>
      <w:pPr>
        <w:pStyle w:val="ListBullet"/>
      </w:pPr>
      <w:r>
        <w:rPr>
          <w:b/>
        </w:rPr>
        <w:t xml:space="preserve">GAE: </w:t>
      </w:r>
      <w:r>
        <w:t>Generalized Advantage Estimation. Técnica de estimación de la ventaja con parámetro gae_lambda que reduce la varianza del estimador. PPO la utiliza con gae_lambda = 0,95 en la configuración del sistema.</w:t>
      </w:r>
    </w:p>
    <w:p>
      <w:pPr>
        <w:pStyle w:val="ListBullet"/>
      </w:pPr>
      <w:r>
        <w:rPr>
          <w:b/>
        </w:rPr>
        <w:t xml:space="preserve">Hazard rate: </w:t>
      </w:r>
      <w:r>
        <w:t>Tasa instantánea de incumplimiento condicionada a la supervivencia. La parametrización empleada en el optimizador de reestructuración (SensibilidadReestructura) traduce reducciones de hazard a reducciones de PD a horizonte de 24 meses.</w:t>
      </w:r>
    </w:p>
    <w:p>
      <w:pPr>
        <w:pStyle w:val="ListBullet"/>
      </w:pPr>
      <w:r>
        <w:rPr>
          <w:b/>
        </w:rPr>
        <w:t xml:space="preserve">MDP: </w:t>
      </w:r>
      <w:r>
        <w:t>Markov Decision Process. Marco matemático (S, A, P, R, γ) para problemas de decisión secuencial bajo incertidumbre. El entorno LoanEnv y el entorno PortfolioEnv instancian sendos MDPs con espacios de acción discretos.</w:t>
      </w:r>
    </w:p>
    <w:p>
      <w:pPr>
        <w:pStyle w:val="ListBullet"/>
      </w:pPr>
      <w:r>
        <w:rPr>
          <w:b/>
        </w:rPr>
        <w:t xml:space="preserve">MLP: </w:t>
      </w:r>
      <w:r>
        <w:t>Multi-Layer Perceptron. Arquitectura empleada en este TFG con dos capas ocultas de 256 unidades y activación ReLU (net_arch = [256, 256] en PPOParams).</w:t>
      </w:r>
    </w:p>
    <w:p>
      <w:pPr>
        <w:pStyle w:val="ListBullet"/>
      </w:pPr>
      <w:r>
        <w:rPr>
          <w:b/>
        </w:rPr>
        <w:t xml:space="preserve">On-policy: </w:t>
      </w:r>
      <w:r>
        <w:t>Familia de algoritmos de aprendizaje por refuerzo, a la que pertenece PPO, en los que la actualización utiliza únicamente datos generados por la política actual. La consecuencia operativa es la necesidad de recoger nuevos rollouts en cada iteración.</w:t>
      </w:r>
    </w:p>
    <w:p>
      <w:pPr>
        <w:pStyle w:val="ListBullet"/>
      </w:pPr>
      <w:r>
        <w:rPr>
          <w:b/>
        </w:rPr>
        <w:t xml:space="preserve">PPO: </w:t>
      </w:r>
      <w:r>
        <w:t>Proximal Policy Optimization (Schulman et al., 2017). Algoritmo on-policy que combina el clipping del ratio de importancia con el descenso por gradiente. Es el estándar de Stable-Baselines3 para acciones discretas y constituye el núcleo del sistema.</w:t>
      </w:r>
    </w:p>
    <w:p>
      <w:pPr>
        <w:pStyle w:val="ListBullet"/>
      </w:pPr>
      <w:r>
        <w:rPr>
          <w:b/>
        </w:rPr>
        <w:t xml:space="preserve">PTI: </w:t>
      </w:r>
      <w:r>
        <w:t>Payment To Income. Cociente entre la cuota del préstamo y los ingresos del deudor. El sistema impone PTI ≤ 0,45 (constante GR_PTI_MAX) como condición de viabilidad.</w:t>
      </w:r>
    </w:p>
    <w:p>
      <w:pPr>
        <w:pStyle w:val="ListBullet"/>
      </w:pPr>
      <w:r>
        <w:rPr>
          <w:b/>
        </w:rPr>
        <w:t xml:space="preserve">Reestructuración financiera: </w:t>
      </w:r>
      <w:r>
        <w:t>Modificación contractual del préstamo (plazo, tipo y/o quita) para hacer viable el servicio de la deuda. En el sistema, la reestructuración óptima se obtiene mediante optimize_restructure() sobre 216 combinaciones de la rejilla definida en ReestructuraParams.</w:t>
      </w:r>
    </w:p>
    <w:p>
      <w:pPr>
        <w:pStyle w:val="ListBullet"/>
      </w:pPr>
      <w:r>
        <w:rPr>
          <w:b/>
        </w:rPr>
        <w:t xml:space="preserve">RORWA: </w:t>
      </w:r>
      <w:r>
        <w:t>Return on Risk-Weighted Assets. Cociente entre el beneficio neto y los activos ponderados por riesgo. Un RORWA igual al hurdle_rate corresponde a EVA = 0.</w:t>
      </w:r>
    </w:p>
    <w:p>
      <w:pPr>
        <w:pStyle w:val="ListBullet"/>
      </w:pPr>
      <w:r>
        <w:rPr>
          <w:b/>
        </w:rPr>
        <w:t xml:space="preserve">RWA: </w:t>
      </w:r>
      <w:r>
        <w:t>Risk-Weighted Assets. Producto EAD · RW. La reducción de RWA mediante curación o desinversión es uno de los efectos clave que el sistema persigue.</w:t>
      </w:r>
    </w:p>
    <w:p>
      <w:pPr>
        <w:pStyle w:val="ListBullet"/>
      </w:pPr>
      <w:r>
        <w:rPr>
          <w:b/>
        </w:rPr>
        <w:t xml:space="preserve">VecNormalize: </w:t>
      </w:r>
      <w:r>
        <w:t>Wrapper de Stable-Baselines3 que normaliza observaciones y recompensas con estadísticos exponencialmente ponderados. Su estado se persiste en vecnormalize_&lt;agente&gt;_&lt;postura&gt;.pkl y debe cargarse en inferencia para garantizar coherencia con el entrenamiento.</w:t>
      </w:r>
    </w:p>
    <w:p>
      <w:pPr>
        <w:pStyle w:val="Heading2"/>
      </w:pPr>
      <w:r>
        <w:t>Anexo J — Validaciones complementarias propuestas</w:t>
      </w:r>
    </w:p>
    <w:p>
      <w:pPr/>
      <w:r>
        <w:t>Los anexos J, K, L y N recogen análisis complementarios cuya ejecución completa excede el alcance temporal del TFG. Para preservar la coherencia con el repositorio y la trazabilidad académica del trabajo, estos análisis se documentan a continuación como protocolos metodológicos propuestos, indicando para cada uno el diseño experimental, los criterios de evaluación y las dependencias respecto al pipeline implementado. Su realización forma parte de las líneas de trabajo futuras enumeradas en la Sección 5.3.</w:t>
      </w:r>
    </w:p>
    <w:p>
      <w:pPr>
        <w:pStyle w:val="Heading3"/>
      </w:pPr>
      <w:r>
        <w:t>J.1 — Estudio comparativo de algoritmos de aprendizaje por refuerzo</w:t>
      </w:r>
    </w:p>
    <w:p>
      <w:pPr/>
      <w:r>
        <w:t>El benchmark comparativo entre PPO y algoritmos alternativos (DQN, A2C, SAC-Discrete y RecurrentPPO) no está implementado en la versión actual del repositorio: únicamente se entrena y se evalúa PPO sobre los entornos LoanEnv y PortfolioEnv. El protocolo propuesto consiste en entrenar cada algoritmo sobre LoanEnv durante un número equivalente de timesteps y con un mínimo de cinco semillas independientes, evaluando la recompensa media, su coeficiente de variación, el EVA total alcanzado en inferencia y el número de distance checks que la política supera. La selección final de PPO en este TFG se basa en su estabilidad numérica en espacios discretos de baja cardinalidad y en su disponibilidad estándar en Stable-Baselines3, no en una comparación empírica frente a estos cuatro algoritmos.</w:t>
      </w:r>
    </w:p>
    <w:p>
      <w:pPr>
        <w:pStyle w:val="Heading2"/>
      </w:pPr>
      <w:r>
        <w:t>Anexo K — Ablación de la función de recompensa (protocolo propuesto)</w:t>
      </w:r>
    </w:p>
    <w:p>
      <w:pPr/>
      <w:r>
        <w:t>La función de recompensa del entorno LoanEnv (env/loan_env.py) combina hasta doce componentes definidos en RewardParams (Anexo B.5), incluyendo bonificaciones condicionales por acción coherente, la penalización por venta fire-sale y la penalización por colapso de modo. El repositorio no contiene un script dedicado de ablación; el protocolo propuesto consiste en lanzar configuraciones que anulen sucesivamente los pesos w_eva, w_capital, penalty_fire_sale, los bonos condicionales y los costes de transacción, entrenando PPO con los mismos hiperparámetros (Tabla B.4) y comparando la diferenciación entre posturas, el porcentaje de distance checks superados y el número de ventas fire-sale generadas. Este protocolo permitiría cuantificar la contribución marginal de cada componente y validar empíricamente las decisiones de diseño descritas en la Sección 3.4.</w:t>
      </w:r>
    </w:p>
    <w:p>
      <w:pPr>
        <w:pStyle w:val="Heading2"/>
      </w:pPr>
      <w:r>
        <w:t>Anexo L — Robustez de la política (protocolo propuesto)</w:t>
      </w:r>
    </w:p>
    <w:p>
      <w:pPr/>
      <w:r>
        <w:t>La robustez de la política a perturbaciones sobre las características del préstamo (PD, LGD, EAD, DPD) no se evalúa actualmente como bloque independiente; las perturbaciones que sí ejercita el pipeline son las definidas en configs/stress_scenarios.yaml y aplicadas por engines/stress_engine.py. El protocolo propuesto consiste en perturbar las componentes del vector de estado con un coeficiente de variación fijo (10%, 20%, 30%) y comparar, para cada préstamo, la fracción de perturbaciones en las que la acción dominante cambia (Change in Action Dominance, CAD). Este análisis sería análogo al estudio de sensibilidad implementado en engines/sensitivities_engine.py pero a nivel de característica individual del préstamo y debería integrarse como nuevo módulo en engines/ siguiendo el patrón existente.</w:t>
      </w:r>
    </w:p>
    <w:p>
      <w:pPr>
        <w:pStyle w:val="Heading2"/>
      </w:pPr>
      <w:r>
        <w:t>Anexo M — Mapeo regulatorio</w:t>
      </w:r>
    </w:p>
    <w:p>
      <w:pPr/>
      <w:r>
        <w:t>Este anexo documenta la alineación del sistema con los principales requerimientos regulatorios europeos relevantes para la gestión de carteras NPL. El objetivo es proporcionar a un equipo de Riesgos o de Cumplimiento una visión sintética sobre qué componentes del sistema cubren cada requerimiento y cuáles requerirían complementación con los sistemas contables y de valoración de la entidad para su despliegue productivo.</w:t>
      </w:r>
    </w:p>
    <w:p>
      <w:pPr>
        <w:pStyle w:val="Heading3"/>
      </w:pPr>
      <w:r>
        <w:t>M.1 — Alineación con las directrices EBA/GL/2018/06</w:t>
      </w:r>
    </w:p>
    <w:tbl>
      <w:tblPr>
        <w:tblStyle w:val="LightGrid-Accent1"/>
        <w:tblW w:type="auto" w:w="0"/>
        <w:tblLook w:firstColumn="1" w:firstRow="1" w:lastColumn="0" w:lastRow="0" w:noHBand="0" w:noVBand="1" w:val="04A0"/>
      </w:tblPr>
      <w:tblGrid>
        <w:gridCol w:w="2929"/>
        <w:gridCol w:w="2929"/>
        <w:gridCol w:w="2929"/>
      </w:tblGrid>
      <w:tr>
        <w:tc>
          <w:tcPr>
            <w:tcW w:type="dxa" w:w="2929"/>
            <w:vAlign w:val="center"/>
          </w:tcPr>
          <w:p>
            <w:r/>
            <w:r>
              <w:rPr>
                <w:b/>
                <w:sz w:val="20"/>
              </w:rPr>
              <w:t>Requerimiento EBA</w:t>
            </w:r>
          </w:p>
        </w:tc>
        <w:tc>
          <w:tcPr>
            <w:tcW w:type="dxa" w:w="2929"/>
            <w:vAlign w:val="center"/>
          </w:tcPr>
          <w:p>
            <w:r/>
            <w:r>
              <w:rPr>
                <w:b/>
                <w:sz w:val="20"/>
              </w:rPr>
              <w:t>Componente del sistema</w:t>
            </w:r>
          </w:p>
        </w:tc>
        <w:tc>
          <w:tcPr>
            <w:tcW w:type="dxa" w:w="2929"/>
            <w:vAlign w:val="center"/>
          </w:tcPr>
          <w:p>
            <w:r/>
            <w:r>
              <w:rPr>
                <w:b/>
                <w:sz w:val="20"/>
              </w:rPr>
              <w:t>Estado</w:t>
            </w:r>
          </w:p>
        </w:tc>
      </w:tr>
      <w:tr>
        <w:tc>
          <w:tcPr>
            <w:tcW w:type="dxa" w:w="2929"/>
            <w:vAlign w:val="center"/>
          </w:tcPr>
          <w:p>
            <w:r/>
            <w:r>
              <w:rPr>
                <w:sz w:val="19"/>
              </w:rPr>
              <w:t>Estrategia NPL documentada y aprobada por el órgano de dirección</w:t>
            </w:r>
          </w:p>
        </w:tc>
        <w:tc>
          <w:tcPr>
            <w:tcW w:type="dxa" w:w="2929"/>
            <w:vAlign w:val="center"/>
          </w:tcPr>
          <w:p>
            <w:r/>
            <w:r>
              <w:rPr>
                <w:sz w:val="19"/>
              </w:rPr>
              <w:t>Posturas Prudencial, Balanceado y Desinversión formalizadas en BankStrategy con objetivos cuantitativos</w:t>
            </w:r>
          </w:p>
        </w:tc>
        <w:tc>
          <w:tcPr>
            <w:tcW w:type="dxa" w:w="2929"/>
            <w:vAlign w:val="center"/>
          </w:tcPr>
          <w:p>
            <w:r/>
            <w:r>
              <w:rPr>
                <w:sz w:val="19"/>
              </w:rPr>
              <w:t>Cubierto</w:t>
            </w:r>
          </w:p>
        </w:tc>
      </w:tr>
      <w:tr>
        <w:tc>
          <w:tcPr>
            <w:tcW w:type="dxa" w:w="2929"/>
            <w:vAlign w:val="center"/>
          </w:tcPr>
          <w:p>
            <w:r/>
            <w:r>
              <w:rPr>
                <w:sz w:val="19"/>
              </w:rPr>
              <w:t>Planes operacionales NPL con objetivos cuantitativos</w:t>
            </w:r>
          </w:p>
        </w:tc>
        <w:tc>
          <w:tcPr>
            <w:tcW w:type="dxa" w:w="2929"/>
            <w:vAlign w:val="center"/>
          </w:tcPr>
          <w:p>
            <w:r/>
            <w:r>
              <w:rPr>
                <w:sz w:val="19"/>
              </w:rPr>
              <w:t>Indicadores agregados por postura exportados en el committee pack</w:t>
            </w:r>
          </w:p>
        </w:tc>
        <w:tc>
          <w:tcPr>
            <w:tcW w:type="dxa" w:w="2929"/>
            <w:vAlign w:val="center"/>
          </w:tcPr>
          <w:p>
            <w:r/>
            <w:r>
              <w:rPr>
                <w:sz w:val="19"/>
              </w:rPr>
              <w:t>Cubierto</w:t>
            </w:r>
          </w:p>
        </w:tc>
      </w:tr>
      <w:tr>
        <w:tc>
          <w:tcPr>
            <w:tcW w:type="dxa" w:w="2929"/>
            <w:vAlign w:val="center"/>
          </w:tcPr>
          <w:p>
            <w:r/>
            <w:r>
              <w:rPr>
                <w:sz w:val="19"/>
              </w:rPr>
              <w:t>Marco de gobernanza con funciones de control independiente</w:t>
            </w:r>
          </w:p>
        </w:tc>
        <w:tc>
          <w:tcPr>
            <w:tcW w:type="dxa" w:w="2929"/>
            <w:vAlign w:val="center"/>
          </w:tcPr>
          <w:p>
            <w:r/>
            <w:r>
              <w:rPr>
                <w:sz w:val="19"/>
              </w:rPr>
              <w:t>Cascada de overrides y carve-outs implementada en agent/coordinator_inference.py como control independiente sobre el agente</w:t>
            </w:r>
          </w:p>
        </w:tc>
        <w:tc>
          <w:tcPr>
            <w:tcW w:type="dxa" w:w="2929"/>
            <w:vAlign w:val="center"/>
          </w:tcPr>
          <w:p>
            <w:r/>
            <w:r>
              <w:rPr>
                <w:sz w:val="19"/>
              </w:rPr>
              <w:t>Cubierto</w:t>
            </w:r>
          </w:p>
        </w:tc>
      </w:tr>
      <w:tr>
        <w:tc>
          <w:tcPr>
            <w:tcW w:type="dxa" w:w="2929"/>
            <w:vAlign w:val="center"/>
          </w:tcPr>
          <w:p>
            <w:r/>
            <w:r>
              <w:rPr>
                <w:sz w:val="19"/>
              </w:rPr>
              <w:t>Capacidades de seguimiento de calidad de datos NPL</w:t>
            </w:r>
          </w:p>
        </w:tc>
        <w:tc>
          <w:tcPr>
            <w:tcW w:type="dxa" w:w="2929"/>
            <w:vAlign w:val="center"/>
          </w:tcPr>
          <w:p>
            <w:r/>
            <w:r>
              <w:rPr>
                <w:sz w:val="19"/>
              </w:rPr>
              <w:t>Sanity checks (data/sanity_generator_checks.py) y manifiesto reproducible con SHA-256 (reports/make_committee_pack.py)</w:t>
            </w:r>
          </w:p>
        </w:tc>
        <w:tc>
          <w:tcPr>
            <w:tcW w:type="dxa" w:w="2929"/>
            <w:vAlign w:val="center"/>
          </w:tcPr>
          <w:p>
            <w:r/>
            <w:r>
              <w:rPr>
                <w:sz w:val="19"/>
              </w:rPr>
              <w:t>Cubierto</w:t>
            </w:r>
          </w:p>
        </w:tc>
      </w:tr>
      <w:tr>
        <w:tc>
          <w:tcPr>
            <w:tcW w:type="dxa" w:w="2929"/>
            <w:vAlign w:val="center"/>
          </w:tcPr>
          <w:p>
            <w:r/>
            <w:r>
              <w:rPr>
                <w:sz w:val="19"/>
              </w:rPr>
              <w:t>Valoración periódica de garantías</w:t>
            </w:r>
          </w:p>
        </w:tc>
        <w:tc>
          <w:tcPr>
            <w:tcW w:type="dxa" w:w="2929"/>
            <w:vAlign w:val="center"/>
          </w:tcPr>
          <w:p>
            <w:r/>
            <w:r>
              <w:rPr>
                <w:sz w:val="19"/>
              </w:rPr>
              <w:t>Modelo de precio en optimizer/price_simulator.py con parámetros actualizables por sesión</w:t>
            </w:r>
          </w:p>
        </w:tc>
        <w:tc>
          <w:tcPr>
            <w:tcW w:type="dxa" w:w="2929"/>
            <w:vAlign w:val="center"/>
          </w:tcPr>
          <w:p>
            <w:r/>
            <w:r>
              <w:rPr>
                <w:sz w:val="19"/>
              </w:rPr>
              <w:t>Parcial</w:t>
            </w:r>
          </w:p>
        </w:tc>
      </w:tr>
      <w:tr>
        <w:tc>
          <w:tcPr>
            <w:tcW w:type="dxa" w:w="2929"/>
            <w:vAlign w:val="center"/>
          </w:tcPr>
          <w:p>
            <w:r/>
            <w:r>
              <w:rPr>
                <w:sz w:val="19"/>
              </w:rPr>
              <w:t>Provisiones adecuadas y oportunas</w:t>
            </w:r>
          </w:p>
        </w:tc>
        <w:tc>
          <w:tcPr>
            <w:tcW w:type="dxa" w:w="2929"/>
            <w:vAlign w:val="center"/>
          </w:tcPr>
          <w:p>
            <w:r/>
            <w:r>
              <w:rPr>
                <w:sz w:val="19"/>
              </w:rPr>
              <w:t>Pérdida esperada por préstamo; el sistema no gestiona la dotación contable</w:t>
            </w:r>
          </w:p>
        </w:tc>
        <w:tc>
          <w:tcPr>
            <w:tcW w:type="dxa" w:w="2929"/>
            <w:vAlign w:val="center"/>
          </w:tcPr>
          <w:p>
            <w:r/>
            <w:r>
              <w:rPr>
                <w:sz w:val="19"/>
              </w:rPr>
              <w:t>Parcial</w:t>
            </w:r>
          </w:p>
        </w:tc>
      </w:tr>
      <w:tr>
        <w:tc>
          <w:tcPr>
            <w:tcW w:type="dxa" w:w="2929"/>
            <w:vAlign w:val="center"/>
          </w:tcPr>
          <w:p>
            <w:r/>
            <w:r>
              <w:rPr>
                <w:sz w:val="19"/>
              </w:rPr>
              <w:t>Informes regulares al órgano de dirección</w:t>
            </w:r>
          </w:p>
        </w:tc>
        <w:tc>
          <w:tcPr>
            <w:tcW w:type="dxa" w:w="2929"/>
            <w:vAlign w:val="center"/>
          </w:tcPr>
          <w:p>
            <w:r/>
            <w:r>
              <w:rPr>
                <w:sz w:val="19"/>
              </w:rPr>
              <w:t>Committee pack con análisis por postura</w:t>
            </w:r>
          </w:p>
        </w:tc>
        <w:tc>
          <w:tcPr>
            <w:tcW w:type="dxa" w:w="2929"/>
            <w:vAlign w:val="center"/>
          </w:tcPr>
          <w:p>
            <w:r/>
            <w:r>
              <w:rPr>
                <w:sz w:val="19"/>
              </w:rPr>
              <w:t>Cubierto</w:t>
            </w:r>
          </w:p>
        </w:tc>
      </w:tr>
      <w:tr>
        <w:tc>
          <w:tcPr>
            <w:tcW w:type="dxa" w:w="2929"/>
            <w:vAlign w:val="center"/>
          </w:tcPr>
          <w:p>
            <w:r/>
            <w:r>
              <w:rPr>
                <w:sz w:val="19"/>
              </w:rPr>
              <w:t>Divulgación de información NPL (Pilar 3)</w:t>
            </w:r>
          </w:p>
        </w:tc>
        <w:tc>
          <w:tcPr>
            <w:tcW w:type="dxa" w:w="2929"/>
            <w:vAlign w:val="center"/>
          </w:tcPr>
          <w:p>
            <w:r/>
            <w:r>
              <w:rPr>
                <w:sz w:val="19"/>
              </w:rPr>
              <w:t>Indicadores exportados en formatos estándar (Excel)</w:t>
            </w:r>
          </w:p>
        </w:tc>
        <w:tc>
          <w:tcPr>
            <w:tcW w:type="dxa" w:w="2929"/>
            <w:vAlign w:val="center"/>
          </w:tcPr>
          <w:p>
            <w:r/>
            <w:r>
              <w:rPr>
                <w:sz w:val="19"/>
              </w:rPr>
              <w:t>Cubierto</w:t>
            </w:r>
          </w:p>
        </w:tc>
      </w:tr>
    </w:tbl>
    <w:p>
      <w:pPr>
        <w:jc w:val="center"/>
      </w:pPr>
      <w:r>
        <w:rPr>
          <w:sz w:val="20"/>
        </w:rPr>
        <w:t>Tabla M.1. Mapeo del sistema con los requerimientos principales de las directrices EBA/GL/2018/06. Los elementos calificados como Parcial requieren complementación con los sistemas contables y de valoración de la entidad.</w:t>
      </w:r>
    </w:p>
    <w:p>
      <w:pPr>
        <w:pStyle w:val="Heading3"/>
      </w:pPr>
      <w:r>
        <w:t>M.2 — Alineación con la Guía del BCE sobre NPL</w:t>
      </w:r>
    </w:p>
    <w:p>
      <w:pPr/>
      <w:r>
        <w:t>Estrategia diferenciada por segmento. El sistema implementa explícitamente esta diferenciación: el vector de estado incorpora el segmento regulatorio y la calidad crediticia del préstamo y las posturas (BankStrategy) particularizan umbrales y pesos.</w:t>
      </w:r>
    </w:p>
    <w:p>
      <w:pPr/>
      <w:r>
        <w:t>Capacidad de análisis individual. Todas las decisiones se toman a nivel de préstamo, con métricas pre y post y un código de motivo individual documentado en el exportable decisiones_finales_&lt;postura&gt;.xlsx.</w:t>
      </w:r>
    </w:p>
    <w:p>
      <w:pPr/>
      <w:r>
        <w:t>Viabilidad del deudor como criterio de reestructuración. El sistema lo implementa como restricción dura (GR_PTI_MAX y GR_DSCR_MIN) verificada por check_restruct_viability (risk/gates.py).</w:t>
      </w:r>
    </w:p>
    <w:p>
      <w:pPr/>
      <w:r>
        <w:t>Provisiones adecuadas antes de venta. El sistema no gestiona la dotación contable, pero la función de recompensa penaliza las ventas con resultado contable extremadamente negativo a través de penalty_fire_sale y de los guardrails de pérdida máxima por venta (GR_SELL_MAX_FIRE_SALE_LOSS_PCT_EAD_PRUDENCIAL).</w:t>
      </w:r>
    </w:p>
    <w:p>
      <w:pPr>
        <w:pStyle w:val="Heading3"/>
      </w:pPr>
      <w:r>
        <w:t>M.3 — Consideraciones bajo CRR3 / Basilea IV</w:t>
      </w:r>
    </w:p>
    <w:p>
      <w:pPr/>
      <w:r>
        <w:t>El sistema adopta el Método Estándar revisado para las exposiciones en default, con RW = 100% para cobertura de provisiones ≥ 20% del EAD no colateralizado y RW = 150% en caso contrario, valores recogidos en BaselSTDMapping (config.py). El suelo de capital del 72,5% propio de Basilea IV no es vinculante en el modelo simplificado del presente trabajo, dado que únicamente se emplea el Método Estándar; su efecto adquiriría relevancia en una extensión IRB del sistema, recogida en la Sección 5.3.</w:t>
      </w:r>
    </w:p>
    <w:p>
      <w:pPr>
        <w:pStyle w:val="Heading2"/>
      </w:pPr>
      <w:r>
        <w:t>Anexo N — Validación estadística de hipótesis (protocolo propuesto)</w:t>
      </w:r>
    </w:p>
    <w:p>
      <w:pPr/>
      <w:r>
        <w:t>La validación estadística formal de las sub-hipótesis del trabajo (H1a, H1b y H1c) mediante tests no paramétricos (Kruskal-Wallis, Wilcoxon emparejado, MANOVA) no está implementada en el repositorio. El protocolo propuesto consiste en ejecutar el pipeline con un mínimo de cincuenta semillas independientes y aplicar, sobre los exportables decisiones_finales_&lt;postura&gt;.xlsx agregados, los tests siguientes: Kruskal-Wallis para comparar la distribución de la recompensa entre PPO y las baselines existentes (baselines/baseline_policies.py), Wilcoxon emparejado por préstamo para contrastar la optimización individual frente a una asignación uniforme y MANOVA para verificar la separabilidad estadística de las tres posturas sobre tres indicadores conjuntos (tasa de venta, capital liberado, EVA agregado). El control de la familia de tests se realizaría mediante corrección de Bonferroni. La incorporación de este análisis al pipeline requeriría únicamente un nuevo script en reports/ que invoque scipy.stats y statsmodels sobre los exportables existentes.</w:t>
      </w:r>
    </w:p>
    <w:sectPr w:rsidR="004B0793" w:rsidRPr="004B0793" w:rsidSect="00034616">
      <w:headerReference w:type="default" r:id="rId51"/>
      <w:footerReference w:type="default" r:id="rId52"/>
      <w:pgSz w:w="11906" w:h="16838"/>
      <w:pgMar w:top="1701" w:right="1417" w:bottom="1417"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95B88" w14:textId="77777777" w:rsidR="008C4695" w:rsidRPr="00EE4A1A" w:rsidRDefault="008C4695">
      <w:pPr>
        <w:spacing w:after="0" w:line="240" w:lineRule="auto"/>
      </w:pPr>
      <w:r w:rsidRPr="00EE4A1A">
        <w:separator/>
      </w:r>
    </w:p>
  </w:endnote>
  <w:endnote w:type="continuationSeparator" w:id="0">
    <w:p w14:paraId="73F0B49F" w14:textId="77777777" w:rsidR="008C4695" w:rsidRPr="00EE4A1A" w:rsidRDefault="008C4695">
      <w:pPr>
        <w:spacing w:after="0" w:line="240" w:lineRule="auto"/>
      </w:pPr>
      <w:r w:rsidRPr="00EE4A1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E656F" w14:textId="77777777" w:rsidR="00C43E95" w:rsidRDefault="00C43E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86F6" w14:textId="77777777" w:rsidR="00385291" w:rsidRPr="00EE4A1A" w:rsidRDefault="00146CC0">
    <w:r w:rsidRPr="00EE4A1A">
      <w:ptab w:relativeTo="margin" w:alignment="center" w:leader="none"/>
    </w:r>
    <w:r w:rsidRPr="00EE4A1A">
      <w:t>José María Fernández-Ladreda Ballvé</w:t>
    </w:r>
    <w:r w:rsidRPr="00EE4A1A">
      <w:ptab w:relativeTo="margin" w:alignment="right" w:leader="none"/>
    </w:r>
    <w:r w:rsidRPr="00EE4A1A">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49F9" w14:textId="77777777" w:rsidR="00385291" w:rsidRPr="00EE4A1A" w:rsidRDefault="00146CC0">
    <w:r w:rsidRPr="00EE4A1A">
      <w:ptab w:relativeTo="margin" w:alignment="center" w:leader="none"/>
    </w:r>
    <w:r w:rsidRPr="00EE4A1A">
      <w:t>José María Fernández-Ladreda Ballvé</w:t>
    </w:r>
    <w:r w:rsidRPr="00EE4A1A">
      <w:ptab w:relativeTo="margin" w:alignment="right" w:leader="none"/>
    </w:r>
    <w:r w:rsidRPr="00EE4A1A">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58D30" w14:textId="77777777" w:rsidR="008C4695" w:rsidRPr="00EE4A1A" w:rsidRDefault="008C4695">
      <w:pPr>
        <w:spacing w:after="0" w:line="240" w:lineRule="auto"/>
      </w:pPr>
      <w:r w:rsidRPr="00EE4A1A">
        <w:separator/>
      </w:r>
    </w:p>
  </w:footnote>
  <w:footnote w:type="continuationSeparator" w:id="0">
    <w:p w14:paraId="016C1ADF" w14:textId="77777777" w:rsidR="008C4695" w:rsidRPr="00EE4A1A" w:rsidRDefault="008C4695">
      <w:pPr>
        <w:spacing w:after="0" w:line="240" w:lineRule="auto"/>
      </w:pPr>
      <w:r w:rsidRPr="00EE4A1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FF4CD" w14:textId="77777777" w:rsidR="00C43E95" w:rsidRDefault="00C43E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B65E" w14:textId="77777777" w:rsidR="00385291" w:rsidRPr="00EE4A1A" w:rsidRDefault="003852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B5A18" w14:textId="77777777" w:rsidR="00385291" w:rsidRPr="00EE4A1A" w:rsidRDefault="00146CC0">
    <w:pPr>
      <w:pStyle w:val="Header"/>
      <w:spacing w:line="360" w:lineRule="auto"/>
      <w:jc w:val="right"/>
    </w:pPr>
    <w:r w:rsidRPr="00EE4A1A">
      <w:rPr>
        <w:noProof/>
      </w:rPr>
      <w:drawing>
        <wp:anchor distT="0" distB="0" distL="114300" distR="114300" simplePos="0" relativeHeight="251658240" behindDoc="1" locked="0" layoutInCell="1" allowOverlap="1" wp14:anchorId="23D83944" wp14:editId="3919A146">
          <wp:simplePos x="0" y="0"/>
          <wp:positionH relativeFrom="margin">
            <wp:align>left</wp:align>
          </wp:positionH>
          <wp:positionV relativeFrom="paragraph">
            <wp:posOffset>38516</wp:posOffset>
          </wp:positionV>
          <wp:extent cx="1562424" cy="538480"/>
          <wp:effectExtent l="0" t="0" r="0" b="0"/>
          <wp:wrapNone/>
          <wp:docPr id="999" name="Head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HeaderLogo"/>
                  <pic:cNvPicPr/>
                </pic:nvPicPr>
                <pic:blipFill>
                  <a:blip r:embed="rId1"/>
                  <a:stretch>
                    <a:fillRect/>
                  </a:stretch>
                </pic:blipFill>
                <pic:spPr>
                  <a:xfrm>
                    <a:off x="0" y="0"/>
                    <a:ext cx="1562424" cy="538480"/>
                  </a:xfrm>
                  <a:prstGeom prst="rect">
                    <a:avLst/>
                  </a:prstGeom>
                </pic:spPr>
              </pic:pic>
            </a:graphicData>
          </a:graphic>
        </wp:anchor>
      </w:drawing>
    </w:r>
    <w:r w:rsidRPr="00EE4A1A">
      <w:rPr>
        <w:sz w:val="18"/>
      </w:rPr>
      <w:t>Universidad de Oviedo – Escuela Politécnica de Ingeniería de Gijón</w:t>
    </w:r>
  </w:p>
  <w:p w14:paraId="4B0C1E7D" w14:textId="77777777" w:rsidR="00385291" w:rsidRPr="00EE4A1A" w:rsidRDefault="00146CC0">
    <w:pPr>
      <w:jc w:val="right"/>
    </w:pPr>
    <w:r w:rsidRPr="00EE4A1A">
      <w:rPr>
        <w:sz w:val="18"/>
      </w:rPr>
      <w:t>Gestión óptima de carteras en default con aprendizaje por</w:t>
    </w:r>
  </w:p>
  <w:p w14:paraId="2AFA7E19" w14:textId="7B44CCAB" w:rsidR="00385291" w:rsidRPr="00EE4A1A" w:rsidRDefault="00146CC0">
    <w:pPr>
      <w:jc w:val="right"/>
    </w:pPr>
    <w:r w:rsidRPr="00EE4A1A">
      <w:rPr>
        <w:sz w:val="18"/>
      </w:rPr>
      <w:t xml:space="preserve"> refuerzo y optimización matemática- Página </w:t>
    </w:r>
    <w:r w:rsidRPr="00EE4A1A">
      <w:rPr>
        <w:sz w:val="18"/>
      </w:rPr>
      <w:fldChar w:fldCharType="begin"/>
    </w:r>
    <w:r w:rsidRPr="00EE4A1A">
      <w:rPr>
        <w:sz w:val="18"/>
      </w:rPr>
      <w:instrText xml:space="preserve"> PAGE  \* Arabic \* MERGEFORMAT</w:instrText>
    </w:r>
    <w:r w:rsidRPr="00EE4A1A">
      <w:rPr>
        <w:sz w:val="18"/>
      </w:rPr>
      <w:fldChar w:fldCharType="separate"/>
    </w:r>
    <w:r w:rsidR="006E0249" w:rsidRPr="00EE4A1A">
      <w:rPr>
        <w:sz w:val="18"/>
      </w:rPr>
      <w:t>1</w:t>
    </w:r>
    <w:r w:rsidRPr="00EE4A1A">
      <w:rPr>
        <w:sz w:val="18"/>
      </w:rPr>
      <w:fldChar w:fldCharType="end"/>
    </w:r>
    <w:r w:rsidRPr="00EE4A1A">
      <w:rPr>
        <w:sz w:val="18"/>
      </w:rPr>
      <w:t xml:space="preserve"> de </w:t>
    </w:r>
    <w:r w:rsidRPr="00EE4A1A">
      <w:rPr>
        <w:sz w:val="18"/>
      </w:rPr>
      <w:fldChar w:fldCharType="begin"/>
    </w:r>
    <w:r w:rsidRPr="00EE4A1A">
      <w:rPr>
        <w:sz w:val="18"/>
      </w:rPr>
      <w:instrText xml:space="preserve"> NUMPAGES </w:instrText>
    </w:r>
    <w:r w:rsidRPr="00EE4A1A">
      <w:rPr>
        <w:sz w:val="18"/>
      </w:rPr>
      <w:fldChar w:fldCharType="separate"/>
    </w:r>
    <w:r w:rsidR="006E0249" w:rsidRPr="00EE4A1A">
      <w:rPr>
        <w:sz w:val="18"/>
      </w:rPr>
      <w:t>4</w:t>
    </w:r>
    <w:r w:rsidRPr="00EE4A1A">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D664B2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C4515"/>
    <w:multiLevelType w:val="hybridMultilevel"/>
    <w:tmpl w:val="154443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06F2831"/>
    <w:multiLevelType w:val="hybridMultilevel"/>
    <w:tmpl w:val="3084C1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5366889"/>
    <w:multiLevelType w:val="multilevel"/>
    <w:tmpl w:val="1540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B6928"/>
    <w:multiLevelType w:val="multilevel"/>
    <w:tmpl w:val="D6E6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47761"/>
    <w:multiLevelType w:val="hybridMultilevel"/>
    <w:tmpl w:val="506240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A97536D"/>
    <w:multiLevelType w:val="hybridMultilevel"/>
    <w:tmpl w:val="66600798"/>
    <w:lvl w:ilvl="0" w:tplc="C48CE80A">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9847161"/>
    <w:multiLevelType w:val="hybridMultilevel"/>
    <w:tmpl w:val="C65C66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9C4404"/>
    <w:multiLevelType w:val="hybridMultilevel"/>
    <w:tmpl w:val="6E808C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0BD0E7F"/>
    <w:multiLevelType w:val="hybridMultilevel"/>
    <w:tmpl w:val="98D0DC1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C001666"/>
    <w:multiLevelType w:val="multilevel"/>
    <w:tmpl w:val="0D1A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262D7C"/>
    <w:multiLevelType w:val="multilevel"/>
    <w:tmpl w:val="6548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865E84"/>
    <w:multiLevelType w:val="multilevel"/>
    <w:tmpl w:val="7AAA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CA7197"/>
    <w:multiLevelType w:val="multilevel"/>
    <w:tmpl w:val="F9DE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665917">
    <w:abstractNumId w:val="8"/>
  </w:num>
  <w:num w:numId="2" w16cid:durableId="1009261828">
    <w:abstractNumId w:val="6"/>
  </w:num>
  <w:num w:numId="3" w16cid:durableId="922033685">
    <w:abstractNumId w:val="5"/>
  </w:num>
  <w:num w:numId="4" w16cid:durableId="799494535">
    <w:abstractNumId w:val="4"/>
  </w:num>
  <w:num w:numId="5" w16cid:durableId="795178823">
    <w:abstractNumId w:val="7"/>
  </w:num>
  <w:num w:numId="6" w16cid:durableId="239028293">
    <w:abstractNumId w:val="3"/>
  </w:num>
  <w:num w:numId="7" w16cid:durableId="558857354">
    <w:abstractNumId w:val="2"/>
  </w:num>
  <w:num w:numId="8" w16cid:durableId="1246498567">
    <w:abstractNumId w:val="1"/>
  </w:num>
  <w:num w:numId="9" w16cid:durableId="1845702842">
    <w:abstractNumId w:val="0"/>
  </w:num>
  <w:num w:numId="10" w16cid:durableId="1762336186">
    <w:abstractNumId w:val="10"/>
  </w:num>
  <w:num w:numId="11" w16cid:durableId="8989724">
    <w:abstractNumId w:val="16"/>
  </w:num>
  <w:num w:numId="12" w16cid:durableId="2125270562">
    <w:abstractNumId w:val="15"/>
  </w:num>
  <w:num w:numId="13" w16cid:durableId="201555547">
    <w:abstractNumId w:val="13"/>
  </w:num>
  <w:num w:numId="14" w16cid:durableId="554778847">
    <w:abstractNumId w:val="17"/>
  </w:num>
  <w:num w:numId="15" w16cid:durableId="887106692">
    <w:abstractNumId w:val="9"/>
  </w:num>
  <w:num w:numId="16" w16cid:durableId="1282953430">
    <w:abstractNumId w:val="14"/>
  </w:num>
  <w:num w:numId="17" w16cid:durableId="918178310">
    <w:abstractNumId w:val="21"/>
  </w:num>
  <w:num w:numId="18" w16cid:durableId="236330555">
    <w:abstractNumId w:val="11"/>
  </w:num>
  <w:num w:numId="19" w16cid:durableId="1797943818">
    <w:abstractNumId w:val="18"/>
  </w:num>
  <w:num w:numId="20" w16cid:durableId="771323283">
    <w:abstractNumId w:val="19"/>
  </w:num>
  <w:num w:numId="21" w16cid:durableId="1132166465">
    <w:abstractNumId w:val="20"/>
  </w:num>
  <w:num w:numId="22" w16cid:durableId="18750005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678"/>
    <w:rsid w:val="00004CA1"/>
    <w:rsid w:val="00007442"/>
    <w:rsid w:val="000113AF"/>
    <w:rsid w:val="00020155"/>
    <w:rsid w:val="000205E6"/>
    <w:rsid w:val="00020625"/>
    <w:rsid w:val="00025D6C"/>
    <w:rsid w:val="00027A51"/>
    <w:rsid w:val="00032259"/>
    <w:rsid w:val="00032450"/>
    <w:rsid w:val="00033A41"/>
    <w:rsid w:val="00034616"/>
    <w:rsid w:val="0003567B"/>
    <w:rsid w:val="00040211"/>
    <w:rsid w:val="00041796"/>
    <w:rsid w:val="00043A58"/>
    <w:rsid w:val="000469F4"/>
    <w:rsid w:val="000517DE"/>
    <w:rsid w:val="00052BBC"/>
    <w:rsid w:val="00054AA4"/>
    <w:rsid w:val="00055438"/>
    <w:rsid w:val="0006063C"/>
    <w:rsid w:val="000645B9"/>
    <w:rsid w:val="00070A2F"/>
    <w:rsid w:val="00072EDF"/>
    <w:rsid w:val="00083670"/>
    <w:rsid w:val="00087494"/>
    <w:rsid w:val="00090A3C"/>
    <w:rsid w:val="000A4F5D"/>
    <w:rsid w:val="000A5B31"/>
    <w:rsid w:val="000A7605"/>
    <w:rsid w:val="000B19FD"/>
    <w:rsid w:val="000B23BC"/>
    <w:rsid w:val="000C0539"/>
    <w:rsid w:val="000C638D"/>
    <w:rsid w:val="000C6409"/>
    <w:rsid w:val="000C781C"/>
    <w:rsid w:val="000D0C95"/>
    <w:rsid w:val="000D1C30"/>
    <w:rsid w:val="000D3792"/>
    <w:rsid w:val="000D6FD9"/>
    <w:rsid w:val="000D74D2"/>
    <w:rsid w:val="000D79FC"/>
    <w:rsid w:val="000E3E53"/>
    <w:rsid w:val="000E4841"/>
    <w:rsid w:val="000E5836"/>
    <w:rsid w:val="000F028E"/>
    <w:rsid w:val="000F23A4"/>
    <w:rsid w:val="000F2B94"/>
    <w:rsid w:val="000F4C78"/>
    <w:rsid w:val="000F5889"/>
    <w:rsid w:val="000F5E5D"/>
    <w:rsid w:val="00100A12"/>
    <w:rsid w:val="00101232"/>
    <w:rsid w:val="00106B2E"/>
    <w:rsid w:val="0011058B"/>
    <w:rsid w:val="001111D7"/>
    <w:rsid w:val="0011270C"/>
    <w:rsid w:val="00121E26"/>
    <w:rsid w:val="00127913"/>
    <w:rsid w:val="00130191"/>
    <w:rsid w:val="001306B4"/>
    <w:rsid w:val="001308C1"/>
    <w:rsid w:val="00130E64"/>
    <w:rsid w:val="0013304C"/>
    <w:rsid w:val="00135FBF"/>
    <w:rsid w:val="001378AD"/>
    <w:rsid w:val="001411F3"/>
    <w:rsid w:val="0014158A"/>
    <w:rsid w:val="00143CB1"/>
    <w:rsid w:val="00143E52"/>
    <w:rsid w:val="00146CC0"/>
    <w:rsid w:val="00150097"/>
    <w:rsid w:val="0015074B"/>
    <w:rsid w:val="0015190E"/>
    <w:rsid w:val="00163F26"/>
    <w:rsid w:val="00164670"/>
    <w:rsid w:val="0017316B"/>
    <w:rsid w:val="00174938"/>
    <w:rsid w:val="00175E21"/>
    <w:rsid w:val="00176967"/>
    <w:rsid w:val="0019438C"/>
    <w:rsid w:val="001A1121"/>
    <w:rsid w:val="001A61C6"/>
    <w:rsid w:val="001B2EE2"/>
    <w:rsid w:val="001B34A5"/>
    <w:rsid w:val="001C22FF"/>
    <w:rsid w:val="001C5457"/>
    <w:rsid w:val="001C6086"/>
    <w:rsid w:val="001F06AB"/>
    <w:rsid w:val="001F1897"/>
    <w:rsid w:val="001F2AF7"/>
    <w:rsid w:val="002031E3"/>
    <w:rsid w:val="0020707B"/>
    <w:rsid w:val="0021099B"/>
    <w:rsid w:val="00212C39"/>
    <w:rsid w:val="002145CD"/>
    <w:rsid w:val="002160ED"/>
    <w:rsid w:val="0021752E"/>
    <w:rsid w:val="00235D25"/>
    <w:rsid w:val="002402BF"/>
    <w:rsid w:val="002439B5"/>
    <w:rsid w:val="0024540E"/>
    <w:rsid w:val="00246622"/>
    <w:rsid w:val="002578FD"/>
    <w:rsid w:val="002610B7"/>
    <w:rsid w:val="00264883"/>
    <w:rsid w:val="002651CD"/>
    <w:rsid w:val="00274CFF"/>
    <w:rsid w:val="00277F1D"/>
    <w:rsid w:val="002857EE"/>
    <w:rsid w:val="00286C0A"/>
    <w:rsid w:val="00292778"/>
    <w:rsid w:val="00294D19"/>
    <w:rsid w:val="00294E7E"/>
    <w:rsid w:val="0029639D"/>
    <w:rsid w:val="00296981"/>
    <w:rsid w:val="00297B6C"/>
    <w:rsid w:val="002A1D9E"/>
    <w:rsid w:val="002A2B3F"/>
    <w:rsid w:val="002A562F"/>
    <w:rsid w:val="002D57FE"/>
    <w:rsid w:val="002D5F9E"/>
    <w:rsid w:val="002E4A38"/>
    <w:rsid w:val="002E6F5C"/>
    <w:rsid w:val="002F13BF"/>
    <w:rsid w:val="002F1DD4"/>
    <w:rsid w:val="002F348E"/>
    <w:rsid w:val="002F39DC"/>
    <w:rsid w:val="002F727F"/>
    <w:rsid w:val="00305C1F"/>
    <w:rsid w:val="00305CE7"/>
    <w:rsid w:val="003109D7"/>
    <w:rsid w:val="00312752"/>
    <w:rsid w:val="00313021"/>
    <w:rsid w:val="00317A13"/>
    <w:rsid w:val="00322626"/>
    <w:rsid w:val="003259CE"/>
    <w:rsid w:val="00326F90"/>
    <w:rsid w:val="00327200"/>
    <w:rsid w:val="003342B4"/>
    <w:rsid w:val="00341A40"/>
    <w:rsid w:val="003422C4"/>
    <w:rsid w:val="00345BE7"/>
    <w:rsid w:val="00351578"/>
    <w:rsid w:val="00357698"/>
    <w:rsid w:val="00357F74"/>
    <w:rsid w:val="003624BB"/>
    <w:rsid w:val="00363EB0"/>
    <w:rsid w:val="00364AD8"/>
    <w:rsid w:val="00374564"/>
    <w:rsid w:val="0037546C"/>
    <w:rsid w:val="00381DF1"/>
    <w:rsid w:val="00385291"/>
    <w:rsid w:val="003877EA"/>
    <w:rsid w:val="00393961"/>
    <w:rsid w:val="003A1307"/>
    <w:rsid w:val="003A2AA4"/>
    <w:rsid w:val="003A4595"/>
    <w:rsid w:val="003B33F8"/>
    <w:rsid w:val="003B3D56"/>
    <w:rsid w:val="003B6B68"/>
    <w:rsid w:val="003D2250"/>
    <w:rsid w:val="003D32AF"/>
    <w:rsid w:val="003D400E"/>
    <w:rsid w:val="003D48F4"/>
    <w:rsid w:val="003D49A8"/>
    <w:rsid w:val="003D5B68"/>
    <w:rsid w:val="003F6C14"/>
    <w:rsid w:val="00400189"/>
    <w:rsid w:val="00410F9F"/>
    <w:rsid w:val="00414FFD"/>
    <w:rsid w:val="00421124"/>
    <w:rsid w:val="004247FC"/>
    <w:rsid w:val="00424FD9"/>
    <w:rsid w:val="004259F6"/>
    <w:rsid w:val="00426564"/>
    <w:rsid w:val="004274E6"/>
    <w:rsid w:val="00430CF3"/>
    <w:rsid w:val="00437CD1"/>
    <w:rsid w:val="00443F97"/>
    <w:rsid w:val="00444183"/>
    <w:rsid w:val="00445FCE"/>
    <w:rsid w:val="00447F00"/>
    <w:rsid w:val="00457929"/>
    <w:rsid w:val="0046684A"/>
    <w:rsid w:val="00467594"/>
    <w:rsid w:val="00474BCA"/>
    <w:rsid w:val="00481418"/>
    <w:rsid w:val="00481971"/>
    <w:rsid w:val="004819CE"/>
    <w:rsid w:val="00485702"/>
    <w:rsid w:val="0048704C"/>
    <w:rsid w:val="004904B7"/>
    <w:rsid w:val="0049311C"/>
    <w:rsid w:val="004A32F6"/>
    <w:rsid w:val="004B0793"/>
    <w:rsid w:val="004B08D4"/>
    <w:rsid w:val="004B2090"/>
    <w:rsid w:val="004B27E5"/>
    <w:rsid w:val="004B3A17"/>
    <w:rsid w:val="004B524C"/>
    <w:rsid w:val="004B7BE8"/>
    <w:rsid w:val="004C3533"/>
    <w:rsid w:val="004C49C5"/>
    <w:rsid w:val="004C67A2"/>
    <w:rsid w:val="004D1144"/>
    <w:rsid w:val="004D435B"/>
    <w:rsid w:val="004D4D70"/>
    <w:rsid w:val="004D7561"/>
    <w:rsid w:val="004E46AB"/>
    <w:rsid w:val="004E6895"/>
    <w:rsid w:val="004E7656"/>
    <w:rsid w:val="004F01E2"/>
    <w:rsid w:val="004F4A41"/>
    <w:rsid w:val="005022BC"/>
    <w:rsid w:val="0050240C"/>
    <w:rsid w:val="005119BC"/>
    <w:rsid w:val="005145CD"/>
    <w:rsid w:val="0051526F"/>
    <w:rsid w:val="00530D2D"/>
    <w:rsid w:val="00531B97"/>
    <w:rsid w:val="005463FF"/>
    <w:rsid w:val="00551B90"/>
    <w:rsid w:val="00557463"/>
    <w:rsid w:val="005607D1"/>
    <w:rsid w:val="005624B4"/>
    <w:rsid w:val="00564139"/>
    <w:rsid w:val="00565031"/>
    <w:rsid w:val="005650F2"/>
    <w:rsid w:val="0057185A"/>
    <w:rsid w:val="00571D2A"/>
    <w:rsid w:val="00574A92"/>
    <w:rsid w:val="005803BF"/>
    <w:rsid w:val="00581E39"/>
    <w:rsid w:val="005825C6"/>
    <w:rsid w:val="00583470"/>
    <w:rsid w:val="00583A27"/>
    <w:rsid w:val="00583BD6"/>
    <w:rsid w:val="00590204"/>
    <w:rsid w:val="005903D1"/>
    <w:rsid w:val="00590F55"/>
    <w:rsid w:val="00591956"/>
    <w:rsid w:val="00591D22"/>
    <w:rsid w:val="005920C8"/>
    <w:rsid w:val="0059312F"/>
    <w:rsid w:val="005943ED"/>
    <w:rsid w:val="00594DF7"/>
    <w:rsid w:val="00595435"/>
    <w:rsid w:val="00596661"/>
    <w:rsid w:val="005A39F6"/>
    <w:rsid w:val="005A7ED4"/>
    <w:rsid w:val="005B2D05"/>
    <w:rsid w:val="005B3D6E"/>
    <w:rsid w:val="005B5300"/>
    <w:rsid w:val="005B59A3"/>
    <w:rsid w:val="005C1BE6"/>
    <w:rsid w:val="005C654E"/>
    <w:rsid w:val="005D16B4"/>
    <w:rsid w:val="005D47D9"/>
    <w:rsid w:val="005D76B1"/>
    <w:rsid w:val="005E701A"/>
    <w:rsid w:val="005F0DB8"/>
    <w:rsid w:val="005F1F5B"/>
    <w:rsid w:val="005F239C"/>
    <w:rsid w:val="005F416A"/>
    <w:rsid w:val="005F4928"/>
    <w:rsid w:val="005F5641"/>
    <w:rsid w:val="005F588E"/>
    <w:rsid w:val="006015C4"/>
    <w:rsid w:val="00604C71"/>
    <w:rsid w:val="006065E7"/>
    <w:rsid w:val="00607F8A"/>
    <w:rsid w:val="006123A8"/>
    <w:rsid w:val="00614CE7"/>
    <w:rsid w:val="0062271A"/>
    <w:rsid w:val="00622747"/>
    <w:rsid w:val="00627FF9"/>
    <w:rsid w:val="00635572"/>
    <w:rsid w:val="00637398"/>
    <w:rsid w:val="00641E11"/>
    <w:rsid w:val="00642825"/>
    <w:rsid w:val="00657E02"/>
    <w:rsid w:val="00660BB6"/>
    <w:rsid w:val="00670DB9"/>
    <w:rsid w:val="00675A61"/>
    <w:rsid w:val="00676800"/>
    <w:rsid w:val="006864AF"/>
    <w:rsid w:val="006A6C63"/>
    <w:rsid w:val="006B3668"/>
    <w:rsid w:val="006C0C6F"/>
    <w:rsid w:val="006C7728"/>
    <w:rsid w:val="006D2F5A"/>
    <w:rsid w:val="006D322E"/>
    <w:rsid w:val="006E0249"/>
    <w:rsid w:val="006E09B2"/>
    <w:rsid w:val="006E7D6C"/>
    <w:rsid w:val="006F067B"/>
    <w:rsid w:val="006F258E"/>
    <w:rsid w:val="006F550A"/>
    <w:rsid w:val="006F64F5"/>
    <w:rsid w:val="00702B55"/>
    <w:rsid w:val="00703740"/>
    <w:rsid w:val="007045BE"/>
    <w:rsid w:val="00706450"/>
    <w:rsid w:val="00712172"/>
    <w:rsid w:val="007147E9"/>
    <w:rsid w:val="00721E02"/>
    <w:rsid w:val="007230EE"/>
    <w:rsid w:val="0073130A"/>
    <w:rsid w:val="007355D7"/>
    <w:rsid w:val="0074401F"/>
    <w:rsid w:val="00744246"/>
    <w:rsid w:val="00744F2E"/>
    <w:rsid w:val="00745021"/>
    <w:rsid w:val="0074545C"/>
    <w:rsid w:val="007501D3"/>
    <w:rsid w:val="007555E0"/>
    <w:rsid w:val="00757E06"/>
    <w:rsid w:val="00763DA2"/>
    <w:rsid w:val="0076598E"/>
    <w:rsid w:val="00766191"/>
    <w:rsid w:val="0077341B"/>
    <w:rsid w:val="0077634F"/>
    <w:rsid w:val="00782359"/>
    <w:rsid w:val="00782948"/>
    <w:rsid w:val="00784270"/>
    <w:rsid w:val="00791BBD"/>
    <w:rsid w:val="007965AC"/>
    <w:rsid w:val="0079715C"/>
    <w:rsid w:val="007A25CF"/>
    <w:rsid w:val="007A52C6"/>
    <w:rsid w:val="007A7812"/>
    <w:rsid w:val="007A7AF1"/>
    <w:rsid w:val="007C5653"/>
    <w:rsid w:val="007C7033"/>
    <w:rsid w:val="007D3137"/>
    <w:rsid w:val="007D3E48"/>
    <w:rsid w:val="007E0F8A"/>
    <w:rsid w:val="007E3038"/>
    <w:rsid w:val="007F0929"/>
    <w:rsid w:val="007F1D9B"/>
    <w:rsid w:val="007F3BCA"/>
    <w:rsid w:val="007F3DDB"/>
    <w:rsid w:val="007F77F8"/>
    <w:rsid w:val="008015B4"/>
    <w:rsid w:val="00801959"/>
    <w:rsid w:val="008022C2"/>
    <w:rsid w:val="00806816"/>
    <w:rsid w:val="008106EE"/>
    <w:rsid w:val="00813552"/>
    <w:rsid w:val="00813553"/>
    <w:rsid w:val="008148F6"/>
    <w:rsid w:val="00816877"/>
    <w:rsid w:val="008225D3"/>
    <w:rsid w:val="00822772"/>
    <w:rsid w:val="00840EBB"/>
    <w:rsid w:val="00844ED9"/>
    <w:rsid w:val="00846BE5"/>
    <w:rsid w:val="00852DC6"/>
    <w:rsid w:val="00861A35"/>
    <w:rsid w:val="008656D8"/>
    <w:rsid w:val="00867F24"/>
    <w:rsid w:val="00870D2F"/>
    <w:rsid w:val="00874500"/>
    <w:rsid w:val="0087513A"/>
    <w:rsid w:val="00876604"/>
    <w:rsid w:val="0088361A"/>
    <w:rsid w:val="00885291"/>
    <w:rsid w:val="0088636C"/>
    <w:rsid w:val="008938E5"/>
    <w:rsid w:val="008A0603"/>
    <w:rsid w:val="008A6BDB"/>
    <w:rsid w:val="008A6E37"/>
    <w:rsid w:val="008B1FDA"/>
    <w:rsid w:val="008C2B4C"/>
    <w:rsid w:val="008C4695"/>
    <w:rsid w:val="008C5CAC"/>
    <w:rsid w:val="008D17AD"/>
    <w:rsid w:val="008D66CB"/>
    <w:rsid w:val="008D7863"/>
    <w:rsid w:val="008E0DA3"/>
    <w:rsid w:val="008E0F46"/>
    <w:rsid w:val="008E4D40"/>
    <w:rsid w:val="008E5570"/>
    <w:rsid w:val="008F35AE"/>
    <w:rsid w:val="008F4693"/>
    <w:rsid w:val="00910E71"/>
    <w:rsid w:val="00917ABD"/>
    <w:rsid w:val="00922E88"/>
    <w:rsid w:val="00930D14"/>
    <w:rsid w:val="00940B10"/>
    <w:rsid w:val="00940F36"/>
    <w:rsid w:val="00942B61"/>
    <w:rsid w:val="00943664"/>
    <w:rsid w:val="00943685"/>
    <w:rsid w:val="0094420E"/>
    <w:rsid w:val="0094427D"/>
    <w:rsid w:val="00947540"/>
    <w:rsid w:val="00947AD8"/>
    <w:rsid w:val="00950977"/>
    <w:rsid w:val="009520F3"/>
    <w:rsid w:val="0095740B"/>
    <w:rsid w:val="00957CAD"/>
    <w:rsid w:val="0096192E"/>
    <w:rsid w:val="0096202A"/>
    <w:rsid w:val="00964149"/>
    <w:rsid w:val="00964586"/>
    <w:rsid w:val="00964C88"/>
    <w:rsid w:val="009677BA"/>
    <w:rsid w:val="00974697"/>
    <w:rsid w:val="0097677B"/>
    <w:rsid w:val="009767E1"/>
    <w:rsid w:val="00976C3C"/>
    <w:rsid w:val="0098440D"/>
    <w:rsid w:val="009941A9"/>
    <w:rsid w:val="00994352"/>
    <w:rsid w:val="00997CD8"/>
    <w:rsid w:val="00997D01"/>
    <w:rsid w:val="009A546F"/>
    <w:rsid w:val="009B01B6"/>
    <w:rsid w:val="009C18E6"/>
    <w:rsid w:val="009C7AF3"/>
    <w:rsid w:val="009C7BED"/>
    <w:rsid w:val="009D4253"/>
    <w:rsid w:val="009D7B0C"/>
    <w:rsid w:val="009E07D9"/>
    <w:rsid w:val="009E245D"/>
    <w:rsid w:val="009E2919"/>
    <w:rsid w:val="009E3BA4"/>
    <w:rsid w:val="009E4A50"/>
    <w:rsid w:val="009E60D1"/>
    <w:rsid w:val="009F184C"/>
    <w:rsid w:val="009F5F28"/>
    <w:rsid w:val="00A10C56"/>
    <w:rsid w:val="00A13896"/>
    <w:rsid w:val="00A141FF"/>
    <w:rsid w:val="00A2267B"/>
    <w:rsid w:val="00A24647"/>
    <w:rsid w:val="00A26F61"/>
    <w:rsid w:val="00A3480A"/>
    <w:rsid w:val="00A364C8"/>
    <w:rsid w:val="00A42039"/>
    <w:rsid w:val="00A45499"/>
    <w:rsid w:val="00A50AB6"/>
    <w:rsid w:val="00A55303"/>
    <w:rsid w:val="00A55952"/>
    <w:rsid w:val="00A63AB7"/>
    <w:rsid w:val="00A673FA"/>
    <w:rsid w:val="00A70A37"/>
    <w:rsid w:val="00A75120"/>
    <w:rsid w:val="00A82651"/>
    <w:rsid w:val="00A8491C"/>
    <w:rsid w:val="00A86BEB"/>
    <w:rsid w:val="00A86C1F"/>
    <w:rsid w:val="00A95975"/>
    <w:rsid w:val="00A96FB3"/>
    <w:rsid w:val="00AA1D8D"/>
    <w:rsid w:val="00AA5423"/>
    <w:rsid w:val="00AA59A4"/>
    <w:rsid w:val="00AA74CD"/>
    <w:rsid w:val="00AA790F"/>
    <w:rsid w:val="00AB27A2"/>
    <w:rsid w:val="00AC79B7"/>
    <w:rsid w:val="00AC7BAE"/>
    <w:rsid w:val="00AE3981"/>
    <w:rsid w:val="00AE6006"/>
    <w:rsid w:val="00AF49FA"/>
    <w:rsid w:val="00AF5336"/>
    <w:rsid w:val="00AF6B37"/>
    <w:rsid w:val="00B00521"/>
    <w:rsid w:val="00B02DC3"/>
    <w:rsid w:val="00B13E6B"/>
    <w:rsid w:val="00B15A82"/>
    <w:rsid w:val="00B21B6F"/>
    <w:rsid w:val="00B21CC7"/>
    <w:rsid w:val="00B3114E"/>
    <w:rsid w:val="00B36888"/>
    <w:rsid w:val="00B47730"/>
    <w:rsid w:val="00B50561"/>
    <w:rsid w:val="00B52046"/>
    <w:rsid w:val="00B61EBA"/>
    <w:rsid w:val="00B62AC2"/>
    <w:rsid w:val="00B62E88"/>
    <w:rsid w:val="00B7267E"/>
    <w:rsid w:val="00B74C99"/>
    <w:rsid w:val="00B82133"/>
    <w:rsid w:val="00B84C45"/>
    <w:rsid w:val="00B9725B"/>
    <w:rsid w:val="00BA1E0E"/>
    <w:rsid w:val="00BA7036"/>
    <w:rsid w:val="00BA7385"/>
    <w:rsid w:val="00BB4674"/>
    <w:rsid w:val="00BB4AC4"/>
    <w:rsid w:val="00BC1AA0"/>
    <w:rsid w:val="00BD7D4C"/>
    <w:rsid w:val="00BE0FD7"/>
    <w:rsid w:val="00BE38C3"/>
    <w:rsid w:val="00BE681E"/>
    <w:rsid w:val="00BE7E19"/>
    <w:rsid w:val="00BF1E86"/>
    <w:rsid w:val="00C000C6"/>
    <w:rsid w:val="00C01632"/>
    <w:rsid w:val="00C04003"/>
    <w:rsid w:val="00C109B6"/>
    <w:rsid w:val="00C2024E"/>
    <w:rsid w:val="00C23082"/>
    <w:rsid w:val="00C240AB"/>
    <w:rsid w:val="00C24709"/>
    <w:rsid w:val="00C27AFF"/>
    <w:rsid w:val="00C27F04"/>
    <w:rsid w:val="00C30462"/>
    <w:rsid w:val="00C31B3C"/>
    <w:rsid w:val="00C36EA1"/>
    <w:rsid w:val="00C42FE3"/>
    <w:rsid w:val="00C43E95"/>
    <w:rsid w:val="00C45D89"/>
    <w:rsid w:val="00C50595"/>
    <w:rsid w:val="00C53059"/>
    <w:rsid w:val="00C53678"/>
    <w:rsid w:val="00C54493"/>
    <w:rsid w:val="00C63F9F"/>
    <w:rsid w:val="00C70CEB"/>
    <w:rsid w:val="00C74DCD"/>
    <w:rsid w:val="00C84019"/>
    <w:rsid w:val="00C92682"/>
    <w:rsid w:val="00C96867"/>
    <w:rsid w:val="00CA18AA"/>
    <w:rsid w:val="00CA26B9"/>
    <w:rsid w:val="00CA4F69"/>
    <w:rsid w:val="00CA7F05"/>
    <w:rsid w:val="00CB0664"/>
    <w:rsid w:val="00CB13CB"/>
    <w:rsid w:val="00CB1E3D"/>
    <w:rsid w:val="00CB2979"/>
    <w:rsid w:val="00CC50BA"/>
    <w:rsid w:val="00CC67EE"/>
    <w:rsid w:val="00CF0CAB"/>
    <w:rsid w:val="00CF0CEA"/>
    <w:rsid w:val="00CF23AE"/>
    <w:rsid w:val="00CF29CF"/>
    <w:rsid w:val="00CF57DF"/>
    <w:rsid w:val="00D07DF5"/>
    <w:rsid w:val="00D21805"/>
    <w:rsid w:val="00D2376C"/>
    <w:rsid w:val="00D2506F"/>
    <w:rsid w:val="00D254D8"/>
    <w:rsid w:val="00D30088"/>
    <w:rsid w:val="00D3043E"/>
    <w:rsid w:val="00D333F7"/>
    <w:rsid w:val="00D4101B"/>
    <w:rsid w:val="00D42D3C"/>
    <w:rsid w:val="00D440BE"/>
    <w:rsid w:val="00D44CA5"/>
    <w:rsid w:val="00D55833"/>
    <w:rsid w:val="00D64821"/>
    <w:rsid w:val="00D64A6E"/>
    <w:rsid w:val="00D675A1"/>
    <w:rsid w:val="00D726C2"/>
    <w:rsid w:val="00D72CAF"/>
    <w:rsid w:val="00D72D82"/>
    <w:rsid w:val="00D77F2A"/>
    <w:rsid w:val="00D82D0F"/>
    <w:rsid w:val="00D83EE8"/>
    <w:rsid w:val="00D87A95"/>
    <w:rsid w:val="00D87B55"/>
    <w:rsid w:val="00D90875"/>
    <w:rsid w:val="00DA135E"/>
    <w:rsid w:val="00DA37EC"/>
    <w:rsid w:val="00DA6B8D"/>
    <w:rsid w:val="00DA7F4B"/>
    <w:rsid w:val="00DB0798"/>
    <w:rsid w:val="00DB52A0"/>
    <w:rsid w:val="00DC4668"/>
    <w:rsid w:val="00DD268E"/>
    <w:rsid w:val="00DD56DB"/>
    <w:rsid w:val="00DD6A4C"/>
    <w:rsid w:val="00DE012F"/>
    <w:rsid w:val="00DE4980"/>
    <w:rsid w:val="00DF2EB2"/>
    <w:rsid w:val="00DF311A"/>
    <w:rsid w:val="00E02789"/>
    <w:rsid w:val="00E04DDF"/>
    <w:rsid w:val="00E07FCE"/>
    <w:rsid w:val="00E102FB"/>
    <w:rsid w:val="00E116F0"/>
    <w:rsid w:val="00E166A5"/>
    <w:rsid w:val="00E23420"/>
    <w:rsid w:val="00E30938"/>
    <w:rsid w:val="00E339D1"/>
    <w:rsid w:val="00E33FA1"/>
    <w:rsid w:val="00E3592D"/>
    <w:rsid w:val="00E35C73"/>
    <w:rsid w:val="00E4102F"/>
    <w:rsid w:val="00E47BC0"/>
    <w:rsid w:val="00E50668"/>
    <w:rsid w:val="00E50C73"/>
    <w:rsid w:val="00E5581E"/>
    <w:rsid w:val="00E6577E"/>
    <w:rsid w:val="00E6636B"/>
    <w:rsid w:val="00E83B27"/>
    <w:rsid w:val="00E8614B"/>
    <w:rsid w:val="00E87BEF"/>
    <w:rsid w:val="00E933B7"/>
    <w:rsid w:val="00E97B36"/>
    <w:rsid w:val="00EB1885"/>
    <w:rsid w:val="00EB4EC1"/>
    <w:rsid w:val="00EC0A5F"/>
    <w:rsid w:val="00EC0E7E"/>
    <w:rsid w:val="00EC3C35"/>
    <w:rsid w:val="00ED11E6"/>
    <w:rsid w:val="00ED3385"/>
    <w:rsid w:val="00EE24D1"/>
    <w:rsid w:val="00EE4293"/>
    <w:rsid w:val="00EE4A1A"/>
    <w:rsid w:val="00EE54A1"/>
    <w:rsid w:val="00EF1B24"/>
    <w:rsid w:val="00EF576F"/>
    <w:rsid w:val="00F052D5"/>
    <w:rsid w:val="00F13A36"/>
    <w:rsid w:val="00F146F9"/>
    <w:rsid w:val="00F15860"/>
    <w:rsid w:val="00F159F4"/>
    <w:rsid w:val="00F1705B"/>
    <w:rsid w:val="00F24D54"/>
    <w:rsid w:val="00F259E5"/>
    <w:rsid w:val="00F30E0C"/>
    <w:rsid w:val="00F3193E"/>
    <w:rsid w:val="00F55EE3"/>
    <w:rsid w:val="00F5787F"/>
    <w:rsid w:val="00F6254E"/>
    <w:rsid w:val="00F7040C"/>
    <w:rsid w:val="00F72C31"/>
    <w:rsid w:val="00F77E26"/>
    <w:rsid w:val="00F85107"/>
    <w:rsid w:val="00F86F06"/>
    <w:rsid w:val="00F92948"/>
    <w:rsid w:val="00F92BEF"/>
    <w:rsid w:val="00F93B9B"/>
    <w:rsid w:val="00FA02DC"/>
    <w:rsid w:val="00FA709C"/>
    <w:rsid w:val="00FB5DCD"/>
    <w:rsid w:val="00FC4EC2"/>
    <w:rsid w:val="00FC5B7C"/>
    <w:rsid w:val="00FC693F"/>
    <w:rsid w:val="00FD1F2D"/>
    <w:rsid w:val="00FD3BC5"/>
    <w:rsid w:val="00FE0DCF"/>
    <w:rsid w:val="00FE635D"/>
    <w:rsid w:val="00FF1340"/>
    <w:rsid w:val="00FF148B"/>
    <w:rsid w:val="00FF46F6"/>
    <w:rsid w:val="00FF54E9"/>
    <w:rsid w:val="00FF5BF2"/>
  </w:rsids>
  <m:mathPr>
    <m:mathFont m:val="Cambria Math"/>
    <m:brkBin m:val="before"/>
    <m:brkBinSub m:val="--"/>
    <m:smallFrac m:val="0"/>
    <m:dispDef/>
    <m:lMargin m:val="0"/>
    <m:rMargin m:val="0"/>
    <m:defJc m:val="center"/>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C866EED-9885-4C11-A3FD-07DDA6621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0BA"/>
    <w:pPr>
      <w:spacing w:after="120" w:line="360" w:lineRule="auto"/>
      <w:jc w:val="both"/>
    </w:pPr>
    <w:rPr>
      <w:rFonts w:ascii="Times New Roman" w:eastAsia="Times New Roman" w:hAnsi="Times New Roman" w:cs="Times New Roman"/>
      <w:color w:val="000000"/>
      <w:lang w:val="es-ES"/>
    </w:rPr>
  </w:style>
  <w:style w:type="paragraph" w:styleId="Heading1">
    <w:name w:val="heading 1"/>
    <w:basedOn w:val="Normal"/>
    <w:next w:val="Normal"/>
    <w:link w:val="Heading1Char"/>
    <w:uiPriority w:val="9"/>
    <w:qFormat/>
    <w:rsid w:val="00FC693F"/>
    <w:pPr>
      <w:keepNext/>
      <w:keepLines/>
      <w:spacing w:before="480" w:after="240"/>
      <w:jc w:val="left"/>
      <w:outlineLvl w:val="0"/>
    </w:pPr>
    <w:rPr>
      <w:rFonts w:asciiTheme="majorHAnsi" w:eastAsiaTheme="majorEastAsia" w:hAnsiTheme="majorHAnsi" w:cstheme="majorBidi"/>
      <w:b/>
      <w:bCs/>
      <w:color w:val="000000" w:themeColor="text1"/>
      <w:sz w:val="56"/>
      <w:szCs w:val="28"/>
    </w:rPr>
  </w:style>
  <w:style w:type="paragraph" w:styleId="Heading2">
    <w:name w:val="heading 2"/>
    <w:basedOn w:val="Normal"/>
    <w:next w:val="Normal"/>
    <w:link w:val="Heading2Char"/>
    <w:uiPriority w:val="9"/>
    <w:unhideWhenUsed/>
    <w:qFormat/>
    <w:rsid w:val="00FC693F"/>
    <w:pPr>
      <w:keepNext/>
      <w:keepLines/>
      <w:spacing w:before="360" w:after="160"/>
      <w:jc w:val="left"/>
      <w:outlineLvl w:val="1"/>
    </w:pPr>
    <w:rPr>
      <w:rFonts w:asciiTheme="majorHAnsi" w:eastAsiaTheme="majorEastAsia" w:hAnsiTheme="majorHAnsi" w:cstheme="majorBidi"/>
      <w:b/>
      <w:bCs/>
      <w:caps/>
      <w:color w:val="000000" w:themeColor="text1"/>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themeColor="tex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0E5836"/>
    <w:pPr>
      <w:numPr>
        <w:numId w:val="1"/>
      </w:numPr>
      <w:spacing w:after="6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3109D7"/>
    <w:rPr>
      <w:color w:val="666666"/>
    </w:rPr>
  </w:style>
  <w:style w:type="character" w:styleId="Hyperlink">
    <w:name w:val="Hyperlink"/>
    <w:basedOn w:val="DefaultParagraphFont"/>
    <w:uiPriority w:val="99"/>
    <w:unhideWhenUsed/>
    <w:rsid w:val="00D440BE"/>
    <w:rPr>
      <w:color w:val="0000FF" w:themeColor="hyperlink"/>
      <w:u w:val="single"/>
    </w:rPr>
  </w:style>
  <w:style w:type="character" w:styleId="UnresolvedMention">
    <w:name w:val="Unresolved Mention"/>
    <w:basedOn w:val="DefaultParagraphFont"/>
    <w:uiPriority w:val="99"/>
    <w:semiHidden/>
    <w:unhideWhenUsed/>
    <w:rsid w:val="00D440BE"/>
    <w:rPr>
      <w:color w:val="605E5C"/>
      <w:shd w:val="clear" w:color="auto" w:fill="E1DFDD"/>
    </w:rPr>
  </w:style>
  <w:style w:type="character" w:styleId="FollowedHyperlink">
    <w:name w:val="FollowedHyperlink"/>
    <w:basedOn w:val="DefaultParagraphFont"/>
    <w:uiPriority w:val="99"/>
    <w:semiHidden/>
    <w:unhideWhenUsed/>
    <w:rsid w:val="004B0793"/>
    <w:rPr>
      <w:color w:val="800080" w:themeColor="followedHyperlink"/>
      <w:u w:val="single"/>
    </w:rPr>
  </w:style>
  <w:style w:type="character" w:styleId="PageNumber">
    <w:name w:val="page number"/>
    <w:basedOn w:val="DefaultParagraphFont"/>
    <w:uiPriority w:val="99"/>
    <w:semiHidden/>
    <w:unhideWhenUsed/>
    <w:rsid w:val="0088361A"/>
  </w:style>
  <w:style w:type="paragraph" w:styleId="NormalWeb">
    <w:name w:val="Normal (Web)"/>
    <w:basedOn w:val="Normal"/>
    <w:uiPriority w:val="99"/>
    <w:semiHidden/>
    <w:unhideWhenUsed/>
    <w:rsid w:val="005463F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jbankfin.2004.06.006" TargetMode="External"/><Relationship Id="rId18" Type="http://schemas.openxmlformats.org/officeDocument/2006/relationships/hyperlink" Target="https://doi.org/10.1016/j.eswa.2008.01.005" TargetMode="External"/><Relationship Id="rId26" Type="http://schemas.openxmlformats.org/officeDocument/2006/relationships/hyperlink" Target="https://www.eba.europa.eu/regulation-and-policy/supervisory-review-and-evaluation-srep-and-pillar-2/guidelines-icaap-and-ilaap" TargetMode="External"/><Relationship Id="rId39" Type="http://schemas.openxmlformats.org/officeDocument/2006/relationships/hyperlink" Target="https://www.pwc.com/gx/en/industries/financial-services/publications/european-npl-outlook.html" TargetMode="External"/><Relationship Id="rId21" Type="http://schemas.openxmlformats.org/officeDocument/2006/relationships/hyperlink" Target="https://www.bis.org/bcbs/publ/d424_hlsummary.pdf" TargetMode="External"/><Relationship Id="rId34" Type="http://schemas.openxmlformats.org/officeDocument/2006/relationships/hyperlink" Target="https://doi.org/10.1016/S1042-9573(03)00040-8" TargetMode="External"/><Relationship Id="rId42" Type="http://schemas.openxmlformats.org/officeDocument/2006/relationships/hyperlink" Target="https://www.scoperatings.com/ratings-and-research/research"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ankingsupervision.europa.eu/banking/statistics/npl/html/index.en.html" TargetMode="External"/><Relationship Id="rId29" Type="http://schemas.openxmlformats.org/officeDocument/2006/relationships/hyperlink" Target="https://www.eba.europa.eu/regulation-and-policy/credit-risk/npl-transaction-data-templates" TargetMode="External"/><Relationship Id="rId11" Type="http://schemas.openxmlformats.org/officeDocument/2006/relationships/header" Target="header2.xml"/><Relationship Id="rId24" Type="http://schemas.openxmlformats.org/officeDocument/2006/relationships/hyperlink" Target="https://www.eba.europa.eu/publications-and-media/press-releases/eba-publishes-discussion-paper-machine-learning-irb-models" TargetMode="External"/><Relationship Id="rId32" Type="http://schemas.openxmlformats.org/officeDocument/2006/relationships/hyperlink" Target="https://arxiv.org/abs/1506.02438" TargetMode="External"/><Relationship Id="rId37" Type="http://schemas.openxmlformats.org/officeDocument/2006/relationships/hyperlink" Target="https://doi.org/10.1145/3292500.3330701" TargetMode="External"/><Relationship Id="rId40" Type="http://schemas.openxmlformats.org/officeDocument/2006/relationships/hyperlink" Target="https://doi.org/10.21314/JCR.2023.019" TargetMode="External"/><Relationship Id="rId45" Type="http://schemas.openxmlformats.org/officeDocument/2006/relationships/image" Target="media/image2.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yperlink" Target="https://www.bis.org/publ/bcbs189.pdf" TargetMode="External"/><Relationship Id="rId31" Type="http://schemas.openxmlformats.org/officeDocument/2006/relationships/hyperlink" Target="https://www.eba.europa.eu/publications-and-media" TargetMode="External"/><Relationship Id="rId44" Type="http://schemas.openxmlformats.org/officeDocument/2006/relationships/hyperlink" Target="http://incompleteideas.net/book/the-book-2nd.html" TargetMode="External"/><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ecb.europa.eu/pub/pdf/other/guidance-banks-non-performing-loans.es.pdf" TargetMode="External"/><Relationship Id="rId22" Type="http://schemas.openxmlformats.org/officeDocument/2006/relationships/hyperlink" Target="https://www.ecb.europa.eu/pub/economic-bulletin/html/eb202004.en.html" TargetMode="External"/><Relationship Id="rId27" Type="http://schemas.openxmlformats.org/officeDocument/2006/relationships/hyperlink" Target="https://www.eba.europa.eu/regulation-and-policy/supervisory-review-and-evaluation-srep-and-pillar-2/guidelines-institutions-stress-testing" TargetMode="External"/><Relationship Id="rId30" Type="http://schemas.openxmlformats.org/officeDocument/2006/relationships/hyperlink" Target="https://www.eba.europa.eu/risk-analysis-and-data/eu-wide-stress-testing/2024" TargetMode="External"/><Relationship Id="rId35" Type="http://schemas.openxmlformats.org/officeDocument/2006/relationships/hyperlink" Target="https://doi.org/10.5281/zenodo.8127025" TargetMode="External"/><Relationship Id="rId43" Type="http://schemas.openxmlformats.org/officeDocument/2006/relationships/hyperlink" Target="https://www.federalreserve.gov/supervisionreg/srletters/sr1107.htm" TargetMode="External"/><Relationship Id="rId48" Type="http://schemas.openxmlformats.org/officeDocument/2006/relationships/image" Target="media/image5.png"/><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bankingsupervision.europa.eu/banking/statistics/html/index.en.html" TargetMode="External"/><Relationship Id="rId25" Type="http://schemas.openxmlformats.org/officeDocument/2006/relationships/hyperlink" Target="https://www.eba.europa.eu/regulation-and-policy/supervisory-convergence/guidelines-management-non-performing-and-forborne-exposures" TargetMode="External"/><Relationship Id="rId33" Type="http://schemas.openxmlformats.org/officeDocument/2006/relationships/hyperlink" Target="https://www.imf.org/external/pubs/ft/wp/2016/wp16134.pdf" TargetMode="External"/><Relationship Id="rId38" Type="http://schemas.openxmlformats.org/officeDocument/2006/relationships/hyperlink" Target="https://arxiv.org/abs/1707.06347" TargetMode="External"/><Relationship Id="rId46" Type="http://schemas.openxmlformats.org/officeDocument/2006/relationships/image" Target="media/image3.png"/><Relationship Id="rId20" Type="http://schemas.openxmlformats.org/officeDocument/2006/relationships/hyperlink" Target="https://www.bis.org/bcbs/publ/d424.pdf" TargetMode="External"/><Relationship Id="rId41" Type="http://schemas.openxmlformats.org/officeDocument/2006/relationships/hyperlink" Target="https://jmlr.org/papers/v22/20-1364.html"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bankingsupervision.europa.eu/ecb/pub/pdf/ssm.npl_addendum_201803.en.pdf" TargetMode="External"/><Relationship Id="rId23" Type="http://schemas.openxmlformats.org/officeDocument/2006/relationships/hyperlink" Target="https://doi.org/10.1109/TNNLS.2016.2522401" TargetMode="External"/><Relationship Id="rId28" Type="http://schemas.openxmlformats.org/officeDocument/2006/relationships/hyperlink" Target="https://www.eba.europa.eu/publications-and-media/press-releases/eba-publishes-report-npl-transactions" TargetMode="External"/><Relationship Id="rId36" Type="http://schemas.openxmlformats.org/officeDocument/2006/relationships/hyperlink" Target="https://doi.org/10.1145/1143844.1143929" TargetMode="External"/><Relationship Id="rId49"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1541</TotalTime>
  <Pages>124</Pages>
  <Words>41504</Words>
  <Characters>228277</Characters>
  <Application>Microsoft Office Word</Application>
  <DocSecurity>0</DocSecurity>
  <Lines>1902</Lines>
  <Paragraphs>538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Maria Fernandez-Ladreda Ballve</cp:lastModifiedBy>
  <cp:revision>616</cp:revision>
  <dcterms:created xsi:type="dcterms:W3CDTF">2013-12-23T23:15:00Z</dcterms:created>
  <dcterms:modified xsi:type="dcterms:W3CDTF">2026-05-18T11:52:00Z</dcterms:modified>
  <cp:category/>
</cp:coreProperties>
</file>