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5F138" w14:textId="77777777" w:rsidR="0075101A" w:rsidRPr="003D3CCF" w:rsidRDefault="00000000" w:rsidP="003D3CCF">
      <w:pPr>
        <w:pStyle w:val="Heading1"/>
        <w:adjustRightInd w:val="0"/>
        <w:snapToGrid w:val="0"/>
        <w:spacing w:before="0" w:line="240" w:lineRule="auto"/>
        <w:jc w:val="both"/>
        <w:rPr>
          <w:rFonts w:ascii="Calibri" w:hAnsi="Calibri" w:cs="Calibri"/>
          <w:sz w:val="24"/>
          <w:szCs w:val="24"/>
        </w:rPr>
      </w:pPr>
      <w:r w:rsidRPr="003D3CCF">
        <w:rPr>
          <w:rFonts w:ascii="Calibri" w:hAnsi="Calibri" w:cs="Calibri"/>
          <w:sz w:val="24"/>
          <w:szCs w:val="24"/>
        </w:rPr>
        <w:t>Discussion 22.2: Evaluating Medical AI Devices</w:t>
      </w:r>
    </w:p>
    <w:p w14:paraId="4AA5622B" w14:textId="77777777" w:rsidR="003D3CCF" w:rsidRPr="003D3CCF" w:rsidRDefault="003D3CCF" w:rsidP="003D3CCF">
      <w:pPr>
        <w:pStyle w:val="Heading2"/>
        <w:adjustRightInd w:val="0"/>
        <w:snapToGrid w:val="0"/>
        <w:spacing w:before="0" w:line="240" w:lineRule="auto"/>
        <w:jc w:val="both"/>
        <w:rPr>
          <w:rFonts w:ascii="Calibri" w:hAnsi="Calibri" w:cs="Calibri"/>
          <w:b w:val="0"/>
          <w:bCs w:val="0"/>
          <w:sz w:val="10"/>
          <w:szCs w:val="10"/>
        </w:rPr>
      </w:pPr>
    </w:p>
    <w:p w14:paraId="21F3A44C" w14:textId="26056E4D" w:rsidR="0075101A" w:rsidRPr="003026E6" w:rsidRDefault="00000000" w:rsidP="003D3CCF">
      <w:pPr>
        <w:pStyle w:val="Heading1"/>
        <w:numPr>
          <w:ilvl w:val="0"/>
          <w:numId w:val="16"/>
        </w:numPr>
        <w:adjustRightInd w:val="0"/>
        <w:snapToGrid w:val="0"/>
        <w:spacing w:before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026E6">
        <w:rPr>
          <w:rFonts w:ascii="Calibri" w:hAnsi="Calibri" w:cs="Calibri"/>
          <w:sz w:val="20"/>
          <w:szCs w:val="20"/>
        </w:rPr>
        <w:t>What are some of the challenges in evaluating medical AI devices, and how can they be overcome?</w:t>
      </w:r>
    </w:p>
    <w:p w14:paraId="1E3B8553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904CCFA" w14:textId="15E8C69E" w:rsidR="0081438B" w:rsidRPr="003D3CCF" w:rsidRDefault="003026E6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evaluation of medical AI devices presents significant challenges due to data limitations, lack of transparency, and inconsistent real-world performance, in other words </w:t>
      </w:r>
      <w:r w:rsidRPr="003026E6">
        <w:rPr>
          <w:rFonts w:ascii="Calibri" w:hAnsi="Calibri" w:cs="Calibri"/>
          <w:b/>
          <w:bCs/>
          <w:sz w:val="20"/>
          <w:szCs w:val="20"/>
        </w:rPr>
        <w:t>Interpretability</w:t>
      </w:r>
      <w:r>
        <w:rPr>
          <w:rFonts w:ascii="Calibri" w:hAnsi="Calibri" w:cs="Calibri"/>
          <w:sz w:val="20"/>
          <w:szCs w:val="20"/>
        </w:rPr>
        <w:t xml:space="preserve"> and </w:t>
      </w:r>
      <w:r w:rsidRPr="003026E6">
        <w:rPr>
          <w:rFonts w:ascii="Calibri" w:hAnsi="Calibri" w:cs="Calibri"/>
          <w:b/>
          <w:bCs/>
          <w:sz w:val="20"/>
          <w:szCs w:val="20"/>
        </w:rPr>
        <w:t>trust</w:t>
      </w:r>
      <w:r>
        <w:rPr>
          <w:rFonts w:ascii="Calibri" w:hAnsi="Calibri" w:cs="Calibri"/>
          <w:sz w:val="20"/>
          <w:szCs w:val="20"/>
        </w:rPr>
        <w:t xml:space="preserve"> issues, to say the least. Many models are trained and tested on narrowly defined datasets that may not adequately represent diverse populations, resulting in </w:t>
      </w:r>
      <w:r w:rsidRPr="003026E6">
        <w:rPr>
          <w:rFonts w:ascii="Calibri" w:hAnsi="Calibri" w:cs="Calibri"/>
          <w:b/>
          <w:bCs/>
          <w:sz w:val="20"/>
          <w:szCs w:val="20"/>
        </w:rPr>
        <w:t>biased</w:t>
      </w:r>
      <w:r>
        <w:rPr>
          <w:rFonts w:ascii="Calibri" w:hAnsi="Calibri" w:cs="Calibri"/>
          <w:sz w:val="20"/>
          <w:szCs w:val="20"/>
        </w:rPr>
        <w:t xml:space="preserve"> outcomes. Furthermore, AI algorithms frequently operate as “</w:t>
      </w:r>
      <w:r w:rsidRPr="003026E6">
        <w:rPr>
          <w:rFonts w:ascii="Calibri" w:hAnsi="Calibri" w:cs="Calibri"/>
          <w:b/>
          <w:bCs/>
          <w:sz w:val="20"/>
          <w:szCs w:val="20"/>
        </w:rPr>
        <w:t>black boxes</w:t>
      </w:r>
      <w:r>
        <w:rPr>
          <w:rFonts w:ascii="Calibri" w:hAnsi="Calibri" w:cs="Calibri"/>
          <w:sz w:val="20"/>
          <w:szCs w:val="20"/>
        </w:rPr>
        <w:t>,” complicating the interpretation of results and the identification of failure modes by clinicians and regulatory authorities.</w:t>
      </w:r>
    </w:p>
    <w:p w14:paraId="16E69BDA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B3081D3" w14:textId="7A3E3501" w:rsidR="003D3CCF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>To overcome these issues, developers should:</w:t>
      </w:r>
    </w:p>
    <w:p w14:paraId="7D16BA96" w14:textId="77777777" w:rsidR="003026E6" w:rsidRPr="003026E6" w:rsidRDefault="003026E6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EDABF15" w14:textId="758D896A" w:rsidR="0081438B" w:rsidRPr="003D3CCF" w:rsidRDefault="00000000" w:rsidP="003D3CCF">
      <w:pPr>
        <w:pStyle w:val="ListParagraph"/>
        <w:numPr>
          <w:ilvl w:val="0"/>
          <w:numId w:val="13"/>
        </w:numPr>
        <w:adjustRightInd w:val="0"/>
        <w:snapToGrid w:val="0"/>
        <w:spacing w:after="0" w:line="240" w:lineRule="auto"/>
        <w:ind w:left="360"/>
        <w:contextualSpacing w:val="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Ensure </w:t>
      </w:r>
      <w:r w:rsidRPr="003026E6">
        <w:rPr>
          <w:rFonts w:ascii="Calibri" w:hAnsi="Calibri" w:cs="Calibri"/>
          <w:b/>
          <w:bCs/>
          <w:sz w:val="20"/>
          <w:szCs w:val="20"/>
        </w:rPr>
        <w:t>diverse</w:t>
      </w:r>
      <w:r w:rsidRPr="003D3CCF">
        <w:rPr>
          <w:rFonts w:ascii="Calibri" w:hAnsi="Calibri" w:cs="Calibri"/>
          <w:sz w:val="20"/>
          <w:szCs w:val="20"/>
        </w:rPr>
        <w:t xml:space="preserve">, </w:t>
      </w:r>
      <w:r w:rsidRPr="003026E6">
        <w:rPr>
          <w:rFonts w:ascii="Calibri" w:hAnsi="Calibri" w:cs="Calibri"/>
          <w:b/>
          <w:bCs/>
          <w:sz w:val="20"/>
          <w:szCs w:val="20"/>
        </w:rPr>
        <w:t>high-quality</w:t>
      </w:r>
      <w:r w:rsidRPr="003D3CCF">
        <w:rPr>
          <w:rFonts w:ascii="Calibri" w:hAnsi="Calibri" w:cs="Calibri"/>
          <w:sz w:val="20"/>
          <w:szCs w:val="20"/>
        </w:rPr>
        <w:t xml:space="preserve"> training and </w:t>
      </w:r>
      <w:r w:rsidRPr="003026E6">
        <w:rPr>
          <w:rFonts w:ascii="Calibri" w:hAnsi="Calibri" w:cs="Calibri"/>
          <w:b/>
          <w:bCs/>
          <w:sz w:val="20"/>
          <w:szCs w:val="20"/>
        </w:rPr>
        <w:t>validation</w:t>
      </w:r>
      <w:r w:rsidRPr="003D3CCF">
        <w:rPr>
          <w:rFonts w:ascii="Calibri" w:hAnsi="Calibri" w:cs="Calibri"/>
          <w:sz w:val="20"/>
          <w:szCs w:val="20"/>
        </w:rPr>
        <w:t xml:space="preserve"> data that reflect real-world clinical settings.</w:t>
      </w:r>
    </w:p>
    <w:p w14:paraId="1F27D93D" w14:textId="5233FBE3" w:rsidR="0081438B" w:rsidRPr="003D3CCF" w:rsidRDefault="00000000" w:rsidP="003D3CCF">
      <w:pPr>
        <w:pStyle w:val="ListParagraph"/>
        <w:numPr>
          <w:ilvl w:val="0"/>
          <w:numId w:val="13"/>
        </w:numPr>
        <w:adjustRightInd w:val="0"/>
        <w:snapToGrid w:val="0"/>
        <w:spacing w:after="0" w:line="240" w:lineRule="auto"/>
        <w:ind w:left="360"/>
        <w:contextualSpacing w:val="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Incorporate </w:t>
      </w:r>
      <w:r w:rsidRPr="003026E6">
        <w:rPr>
          <w:rFonts w:ascii="Calibri" w:hAnsi="Calibri" w:cs="Calibri"/>
          <w:b/>
          <w:bCs/>
          <w:sz w:val="20"/>
          <w:szCs w:val="20"/>
        </w:rPr>
        <w:t>explainability</w:t>
      </w:r>
      <w:r w:rsidRPr="003D3CCF">
        <w:rPr>
          <w:rFonts w:ascii="Calibri" w:hAnsi="Calibri" w:cs="Calibri"/>
          <w:sz w:val="20"/>
          <w:szCs w:val="20"/>
        </w:rPr>
        <w:t xml:space="preserve"> tools to provide insight into model decision-making.</w:t>
      </w:r>
    </w:p>
    <w:p w14:paraId="1AF2BEDE" w14:textId="209FF652" w:rsidR="0075101A" w:rsidRDefault="00000000" w:rsidP="003D3CCF">
      <w:pPr>
        <w:pStyle w:val="ListParagraph"/>
        <w:numPr>
          <w:ilvl w:val="0"/>
          <w:numId w:val="13"/>
        </w:numPr>
        <w:adjustRightInd w:val="0"/>
        <w:snapToGrid w:val="0"/>
        <w:spacing w:after="0" w:line="240" w:lineRule="auto"/>
        <w:ind w:left="360"/>
        <w:contextualSpacing w:val="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Conduct </w:t>
      </w:r>
      <w:r w:rsidRPr="003026E6">
        <w:rPr>
          <w:rFonts w:ascii="Calibri" w:hAnsi="Calibri" w:cs="Calibri"/>
          <w:b/>
          <w:bCs/>
          <w:sz w:val="20"/>
          <w:szCs w:val="20"/>
        </w:rPr>
        <w:t>prospective</w:t>
      </w:r>
      <w:r w:rsidRPr="003D3CCF">
        <w:rPr>
          <w:rFonts w:ascii="Calibri" w:hAnsi="Calibri" w:cs="Calibri"/>
          <w:sz w:val="20"/>
          <w:szCs w:val="20"/>
        </w:rPr>
        <w:t xml:space="preserve"> clinical </w:t>
      </w:r>
      <w:r w:rsidRPr="003026E6">
        <w:rPr>
          <w:rFonts w:ascii="Calibri" w:hAnsi="Calibri" w:cs="Calibri"/>
          <w:b/>
          <w:bCs/>
          <w:sz w:val="20"/>
          <w:szCs w:val="20"/>
        </w:rPr>
        <w:t>trials</w:t>
      </w:r>
      <w:r w:rsidRPr="003D3CCF">
        <w:rPr>
          <w:rFonts w:ascii="Calibri" w:hAnsi="Calibri" w:cs="Calibri"/>
          <w:sz w:val="20"/>
          <w:szCs w:val="20"/>
        </w:rPr>
        <w:t xml:space="preserve"> and </w:t>
      </w:r>
      <w:r w:rsidRPr="003026E6">
        <w:rPr>
          <w:rFonts w:ascii="Calibri" w:hAnsi="Calibri" w:cs="Calibri"/>
          <w:b/>
          <w:bCs/>
          <w:sz w:val="20"/>
          <w:szCs w:val="20"/>
        </w:rPr>
        <w:t>post-market</w:t>
      </w:r>
      <w:r w:rsidRPr="003D3CCF">
        <w:rPr>
          <w:rFonts w:ascii="Calibri" w:hAnsi="Calibri" w:cs="Calibri"/>
          <w:sz w:val="20"/>
          <w:szCs w:val="20"/>
        </w:rPr>
        <w:t xml:space="preserve"> </w:t>
      </w:r>
      <w:r w:rsidRPr="003026E6">
        <w:rPr>
          <w:rFonts w:ascii="Calibri" w:hAnsi="Calibri" w:cs="Calibri"/>
          <w:b/>
          <w:bCs/>
          <w:sz w:val="20"/>
          <w:szCs w:val="20"/>
        </w:rPr>
        <w:t>surveillance</w:t>
      </w:r>
      <w:r w:rsidRPr="003D3CCF">
        <w:rPr>
          <w:rFonts w:ascii="Calibri" w:hAnsi="Calibri" w:cs="Calibri"/>
          <w:sz w:val="20"/>
          <w:szCs w:val="20"/>
        </w:rPr>
        <w:t xml:space="preserve"> to monitor ongoing performance and detect unintended consequences.</w:t>
      </w:r>
    </w:p>
    <w:p w14:paraId="32F394A5" w14:textId="77777777" w:rsidR="003D3CCF" w:rsidRPr="003D3CCF" w:rsidRDefault="003D3CCF" w:rsidP="003D3CCF">
      <w:pPr>
        <w:pStyle w:val="ListParagraph"/>
        <w:adjustRightInd w:val="0"/>
        <w:snapToGrid w:val="0"/>
        <w:spacing w:after="0" w:line="240" w:lineRule="auto"/>
        <w:ind w:left="360"/>
        <w:contextualSpacing w:val="0"/>
        <w:jc w:val="both"/>
        <w:rPr>
          <w:rFonts w:ascii="Calibri" w:hAnsi="Calibri" w:cs="Calibri"/>
          <w:sz w:val="10"/>
          <w:szCs w:val="10"/>
        </w:rPr>
      </w:pPr>
    </w:p>
    <w:p w14:paraId="6D911A85" w14:textId="1DF72BA0" w:rsidR="0075101A" w:rsidRPr="003026E6" w:rsidRDefault="00000000" w:rsidP="003D3CCF">
      <w:pPr>
        <w:pStyle w:val="Heading1"/>
        <w:numPr>
          <w:ilvl w:val="0"/>
          <w:numId w:val="16"/>
        </w:numPr>
        <w:adjustRightInd w:val="0"/>
        <w:snapToGrid w:val="0"/>
        <w:spacing w:before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026E6">
        <w:rPr>
          <w:rFonts w:ascii="Calibri" w:hAnsi="Calibri" w:cs="Calibri"/>
          <w:sz w:val="20"/>
          <w:szCs w:val="20"/>
        </w:rPr>
        <w:t>How can evaluation frameworks be standardized across different devices and applications to ensure consistency and fairness in the evaluation process?</w:t>
      </w:r>
    </w:p>
    <w:p w14:paraId="252D1E06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43888FFF" w14:textId="6540BA87" w:rsidR="0081438B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>Standardization requires a multi-stakeholder</w:t>
      </w:r>
      <w:r w:rsidR="003026E6">
        <w:rPr>
          <w:rFonts w:ascii="Calibri" w:hAnsi="Calibri" w:cs="Calibri"/>
          <w:sz w:val="20"/>
          <w:szCs w:val="20"/>
        </w:rPr>
        <w:t>, multi-disciplinary</w:t>
      </w:r>
      <w:r w:rsidRPr="003D3CCF">
        <w:rPr>
          <w:rFonts w:ascii="Calibri" w:hAnsi="Calibri" w:cs="Calibri"/>
          <w:sz w:val="20"/>
          <w:szCs w:val="20"/>
        </w:rPr>
        <w:t xml:space="preserve"> effort to develop universal metrics and protocols. Regulatory bodies like the FDA and international organizations can:</w:t>
      </w:r>
    </w:p>
    <w:p w14:paraId="7C7C7AFF" w14:textId="77777777" w:rsidR="003026E6" w:rsidRPr="003026E6" w:rsidRDefault="003026E6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EF76FCD" w14:textId="3EE79F23" w:rsidR="0081438B" w:rsidRPr="003D3CCF" w:rsidRDefault="00000000" w:rsidP="003D3CCF">
      <w:pPr>
        <w:pStyle w:val="ListParagraph"/>
        <w:numPr>
          <w:ilvl w:val="0"/>
          <w:numId w:val="19"/>
        </w:numPr>
        <w:adjustRightInd w:val="0"/>
        <w:snapToGrid w:val="0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Define baseline </w:t>
      </w:r>
      <w:r w:rsidRPr="003026E6">
        <w:rPr>
          <w:rFonts w:ascii="Calibri" w:hAnsi="Calibri" w:cs="Calibri"/>
          <w:b/>
          <w:bCs/>
          <w:sz w:val="20"/>
          <w:szCs w:val="20"/>
        </w:rPr>
        <w:t>performance metrics</w:t>
      </w:r>
      <w:r w:rsidRPr="003D3CCF">
        <w:rPr>
          <w:rFonts w:ascii="Calibri" w:hAnsi="Calibri" w:cs="Calibri"/>
          <w:sz w:val="20"/>
          <w:szCs w:val="20"/>
        </w:rPr>
        <w:t xml:space="preserve"> (e.g., sensitivity, specificity, false positive rate).</w:t>
      </w:r>
    </w:p>
    <w:p w14:paraId="2BD6C256" w14:textId="373FAC41" w:rsidR="0081438B" w:rsidRPr="003D3CCF" w:rsidRDefault="00000000" w:rsidP="003D3CCF">
      <w:pPr>
        <w:pStyle w:val="ListParagraph"/>
        <w:numPr>
          <w:ilvl w:val="0"/>
          <w:numId w:val="19"/>
        </w:numPr>
        <w:adjustRightInd w:val="0"/>
        <w:snapToGrid w:val="0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Promote use of </w:t>
      </w:r>
      <w:r w:rsidRPr="003026E6">
        <w:rPr>
          <w:rFonts w:ascii="Calibri" w:hAnsi="Calibri" w:cs="Calibri"/>
          <w:b/>
          <w:bCs/>
          <w:sz w:val="20"/>
          <w:szCs w:val="20"/>
        </w:rPr>
        <w:t>benchmark datasets</w:t>
      </w:r>
      <w:r w:rsidRPr="003D3CCF">
        <w:rPr>
          <w:rFonts w:ascii="Calibri" w:hAnsi="Calibri" w:cs="Calibri"/>
          <w:sz w:val="20"/>
          <w:szCs w:val="20"/>
        </w:rPr>
        <w:t xml:space="preserve"> to compare devices.</w:t>
      </w:r>
    </w:p>
    <w:p w14:paraId="02C74099" w14:textId="21C0E15A" w:rsidR="0081438B" w:rsidRPr="003D3CCF" w:rsidRDefault="00000000" w:rsidP="003D3CCF">
      <w:pPr>
        <w:pStyle w:val="ListParagraph"/>
        <w:numPr>
          <w:ilvl w:val="0"/>
          <w:numId w:val="19"/>
        </w:numPr>
        <w:adjustRightInd w:val="0"/>
        <w:snapToGrid w:val="0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Create </w:t>
      </w:r>
      <w:r w:rsidRPr="003026E6">
        <w:rPr>
          <w:rFonts w:ascii="Calibri" w:hAnsi="Calibri" w:cs="Calibri"/>
          <w:b/>
          <w:bCs/>
          <w:sz w:val="20"/>
          <w:szCs w:val="20"/>
        </w:rPr>
        <w:t>pre-certification</w:t>
      </w:r>
      <w:r w:rsidRPr="003D3CCF">
        <w:rPr>
          <w:rFonts w:ascii="Calibri" w:hAnsi="Calibri" w:cs="Calibri"/>
          <w:sz w:val="20"/>
          <w:szCs w:val="20"/>
        </w:rPr>
        <w:t xml:space="preserve"> programs similar to software validation, tailored to iterative AI updates.</w:t>
      </w:r>
    </w:p>
    <w:p w14:paraId="0B94D6C6" w14:textId="77777777" w:rsidR="0081438B" w:rsidRPr="003D3CCF" w:rsidRDefault="0081438B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72B35248" w14:textId="46CEEE32" w:rsidR="0075101A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>Standard frameworks should also account for differences in clinical use cases (e.g., diagnosis vs. triage) to ensure relevance while maintaining consistency.</w:t>
      </w:r>
    </w:p>
    <w:p w14:paraId="399A1375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646878A2" w14:textId="61BB29AD" w:rsidR="0075101A" w:rsidRPr="003026E6" w:rsidRDefault="00000000" w:rsidP="003D3CCF">
      <w:pPr>
        <w:pStyle w:val="Heading1"/>
        <w:numPr>
          <w:ilvl w:val="0"/>
          <w:numId w:val="16"/>
        </w:numPr>
        <w:adjustRightInd w:val="0"/>
        <w:snapToGrid w:val="0"/>
        <w:spacing w:before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026E6">
        <w:rPr>
          <w:rFonts w:ascii="Calibri" w:hAnsi="Calibri" w:cs="Calibri"/>
          <w:sz w:val="20"/>
          <w:szCs w:val="20"/>
        </w:rPr>
        <w:t>How can these stakeholders work together to establish guidelines and standards for evaluation, and what steps can be taken to ensure that these guidelines are followed?</w:t>
      </w:r>
    </w:p>
    <w:p w14:paraId="1AF53194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2FC54B05" w14:textId="66E93077" w:rsidR="003D3CCF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>Stakeholders—developers, healthcare professionals, regulators, ethicists, and patients—must engage in ongoing dialogue via working groups and public-private partnerships. Steps to ensure guideline adoption include:</w:t>
      </w:r>
    </w:p>
    <w:p w14:paraId="41FDE1D1" w14:textId="77777777" w:rsidR="003026E6" w:rsidRPr="003026E6" w:rsidRDefault="003026E6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7719F0D8" w14:textId="4B2A3286" w:rsidR="003D3CCF" w:rsidRPr="003D3CCF" w:rsidRDefault="00000000" w:rsidP="003D3CCF">
      <w:pPr>
        <w:pStyle w:val="ListParagraph"/>
        <w:numPr>
          <w:ilvl w:val="0"/>
          <w:numId w:val="22"/>
        </w:numPr>
        <w:adjustRightInd w:val="0"/>
        <w:snapToGrid w:val="0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Creating </w:t>
      </w:r>
      <w:r w:rsidRPr="003026E6">
        <w:rPr>
          <w:rFonts w:ascii="Calibri" w:hAnsi="Calibri" w:cs="Calibri"/>
          <w:b/>
          <w:bCs/>
          <w:sz w:val="20"/>
          <w:szCs w:val="20"/>
        </w:rPr>
        <w:t>regulatory sandboxes</w:t>
      </w:r>
      <w:r w:rsidRPr="003D3CCF">
        <w:rPr>
          <w:rFonts w:ascii="Calibri" w:hAnsi="Calibri" w:cs="Calibri"/>
          <w:sz w:val="20"/>
          <w:szCs w:val="20"/>
        </w:rPr>
        <w:t xml:space="preserve"> to safely test AI tools in clinical environments.</w:t>
      </w:r>
    </w:p>
    <w:p w14:paraId="2657E923" w14:textId="69C18815" w:rsidR="003D3CCF" w:rsidRPr="003D3CCF" w:rsidRDefault="00000000" w:rsidP="003D3CCF">
      <w:pPr>
        <w:pStyle w:val="ListParagraph"/>
        <w:numPr>
          <w:ilvl w:val="0"/>
          <w:numId w:val="22"/>
        </w:numPr>
        <w:adjustRightInd w:val="0"/>
        <w:snapToGrid w:val="0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Publishing </w:t>
      </w:r>
      <w:r w:rsidRPr="003026E6">
        <w:rPr>
          <w:rFonts w:ascii="Calibri" w:hAnsi="Calibri" w:cs="Calibri"/>
          <w:b/>
          <w:bCs/>
          <w:sz w:val="20"/>
          <w:szCs w:val="20"/>
        </w:rPr>
        <w:t>transparent reporting checklists</w:t>
      </w:r>
      <w:r w:rsidRPr="003D3CCF">
        <w:rPr>
          <w:rFonts w:ascii="Calibri" w:hAnsi="Calibri" w:cs="Calibri"/>
          <w:sz w:val="20"/>
          <w:szCs w:val="20"/>
        </w:rPr>
        <w:t xml:space="preserve"> (like MINIMAR or CONSORT-AI).</w:t>
      </w:r>
    </w:p>
    <w:p w14:paraId="7A59C30B" w14:textId="0C316A00" w:rsidR="003D3CCF" w:rsidRPr="003D3CCF" w:rsidRDefault="00000000" w:rsidP="003D3CCF">
      <w:pPr>
        <w:pStyle w:val="ListParagraph"/>
        <w:numPr>
          <w:ilvl w:val="0"/>
          <w:numId w:val="22"/>
        </w:numPr>
        <w:adjustRightInd w:val="0"/>
        <w:snapToGrid w:val="0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Mandating post-deployment </w:t>
      </w:r>
      <w:r w:rsidRPr="003026E6">
        <w:rPr>
          <w:rFonts w:ascii="Calibri" w:hAnsi="Calibri" w:cs="Calibri"/>
          <w:b/>
          <w:bCs/>
          <w:sz w:val="20"/>
          <w:szCs w:val="20"/>
        </w:rPr>
        <w:t>audits</w:t>
      </w:r>
      <w:r w:rsidRPr="003D3CCF">
        <w:rPr>
          <w:rFonts w:ascii="Calibri" w:hAnsi="Calibri" w:cs="Calibri"/>
          <w:sz w:val="20"/>
          <w:szCs w:val="20"/>
        </w:rPr>
        <w:t xml:space="preserve"> and </w:t>
      </w:r>
      <w:r w:rsidRPr="003026E6">
        <w:rPr>
          <w:rFonts w:ascii="Calibri" w:hAnsi="Calibri" w:cs="Calibri"/>
          <w:b/>
          <w:bCs/>
          <w:sz w:val="20"/>
          <w:szCs w:val="20"/>
        </w:rPr>
        <w:t>accountability</w:t>
      </w:r>
      <w:r w:rsidRPr="003D3CCF">
        <w:rPr>
          <w:rFonts w:ascii="Calibri" w:hAnsi="Calibri" w:cs="Calibri"/>
          <w:sz w:val="20"/>
          <w:szCs w:val="20"/>
        </w:rPr>
        <w:t xml:space="preserve"> mechanisms to enforce compliance.</w:t>
      </w:r>
    </w:p>
    <w:p w14:paraId="34F0F812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6E8CF06" w14:textId="6E25A327" w:rsidR="0075101A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>Professional societies (e.g., AMA, RSNA) can also play a role by issuing ethical guidelines and certifying compliance with standards.</w:t>
      </w:r>
    </w:p>
    <w:p w14:paraId="14B2D6F8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5EC96C0B" w14:textId="0D8D1997" w:rsidR="003D3CCF" w:rsidRPr="003026E6" w:rsidRDefault="00000000" w:rsidP="003D3CCF">
      <w:pPr>
        <w:pStyle w:val="Heading1"/>
        <w:numPr>
          <w:ilvl w:val="0"/>
          <w:numId w:val="16"/>
        </w:numPr>
        <w:adjustRightInd w:val="0"/>
        <w:snapToGrid w:val="0"/>
        <w:spacing w:before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3026E6">
        <w:rPr>
          <w:rFonts w:ascii="Calibri" w:hAnsi="Calibri" w:cs="Calibri"/>
          <w:sz w:val="20"/>
          <w:szCs w:val="20"/>
        </w:rPr>
        <w:t>Recommended Resource</w:t>
      </w:r>
    </w:p>
    <w:p w14:paraId="1826FADA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29D30B43" w14:textId="77777777" w:rsidR="003D3CCF" w:rsidRPr="003D3CCF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3D3CCF">
        <w:rPr>
          <w:rFonts w:ascii="Calibri" w:hAnsi="Calibri" w:cs="Calibri"/>
          <w:b/>
          <w:bCs/>
          <w:i/>
          <w:iCs/>
          <w:sz w:val="20"/>
          <w:szCs w:val="20"/>
        </w:rPr>
        <w:t>“Artificial Intelligence in Health Care: The Hope, The Hype, The Promise, The Peril”</w:t>
      </w:r>
    </w:p>
    <w:p w14:paraId="1272DC27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2E90FFC" w14:textId="518C67B1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000000" w:rsidRPr="003D3CCF">
        <w:rPr>
          <w:rFonts w:ascii="Calibri" w:hAnsi="Calibri" w:cs="Calibri"/>
          <w:sz w:val="20"/>
          <w:szCs w:val="20"/>
        </w:rPr>
        <w:t>ublished by the National Academy of Medicine (NAM)</w:t>
      </w:r>
    </w:p>
    <w:p w14:paraId="696E1EB7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Apple Color Emoji" w:hAnsi="Apple Color Emoji" w:cs="Apple Color Emoji"/>
          <w:sz w:val="10"/>
          <w:szCs w:val="10"/>
        </w:rPr>
      </w:pPr>
    </w:p>
    <w:p w14:paraId="5B250130" w14:textId="75697303" w:rsidR="003D3CCF" w:rsidRPr="003D3CCF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Link: </w:t>
      </w:r>
      <w:hyperlink r:id="rId6" w:history="1">
        <w:r w:rsidR="003D3CCF" w:rsidRPr="003D3CCF">
          <w:rPr>
            <w:rStyle w:val="Hyperlink"/>
            <w:rFonts w:ascii="Calibri" w:hAnsi="Calibri" w:cs="Calibri"/>
            <w:sz w:val="20"/>
            <w:szCs w:val="20"/>
          </w:rPr>
          <w:t>https://nam.edu/artificial-intelligence-special-publication/</w:t>
        </w:r>
      </w:hyperlink>
    </w:p>
    <w:p w14:paraId="3D0488BD" w14:textId="77777777" w:rsidR="003D3CCF" w:rsidRPr="003D3CCF" w:rsidRDefault="003D3CCF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41EE8044" w14:textId="12E289CF" w:rsidR="0075101A" w:rsidRPr="003D3CCF" w:rsidRDefault="00000000" w:rsidP="003D3CCF">
      <w:pPr>
        <w:adjustRightInd w:val="0"/>
        <w:snapToGri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3CCF">
        <w:rPr>
          <w:rFonts w:ascii="Calibri" w:hAnsi="Calibri" w:cs="Calibri"/>
          <w:sz w:val="20"/>
          <w:szCs w:val="20"/>
        </w:rPr>
        <w:t xml:space="preserve">Why </w:t>
      </w:r>
      <w:r w:rsidR="003026E6">
        <w:rPr>
          <w:rFonts w:ascii="Calibri" w:hAnsi="Calibri" w:cs="Calibri"/>
          <w:sz w:val="20"/>
          <w:szCs w:val="20"/>
        </w:rPr>
        <w:t xml:space="preserve">is </w:t>
      </w:r>
      <w:r w:rsidR="003D3CCF" w:rsidRPr="003D3CCF">
        <w:rPr>
          <w:rFonts w:ascii="Calibri" w:hAnsi="Calibri" w:cs="Calibri"/>
          <w:sz w:val="20"/>
          <w:szCs w:val="20"/>
        </w:rPr>
        <w:t xml:space="preserve">it </w:t>
      </w:r>
      <w:r w:rsidRPr="003D3CCF">
        <w:rPr>
          <w:rFonts w:ascii="Calibri" w:hAnsi="Calibri" w:cs="Calibri"/>
          <w:sz w:val="20"/>
          <w:szCs w:val="20"/>
        </w:rPr>
        <w:t>recommended</w:t>
      </w:r>
      <w:r w:rsidR="003026E6">
        <w:rPr>
          <w:rFonts w:ascii="Calibri" w:hAnsi="Calibri" w:cs="Calibri"/>
          <w:sz w:val="20"/>
          <w:szCs w:val="20"/>
        </w:rPr>
        <w:t xml:space="preserve">? </w:t>
      </w:r>
      <w:r w:rsidRPr="003D3CCF">
        <w:rPr>
          <w:rFonts w:ascii="Calibri" w:hAnsi="Calibri" w:cs="Calibri"/>
          <w:sz w:val="20"/>
          <w:szCs w:val="20"/>
        </w:rPr>
        <w:t>This comprehensive report</w:t>
      </w:r>
      <w:r w:rsidR="003026E6">
        <w:rPr>
          <w:rFonts w:ascii="Calibri" w:hAnsi="Calibri" w:cs="Calibri"/>
          <w:sz w:val="20"/>
          <w:szCs w:val="20"/>
        </w:rPr>
        <w:t>, which comes from a highly reputable source,</w:t>
      </w:r>
      <w:r w:rsidRPr="003D3CCF">
        <w:rPr>
          <w:rFonts w:ascii="Calibri" w:hAnsi="Calibri" w:cs="Calibri"/>
          <w:sz w:val="20"/>
          <w:szCs w:val="20"/>
        </w:rPr>
        <w:t xml:space="preserve"> outlines practical recommendations for governance, evaluation, and ethical deployment of medical AI. It complements the Stanford article</w:t>
      </w:r>
      <w:r w:rsidR="003026E6">
        <w:rPr>
          <w:rFonts w:ascii="Calibri" w:hAnsi="Calibri" w:cs="Calibri"/>
          <w:sz w:val="20"/>
          <w:szCs w:val="20"/>
        </w:rPr>
        <w:t xml:space="preserve">, another highly recommended source, </w:t>
      </w:r>
      <w:r w:rsidRPr="003D3CCF">
        <w:rPr>
          <w:rFonts w:ascii="Calibri" w:hAnsi="Calibri" w:cs="Calibri"/>
          <w:sz w:val="20"/>
          <w:szCs w:val="20"/>
        </w:rPr>
        <w:t>by offering real-world frameworks,</w:t>
      </w:r>
      <w:r w:rsidR="003026E6">
        <w:rPr>
          <w:rFonts w:ascii="Calibri" w:hAnsi="Calibri" w:cs="Calibri"/>
          <w:sz w:val="20"/>
          <w:szCs w:val="20"/>
        </w:rPr>
        <w:t xml:space="preserve"> </w:t>
      </w:r>
      <w:r w:rsidRPr="003D3CCF">
        <w:rPr>
          <w:rFonts w:ascii="Calibri" w:hAnsi="Calibri" w:cs="Calibri"/>
          <w:sz w:val="20"/>
          <w:szCs w:val="20"/>
        </w:rPr>
        <w:t>cross-sector perspectives, and insights into regulatory challenges.</w:t>
      </w:r>
    </w:p>
    <w:sectPr w:rsidR="0075101A" w:rsidRPr="003D3CCF" w:rsidSect="003D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73D5A"/>
    <w:multiLevelType w:val="hybridMultilevel"/>
    <w:tmpl w:val="B466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C12E88"/>
    <w:multiLevelType w:val="hybridMultilevel"/>
    <w:tmpl w:val="34D8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26DF"/>
    <w:multiLevelType w:val="hybridMultilevel"/>
    <w:tmpl w:val="814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9D0"/>
    <w:multiLevelType w:val="hybridMultilevel"/>
    <w:tmpl w:val="05CA9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11298"/>
    <w:multiLevelType w:val="hybridMultilevel"/>
    <w:tmpl w:val="D2D240D8"/>
    <w:lvl w:ilvl="0" w:tplc="FE36EB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2119D"/>
    <w:multiLevelType w:val="hybridMultilevel"/>
    <w:tmpl w:val="B3A2D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C79A8"/>
    <w:multiLevelType w:val="hybridMultilevel"/>
    <w:tmpl w:val="E570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C789C"/>
    <w:multiLevelType w:val="hybridMultilevel"/>
    <w:tmpl w:val="EA647D2E"/>
    <w:lvl w:ilvl="0" w:tplc="FE36E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86706"/>
    <w:multiLevelType w:val="hybridMultilevel"/>
    <w:tmpl w:val="545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D4175"/>
    <w:multiLevelType w:val="hybridMultilevel"/>
    <w:tmpl w:val="D80A8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27050"/>
    <w:multiLevelType w:val="hybridMultilevel"/>
    <w:tmpl w:val="CF441FA6"/>
    <w:lvl w:ilvl="0" w:tplc="FE36EB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B1978"/>
    <w:multiLevelType w:val="hybridMultilevel"/>
    <w:tmpl w:val="19C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80792"/>
    <w:multiLevelType w:val="hybridMultilevel"/>
    <w:tmpl w:val="4DF64C1E"/>
    <w:lvl w:ilvl="0" w:tplc="FE36E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3921">
    <w:abstractNumId w:val="8"/>
  </w:num>
  <w:num w:numId="2" w16cid:durableId="284892909">
    <w:abstractNumId w:val="6"/>
  </w:num>
  <w:num w:numId="3" w16cid:durableId="2061972262">
    <w:abstractNumId w:val="5"/>
  </w:num>
  <w:num w:numId="4" w16cid:durableId="1566526349">
    <w:abstractNumId w:val="4"/>
  </w:num>
  <w:num w:numId="5" w16cid:durableId="289366278">
    <w:abstractNumId w:val="7"/>
  </w:num>
  <w:num w:numId="6" w16cid:durableId="247732680">
    <w:abstractNumId w:val="3"/>
  </w:num>
  <w:num w:numId="7" w16cid:durableId="1038117523">
    <w:abstractNumId w:val="2"/>
  </w:num>
  <w:num w:numId="8" w16cid:durableId="1753693742">
    <w:abstractNumId w:val="1"/>
  </w:num>
  <w:num w:numId="9" w16cid:durableId="208803631">
    <w:abstractNumId w:val="0"/>
  </w:num>
  <w:num w:numId="10" w16cid:durableId="250092514">
    <w:abstractNumId w:val="17"/>
  </w:num>
  <w:num w:numId="11" w16cid:durableId="344131440">
    <w:abstractNumId w:val="16"/>
  </w:num>
  <w:num w:numId="12" w16cid:durableId="975185247">
    <w:abstractNumId w:val="21"/>
  </w:num>
  <w:num w:numId="13" w16cid:durableId="1128207534">
    <w:abstractNumId w:val="10"/>
  </w:num>
  <w:num w:numId="14" w16cid:durableId="783814090">
    <w:abstractNumId w:val="14"/>
  </w:num>
  <w:num w:numId="15" w16cid:durableId="1320235229">
    <w:abstractNumId w:val="18"/>
  </w:num>
  <w:num w:numId="16" w16cid:durableId="1298611096">
    <w:abstractNumId w:val="12"/>
  </w:num>
  <w:num w:numId="17" w16cid:durableId="1323970931">
    <w:abstractNumId w:val="15"/>
  </w:num>
  <w:num w:numId="18" w16cid:durableId="1708487967">
    <w:abstractNumId w:val="19"/>
  </w:num>
  <w:num w:numId="19" w16cid:durableId="1726102172">
    <w:abstractNumId w:val="11"/>
  </w:num>
  <w:num w:numId="20" w16cid:durableId="1578322201">
    <w:abstractNumId w:val="9"/>
  </w:num>
  <w:num w:numId="21" w16cid:durableId="809858485">
    <w:abstractNumId w:val="13"/>
  </w:num>
  <w:num w:numId="22" w16cid:durableId="12522805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6E6"/>
    <w:rsid w:val="00326F90"/>
    <w:rsid w:val="003D3CCF"/>
    <w:rsid w:val="0075101A"/>
    <w:rsid w:val="0081438B"/>
    <w:rsid w:val="008A1F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DFC3"/>
  <w14:defaultImageDpi w14:val="300"/>
  <w15:docId w15:val="{BAC02CB6-E25F-1B4C-A405-50EB85C9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3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m.edu/artificial-intelligence-special-public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Eneas da Silva Maria</cp:lastModifiedBy>
  <cp:revision>3</cp:revision>
  <dcterms:created xsi:type="dcterms:W3CDTF">2013-12-23T23:15:00Z</dcterms:created>
  <dcterms:modified xsi:type="dcterms:W3CDTF">2025-07-03T18:14:00Z</dcterms:modified>
  <cp:category/>
</cp:coreProperties>
</file>