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doc13</w:t>
      </w:r>
    </w:p>
    <w:p>
      <w:r>
        <w:t xml:space="preserve">Also, the use of more than one soundtrack allows us to control different characters with overlapping actions. From an outside perspective, the machine distorts their original painting style, both on the short term artworks resulting from their interaction (see Figure 2), and on their long term body of work as it inspired them on their machine-free paintings. Our method is designed to learn from a traditionally animated sequence, where each frame is drawn by an artist, and thus the input images lack any common structure, correspondences, or labels. Intuitively, each icon and its corresponding contour can match, and otherwise cannot. Experiment results demonstrate that our network is over the previous networks.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