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doc5</w:t>
      </w:r>
    </w:p>
    <w:p>
      <w:r>
        <w:t xml:space="preserve">The trained network is able to colorize icons demanded by designers and greatly reduces their workload. With the on-going technological revolution, the human-machine interaction is deeply evolving. We can observe that the term is not used uniformly and that it is frequently exchanged with other terms. We propose Neural Turtle Graphics, a novel generative model for spatial graphs, and demonstrate its applications in modeling city road layouts. All these notions have a lot in common, yet there is a major discrepancy in the terminology and basic understanding about visual abstraction in the context of visualization. This is because investigating geometric styles is more challenging due to arbitrary topologies, curved metrics, and non-uniform discretization. </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