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doc6</w:t>
      </w:r>
    </w:p>
    <w:p>
      <w:r>
        <w:t xml:space="preserve">Effective icons are usually simple but distinguishable, so that users can quickly receive the intended information when seeing them at a small size or a long distance. To combat the uncertainty of future prediction, we also extract latent codes both for motion and appearance, which depict potential future variations and enable the learning of one-to-many mappings. Computer animation generation is an essential tool for entertainment industries such as animation studios or video games developers. Progressive refinements on rendering algorithms, such as Bi-Directional Path tracing and Metropolis Light Transport have increased the efficiency of rendering engines in scenarios in which light paths are difficult to evaluate due to the high amount of indirect lighting and Global Illumination. The recorded soundtrack is automatically analyzed to extract every instance and type of sounds.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