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doc7</w:t>
      </w:r>
    </w:p>
    <w:p>
      <w:r>
        <w:t xml:space="preserve">At its rounds, the computer partially completes the drawing using machine learning algorithms, and projects its additions directly on the canvas, which the artists are free to insert or modify. For some images, this investigation leads to an “Aha!” moment, where the viewer understands the structure of an image. This goal is achieved by training a dual conditional generative adversarial network (GAN) on our collected icon dataset. The class hierarchy as the outcome of such abstraction gives a clear understanding of differences in functionality among various classes as well as what they have in common.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