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doc16</w:t>
      </w:r>
    </w:p>
    <w:p>
      <w:r>
        <w:t xml:space="preserve">In this work, we propose a new utilisation of the machine, integrating it at the core of a human creative process. Semi-supervised learning has been proved powerful for leveraging unlabeled data when we lack the resources to create large scale labeled dataset. At the same time, cortical modeling also led to deep convolution networks, which led to GANs and trained discriminative networks, which, in turn, have led to improved neuroscience models. Different forms of the constraint can produce different enhancement effects, such as maintaining the original features as much as possible or creating sharper features.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