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doc23</w:t>
      </w:r>
    </w:p>
    <w:p>
      <w:r>
        <w:t xml:space="preserve">Rather than training a discriminator to recognize whether an icon is man-made or machine-generated, we train two discriminators to determine whether paired images are similar in structure and color. In contrast with supervised learning methods that could only use labeled examples, SSL effectively uses the unlabeled samples to learn the underlying distribution of the data.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