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doc34</w:t>
      </w:r>
    </w:p>
    <w:p>
      <w:r>
        <w:t xml:space="preserve">One condition requires the generated image and the drawn contour to possess a similar contour, while the other anticipates the image and the referenced icon to be similar in color style. In this work, we propose a new utilisation of the machine, integrating it at the core of a human creative process. The most immediate way to apply Machine Learning to graphics and ray tracing is to operate on the final rendered image level.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