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doc37</w:t>
      </w:r>
    </w:p>
    <w:p>
      <w:r>
        <w:t xml:space="preserve">Also, the use of more than one soundtrack allows us to control different characters with overlapping actions. Nowadays, icons are widely utilized in banners, signboards, billboards, homepages, and mobile apps. Considering aesthetics and practical issues, designing an eye-catching icon is challenging. Most recent neural semi-supervised learning algorithms rely on adding small perturbation to either the input vectors or their representations. Alongside fostering creativity, the process is designed to question the growing interaction between humans and machines.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