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doc43</w:t>
      </w:r>
    </w:p>
    <w:p>
      <w:r>
        <w:t xml:space="preserve">Some understanding has been gained. For the evaluation, we compared our dual conditional GAN to several state-of-the-art techniques. Considering aesthetics and practical issues, designing an eye-catching icon is challenging. An abstraction is a process that transforms a source thing into a less concrete sign thing of the source thing. In contrast with supervised learning methods that could only use labeled examples, SSL effectively uses the unlabeled samples to learn the underlying distribution of the data.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