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doc8</w:t>
      </w:r>
    </w:p>
    <w:p>
      <w:r>
        <w:t xml:space="preserve">Intuitively, each icon and its corresponding contour can match, and otherwise cannot. In this article we revisit the concept of abstraction as it is used in visualization and put it on a solid formal footing. In contrast with supervised learning methods that could only use labeled examples, SSL effectively uses the unlabeled samples to learn the underlying distribution of the data. In text classification tasks, each input text is a sequence of tokens and each token is represented by an one-hot vector which forms a sparse high-dimensional space.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