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0FD7" w:rsidRDefault="008712A0">
      <w:pPr>
        <w:spacing w:after="100" w:line="276" w:lineRule="auto"/>
        <w:jc w:val="both"/>
      </w:pPr>
      <w:r>
        <w:rPr>
          <w:b/>
          <w:bCs/>
        </w:rPr>
        <w:t>UNIVERSIDAD DE MANIZALES</w:t>
      </w:r>
    </w:p>
    <w:p w:rsidR="00480FD7" w:rsidRDefault="008712A0">
      <w:pPr>
        <w:spacing w:after="100" w:line="276" w:lineRule="auto"/>
        <w:jc w:val="both"/>
      </w:pPr>
      <w:r>
        <w:t>Facultad de Ciencias Sociales y Humanas | Facultad de Ciencias e Ingenierías</w:t>
      </w:r>
    </w:p>
    <w:p w:rsidR="00480FD7" w:rsidRDefault="008712A0">
      <w:pPr>
        <w:spacing w:after="100" w:line="276" w:lineRule="auto"/>
        <w:jc w:val="both"/>
      </w:pPr>
      <w:r>
        <w:rPr>
          <w:b/>
          <w:bCs/>
        </w:rPr>
        <w:t>Maestría en Educación y Transformación Digital</w:t>
      </w:r>
    </w:p>
    <w:p w:rsidR="00480FD7" w:rsidRDefault="008712A0">
      <w:pPr>
        <w:spacing w:after="100" w:line="276" w:lineRule="auto"/>
        <w:jc w:val="both"/>
      </w:pPr>
      <w:r>
        <w:t>Propuesta de investigación</w:t>
      </w:r>
    </w:p>
    <w:p w:rsidR="00480FD7" w:rsidRDefault="00480FD7">
      <w:pPr>
        <w:spacing w:after="100" w:line="276" w:lineRule="auto"/>
        <w:jc w:val="both"/>
      </w:pPr>
    </w:p>
    <w:p w:rsidR="00724EA0" w:rsidRDefault="00724EA0">
      <w:pPr>
        <w:spacing w:after="100" w:line="276" w:lineRule="auto"/>
        <w:jc w:val="both"/>
        <w:rPr>
          <w:b/>
          <w:bCs/>
        </w:rPr>
      </w:pPr>
    </w:p>
    <w:p w:rsidR="00C65F82" w:rsidRDefault="00724EA0">
      <w:pPr>
        <w:spacing w:after="100" w:line="276" w:lineRule="auto"/>
        <w:jc w:val="both"/>
        <w:rPr>
          <w:b/>
          <w:bCs/>
        </w:rPr>
      </w:pPr>
      <w:r>
        <w:t>Estrategia didáctica adaptativa fundamentada en APOE con apoyo de IA generativa para el seguimiento formativo de la comprensión conceptual de la derivada como razón de cambio en Cálculo Diferencial.</w:t>
      </w:r>
    </w:p>
    <w:p w:rsidR="00724EA0" w:rsidRPr="00C65F82" w:rsidRDefault="00724EA0">
      <w:pPr>
        <w:spacing w:after="100" w:line="276" w:lineRule="auto"/>
        <w:jc w:val="both"/>
        <w:rPr>
          <w:lang w:val="en-US"/>
        </w:rPr>
      </w:pPr>
      <w:r w:rsidRPr="00043F4A">
        <w:rPr>
          <w:lang w:val="en-US"/>
        </w:rPr>
        <w:t>APOS-based adaptive didactic strategy supported by generative artificial intelligence for the formative monitoring of conceptual understanding of the derivative as a rate of change in Differential Calculus.</w:t>
      </w:r>
    </w:p>
    <w:p w:rsidR="00480FD7" w:rsidRPr="00C65F82" w:rsidRDefault="00480FD7">
      <w:pPr>
        <w:spacing w:after="100" w:line="276" w:lineRule="auto"/>
        <w:jc w:val="both"/>
        <w:rPr>
          <w:lang w:val="en-U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6526"/>
      </w:tblGrid>
      <w:tr w:rsidR="00480FD7">
        <w:trPr>
          <w:cantSplit/>
          <w:tblHeader/>
          <w:jc w:val="center"/>
        </w:trPr>
        <w:tc>
          <w:tcPr>
            <w:tcW w:w="2500" w:type="dxa"/>
            <w:tcBorders>
              <w:top w:val="single" w:sz="1" w:space="0" w:color="CCCCCC"/>
              <w:left w:val="single" w:sz="1" w:space="0" w:color="CCCCCC"/>
              <w:bottom w:val="single" w:sz="1" w:space="0" w:color="CCCCCC"/>
              <w:right w:val="single" w:sz="1" w:space="0" w:color="CCCCCC"/>
            </w:tcBorders>
            <w:tcMar>
              <w:top w:w="45" w:type="dxa"/>
              <w:left w:w="55" w:type="dxa"/>
              <w:bottom w:w="45" w:type="dxa"/>
              <w:right w:w="55" w:type="dxa"/>
            </w:tcMar>
          </w:tcPr>
          <w:p w:rsidR="00480FD7" w:rsidRDefault="008712A0">
            <w:pPr>
              <w:spacing w:after="40"/>
              <w:jc w:val="both"/>
            </w:pPr>
            <w:r>
              <w:rPr>
                <w:b/>
                <w:bCs/>
                <w:sz w:val="22"/>
                <w:szCs w:val="22"/>
              </w:rPr>
              <w:t>Investigador:</w:t>
            </w:r>
          </w:p>
        </w:tc>
        <w:tc>
          <w:tcPr>
            <w:tcW w:w="6525" w:type="dxa"/>
            <w:tcBorders>
              <w:top w:val="single" w:sz="1" w:space="0" w:color="CCCCCC"/>
              <w:left w:val="single" w:sz="1" w:space="0" w:color="CCCCCC"/>
              <w:bottom w:val="single" w:sz="1" w:space="0" w:color="CCCCCC"/>
              <w:right w:val="single" w:sz="1" w:space="0" w:color="CCCCCC"/>
            </w:tcBorders>
            <w:tcMar>
              <w:top w:w="45" w:type="dxa"/>
              <w:left w:w="55" w:type="dxa"/>
              <w:bottom w:w="45" w:type="dxa"/>
              <w:right w:w="55" w:type="dxa"/>
            </w:tcMar>
          </w:tcPr>
          <w:p w:rsidR="00480FD7" w:rsidRDefault="008712A0">
            <w:pPr>
              <w:spacing w:after="40"/>
              <w:jc w:val="both"/>
            </w:pPr>
            <w:r>
              <w:rPr>
                <w:sz w:val="22"/>
                <w:szCs w:val="22"/>
              </w:rPr>
              <w:t>Eder Santiago Martelo Gómez</w:t>
            </w:r>
          </w:p>
        </w:tc>
      </w:tr>
      <w:tr w:rsidR="00480FD7">
        <w:trPr>
          <w:cantSplit/>
          <w:jc w:val="center"/>
        </w:trPr>
        <w:tc>
          <w:tcPr>
            <w:tcW w:w="2500" w:type="dxa"/>
            <w:tcBorders>
              <w:top w:val="single" w:sz="1" w:space="0" w:color="CCCCCC"/>
              <w:left w:val="single" w:sz="1" w:space="0" w:color="CCCCCC"/>
              <w:bottom w:val="single" w:sz="1" w:space="0" w:color="CCCCCC"/>
              <w:right w:val="single" w:sz="1" w:space="0" w:color="CCCCCC"/>
            </w:tcBorders>
            <w:tcMar>
              <w:top w:w="45" w:type="dxa"/>
              <w:left w:w="55" w:type="dxa"/>
              <w:bottom w:w="45" w:type="dxa"/>
              <w:right w:w="55" w:type="dxa"/>
            </w:tcMar>
          </w:tcPr>
          <w:p w:rsidR="00480FD7" w:rsidRDefault="008712A0">
            <w:pPr>
              <w:spacing w:after="40"/>
              <w:jc w:val="both"/>
            </w:pPr>
            <w:r>
              <w:rPr>
                <w:b/>
                <w:bCs/>
                <w:sz w:val="22"/>
                <w:szCs w:val="22"/>
              </w:rPr>
              <w:t>Correo:</w:t>
            </w:r>
          </w:p>
        </w:tc>
        <w:tc>
          <w:tcPr>
            <w:tcW w:w="6525" w:type="dxa"/>
            <w:tcBorders>
              <w:top w:val="single" w:sz="1" w:space="0" w:color="CCCCCC"/>
              <w:left w:val="single" w:sz="1" w:space="0" w:color="CCCCCC"/>
              <w:bottom w:val="single" w:sz="1" w:space="0" w:color="CCCCCC"/>
              <w:right w:val="single" w:sz="1" w:space="0" w:color="CCCCCC"/>
            </w:tcBorders>
            <w:tcMar>
              <w:top w:w="45" w:type="dxa"/>
              <w:left w:w="55" w:type="dxa"/>
              <w:bottom w:w="45" w:type="dxa"/>
              <w:right w:w="55" w:type="dxa"/>
            </w:tcMar>
          </w:tcPr>
          <w:p w:rsidR="00480FD7" w:rsidRDefault="008712A0">
            <w:pPr>
              <w:spacing w:after="40"/>
              <w:jc w:val="both"/>
            </w:pPr>
            <w:r>
              <w:rPr>
                <w:sz w:val="22"/>
                <w:szCs w:val="22"/>
              </w:rPr>
              <w:t>emartelo122526@umanizales.edu.co</w:t>
            </w:r>
          </w:p>
        </w:tc>
      </w:tr>
      <w:tr w:rsidR="00480FD7">
        <w:trPr>
          <w:cantSplit/>
          <w:jc w:val="center"/>
        </w:trPr>
        <w:tc>
          <w:tcPr>
            <w:tcW w:w="2500" w:type="dxa"/>
            <w:tcBorders>
              <w:top w:val="single" w:sz="1" w:space="0" w:color="CCCCCC"/>
              <w:left w:val="single" w:sz="1" w:space="0" w:color="CCCCCC"/>
              <w:bottom w:val="single" w:sz="1" w:space="0" w:color="CCCCCC"/>
              <w:right w:val="single" w:sz="1" w:space="0" w:color="CCCCCC"/>
            </w:tcBorders>
            <w:tcMar>
              <w:top w:w="45" w:type="dxa"/>
              <w:left w:w="55" w:type="dxa"/>
              <w:bottom w:w="45" w:type="dxa"/>
              <w:right w:w="55" w:type="dxa"/>
            </w:tcMar>
          </w:tcPr>
          <w:p w:rsidR="00480FD7" w:rsidRDefault="008712A0">
            <w:pPr>
              <w:spacing w:after="40"/>
              <w:jc w:val="both"/>
            </w:pPr>
            <w:r>
              <w:rPr>
                <w:b/>
                <w:bCs/>
                <w:sz w:val="22"/>
                <w:szCs w:val="22"/>
              </w:rPr>
              <w:t>Semestre:</w:t>
            </w:r>
          </w:p>
        </w:tc>
        <w:tc>
          <w:tcPr>
            <w:tcW w:w="6525" w:type="dxa"/>
            <w:tcBorders>
              <w:top w:val="single" w:sz="1" w:space="0" w:color="CCCCCC"/>
              <w:left w:val="single" w:sz="1" w:space="0" w:color="CCCCCC"/>
              <w:bottom w:val="single" w:sz="1" w:space="0" w:color="CCCCCC"/>
              <w:right w:val="single" w:sz="1" w:space="0" w:color="CCCCCC"/>
            </w:tcBorders>
            <w:tcMar>
              <w:top w:w="45" w:type="dxa"/>
              <w:left w:w="55" w:type="dxa"/>
              <w:bottom w:w="45" w:type="dxa"/>
              <w:right w:w="55" w:type="dxa"/>
            </w:tcMar>
          </w:tcPr>
          <w:p w:rsidR="00480FD7" w:rsidRDefault="008712A0">
            <w:pPr>
              <w:spacing w:after="40"/>
              <w:jc w:val="both"/>
            </w:pPr>
            <w:r>
              <w:rPr>
                <w:sz w:val="22"/>
                <w:szCs w:val="22"/>
              </w:rPr>
              <w:t>Segundo semestre</w:t>
            </w:r>
          </w:p>
        </w:tc>
      </w:tr>
      <w:tr w:rsidR="00480FD7">
        <w:trPr>
          <w:cantSplit/>
          <w:jc w:val="center"/>
        </w:trPr>
        <w:tc>
          <w:tcPr>
            <w:tcW w:w="2500" w:type="dxa"/>
            <w:tcBorders>
              <w:top w:val="single" w:sz="1" w:space="0" w:color="CCCCCC"/>
              <w:left w:val="single" w:sz="1" w:space="0" w:color="CCCCCC"/>
              <w:bottom w:val="single" w:sz="1" w:space="0" w:color="CCCCCC"/>
              <w:right w:val="single" w:sz="1" w:space="0" w:color="CCCCCC"/>
            </w:tcBorders>
            <w:tcMar>
              <w:top w:w="45" w:type="dxa"/>
              <w:left w:w="55" w:type="dxa"/>
              <w:bottom w:w="45" w:type="dxa"/>
              <w:right w:w="55" w:type="dxa"/>
            </w:tcMar>
          </w:tcPr>
          <w:p w:rsidR="00480FD7" w:rsidRDefault="008712A0">
            <w:pPr>
              <w:spacing w:after="40"/>
              <w:jc w:val="both"/>
            </w:pPr>
            <w:r>
              <w:rPr>
                <w:b/>
                <w:bCs/>
                <w:sz w:val="22"/>
                <w:szCs w:val="22"/>
              </w:rPr>
              <w:t>Director del proyecto:</w:t>
            </w:r>
          </w:p>
        </w:tc>
        <w:tc>
          <w:tcPr>
            <w:tcW w:w="6525" w:type="dxa"/>
            <w:tcBorders>
              <w:top w:val="single" w:sz="1" w:space="0" w:color="CCCCCC"/>
              <w:left w:val="single" w:sz="1" w:space="0" w:color="CCCCCC"/>
              <w:bottom w:val="single" w:sz="1" w:space="0" w:color="CCCCCC"/>
              <w:right w:val="single" w:sz="1" w:space="0" w:color="CCCCCC"/>
            </w:tcBorders>
            <w:tcMar>
              <w:top w:w="45" w:type="dxa"/>
              <w:left w:w="55" w:type="dxa"/>
              <w:bottom w:w="45" w:type="dxa"/>
              <w:right w:w="55" w:type="dxa"/>
            </w:tcMar>
          </w:tcPr>
          <w:p w:rsidR="00480FD7" w:rsidRDefault="008712A0">
            <w:pPr>
              <w:spacing w:after="40"/>
              <w:jc w:val="both"/>
            </w:pPr>
            <w:r>
              <w:rPr>
                <w:sz w:val="18"/>
              </w:rPr>
              <w:t>José Fernando Mejía</w:t>
            </w:r>
          </w:p>
        </w:tc>
      </w:tr>
    </w:tbl>
    <w:p w:rsidR="00480FD7" w:rsidRDefault="00480FD7">
      <w:pPr>
        <w:spacing w:after="100" w:line="276" w:lineRule="auto"/>
        <w:jc w:val="both"/>
      </w:pPr>
    </w:p>
    <w:p w:rsidR="00480FD7" w:rsidRDefault="008712A0">
      <w:pPr>
        <w:pStyle w:val="Ttulo1"/>
        <w:keepNext/>
        <w:spacing w:after="140" w:line="276" w:lineRule="auto"/>
      </w:pPr>
      <w:r>
        <w:rPr>
          <w:color w:val="1F4E78"/>
        </w:rPr>
        <w:t>1. PROBLEMATIZACIÓN</w:t>
      </w:r>
    </w:p>
    <w:p w:rsidR="00480FD7" w:rsidRDefault="008712A0">
      <w:pPr>
        <w:pStyle w:val="Ttulo2"/>
        <w:keepNext/>
        <w:spacing w:line="276" w:lineRule="auto"/>
      </w:pPr>
      <w:r>
        <w:rPr>
          <w:color w:val="1F4E78"/>
        </w:rPr>
        <w:t>1.1 El problema real: la brecha entre procedimiento y comprensión conceptual</w:t>
      </w:r>
    </w:p>
    <w:p w:rsidR="00480FD7" w:rsidRDefault="008712A0">
      <w:pPr>
        <w:spacing w:after="100" w:line="276" w:lineRule="auto"/>
        <w:jc w:val="both"/>
      </w:pPr>
      <w:r>
        <w:t>La enseñanza de las matemáticas en programas de ingeniería enfrenta una tensión que se repite semestre tras semestre: los estudiantes aprenden a ejecutar procedimientos con relativa eficiencia, pero no logran construir la comprensión conceptual que los sustenta. Pueden aplicar reglas y seguir algoritmos, pero con frecuencia no comprenden el significado de los conceptos que utilizan (Moru, 2020; Zhang y Feng, 2026).</w:t>
      </w:r>
    </w:p>
    <w:p w:rsidR="00043F4A" w:rsidRDefault="00043F4A">
      <w:pPr>
        <w:spacing w:after="100" w:line="276" w:lineRule="auto"/>
        <w:jc w:val="both"/>
      </w:pPr>
      <w:r w:rsidRPr="00043F4A">
        <w:t xml:space="preserve">Este fenómeno se manifiesta con especial claridad en la derivada. En Cálculo Diferencial, curso en el que se introduce formalmente el cálculo diferencial para estudiantes de ingeniería, existe el riesgo de que el aprendizaje se concentre tempranamente en reglas de derivación y manipulación simbólica, mientras el significado de la derivada como razón de cambio instantánea, pendiente y medida local de variación permanece débilmente articulado. Esta tensión entre dominio procedimental y comprensión conceptual ha sido documentada en la literatura especializada. Luna González et al. (2013) la describen en términos de </w:t>
      </w:r>
      <w:proofErr w:type="spellStart"/>
      <w:r w:rsidRPr="00043F4A">
        <w:t>algebrización</w:t>
      </w:r>
      <w:proofErr w:type="spellEnd"/>
      <w:r w:rsidRPr="00043F4A">
        <w:t xml:space="preserve"> del cálculo diferencial, en la que la derivada se reduce a una operación algebraica y pierde su significado como medida de variación. Zhang y Feng (2026), por su parte, señalan una situación de manipulación simbólica hábil acompañada de una comprensión conceptual vaga.</w:t>
      </w:r>
    </w:p>
    <w:p w:rsidR="00480FD7" w:rsidRDefault="008712A0">
      <w:pPr>
        <w:spacing w:after="100" w:line="276" w:lineRule="auto"/>
        <w:jc w:val="both"/>
      </w:pPr>
      <w:r>
        <w:t xml:space="preserve">Este tipo de aprendizaje procedimental resulta insuficiente cuando los estudiantes enfrentan problemas de modelación o situaciones aplicadas de la ingeniería, donde la </w:t>
      </w:r>
      <w:r>
        <w:lastRenderedPageBreak/>
        <w:t>simple repetición de pasos no permite comprender el fenómeno ni tomar decisiones fundamentadas (Borji, Alamolhodaei, et al., 2018).</w:t>
      </w:r>
    </w:p>
    <w:p w:rsidR="00480FD7" w:rsidRDefault="008712A0">
      <w:pPr>
        <w:pStyle w:val="Ttulo2"/>
        <w:keepNext/>
        <w:spacing w:line="276" w:lineRule="auto"/>
      </w:pPr>
      <w:r>
        <w:rPr>
          <w:color w:val="1F4E78"/>
        </w:rPr>
        <w:t>1.2 El problema de fondo: comprensión conceptual sin seguimiento formativo</w:t>
      </w:r>
    </w:p>
    <w:p w:rsidR="00480FD7" w:rsidRDefault="008712A0">
      <w:pPr>
        <w:spacing w:after="100" w:line="276" w:lineRule="auto"/>
        <w:jc w:val="both"/>
      </w:pPr>
      <w:r>
        <w:t>La práctica docente tradicional en matemáticas universitarias opera en un ciclo que rara vez se interrumpe: el docente explica, los estudiantes practican, se evalúa al final, se califica y el curso avanza. La retroalimentación llega tarde y es general. Las decisiones sobre qué reforzar, cómo reorganizar una explicación, o qué error conceptual específico tiene cada estudiante, se toman de manera intuitiva o simplemente no se toman (</w:t>
      </w:r>
      <w:proofErr w:type="spellStart"/>
      <w:r>
        <w:t>Mkhatshwa</w:t>
      </w:r>
      <w:proofErr w:type="spellEnd"/>
      <w:r>
        <w:t>, 2024).</w:t>
      </w:r>
    </w:p>
    <w:p w:rsidR="00480FD7" w:rsidRDefault="008712A0">
      <w:pPr>
        <w:spacing w:after="100" w:line="276" w:lineRule="auto"/>
        <w:jc w:val="both"/>
      </w:pPr>
      <w:r>
        <w:t>El problema no es únicamente que algunos estudiantes construyan una comprensión parcial de la derivada como razón de cambio. El problema de fondo es que esa comprensión no suele hacerse visible durante el proceso: el docente dispone de pocas evidencias sistemáticas para diferenciar entre una respuesta procedimental, una interpretación cualitativa y una comprensión que articule magnitud, unidades, punto y contexto; al mismo tiempo, el estudiante no recibe orientaciones ajustadas que le permitan reconocer qué ha logrado y qué necesita construir (Nicol y Macfarlane-Dick, 2006).</w:t>
      </w:r>
    </w:p>
    <w:p w:rsidR="00480FD7" w:rsidRDefault="008712A0">
      <w:pPr>
        <w:spacing w:after="100" w:line="276" w:lineRule="auto"/>
        <w:jc w:val="both"/>
      </w:pPr>
      <w:r>
        <w:t>Desde la perspectiva de Beetham y Sharpe (2013), la transformación digital en educación no consiste en sustituir el papel por una pantalla, sino en rediseñar la práctica pedagógica para que el aprendizaje sea más visible, analizable, retroalimentable y ajustable durante el proceso. En este proyecto, dicho rediseño se concreta mediante ciclos de seguimiento formativo en un entorno digital. En cada ciclo, todos los estudiantes desarrollarán una actividad común; sus respuestas serán interpretadas individualmente mediante indicadores fundamentados en APOE para generar retroalimentación ajustada a cada producción y, posteriormente, los resultados se agregarán para identificar patrones y dificultades del grupo que orienten el ajuste de la actividad común del ciclo siguiente. La IA generativa apoyará de manera delimitada el análisis de respuestas abiertas, la retroalimentación individual y la síntesis de patrones grupales, mientras el entorno conservará la trazabilidad de las evidencias y decisiones producidas durante el proceso.</w:t>
      </w:r>
    </w:p>
    <w:p w:rsidR="00480FD7" w:rsidRDefault="008712A0">
      <w:pPr>
        <w:pStyle w:val="Ttulo2"/>
        <w:keepNext/>
        <w:spacing w:line="276" w:lineRule="auto"/>
      </w:pPr>
      <w:r>
        <w:rPr>
          <w:color w:val="1F4E78"/>
        </w:rPr>
        <w:t>1.3 Pregunta de investigación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80FD7">
        <w:trPr>
          <w:cantSplit/>
          <w:jc w:val="center"/>
        </w:trPr>
        <w:tc>
          <w:tcPr>
            <w:tcW w:w="9026" w:type="dxa"/>
            <w:tcBorders>
              <w:top w:val="single" w:sz="1" w:space="0" w:color="CCCCCC"/>
              <w:left w:val="single" w:sz="1" w:space="0" w:color="CCCCCC"/>
              <w:bottom w:val="single" w:sz="1" w:space="0" w:color="CCCCCC"/>
              <w:right w:val="single" w:sz="1" w:space="0" w:color="CCCCCC"/>
            </w:tcBorders>
            <w:tcMar>
              <w:top w:w="45" w:type="dxa"/>
              <w:left w:w="55" w:type="dxa"/>
              <w:bottom w:w="45" w:type="dxa"/>
              <w:right w:w="55" w:type="dxa"/>
            </w:tcMar>
          </w:tcPr>
          <w:p w:rsidR="00727B11" w:rsidRDefault="00043F4A">
            <w:pPr>
              <w:spacing w:after="40"/>
            </w:pPr>
            <w:r>
              <w:rPr>
                <w:sz w:val="18"/>
              </w:rPr>
              <w:t>¿De qué manera una estrategia didáctica adaptativa fundamentada en APOE y apoyada por inteligencia artificial generativa posibilita el seguimiento formativo de la comprensión conceptual de la derivada como razón de cambio en Cálculo Diferencial?</w:t>
            </w:r>
          </w:p>
        </w:tc>
      </w:tr>
    </w:tbl>
    <w:p w:rsidR="00480FD7" w:rsidRDefault="00480FD7">
      <w:pPr>
        <w:spacing w:after="100" w:line="276" w:lineRule="auto"/>
        <w:jc w:val="both"/>
      </w:pPr>
    </w:p>
    <w:p w:rsidR="00480FD7" w:rsidRDefault="008712A0">
      <w:pPr>
        <w:pStyle w:val="Ttulo2"/>
        <w:keepNext/>
        <w:spacing w:line="276" w:lineRule="auto"/>
      </w:pPr>
      <w:r>
        <w:rPr>
          <w:color w:val="1F4E78"/>
        </w:rPr>
        <w:t>1.4 Objetivos</w:t>
      </w:r>
    </w:p>
    <w:p w:rsidR="00480FD7" w:rsidRDefault="008712A0">
      <w:pPr>
        <w:keepNext/>
        <w:spacing w:after="100" w:line="276" w:lineRule="auto"/>
        <w:jc w:val="both"/>
      </w:pPr>
      <w:r>
        <w:rPr>
          <w:b/>
          <w:bCs/>
        </w:rPr>
        <w:t>Objetivo general</w:t>
      </w:r>
    </w:p>
    <w:p w:rsidR="00480FD7" w:rsidRDefault="00285F6F" w:rsidP="00285F6F">
      <w:pPr>
        <w:spacing w:after="100" w:line="276" w:lineRule="auto"/>
        <w:jc w:val="both"/>
      </w:pPr>
      <w:r>
        <w:t>Desarrollar una estrategia didáctica adaptativa fundamentada en APOE y apoyada por inteligencia artificial generativa para el seguimiento formativo de la comprensión conceptual de la derivada como razón de cambio en Cálculo Diferencial, mediante un proceso iterativo de diseño, implementación y valoración de su funcionamiento.</w:t>
      </w:r>
    </w:p>
    <w:p w:rsidR="00480FD7" w:rsidRDefault="008712A0">
      <w:pPr>
        <w:keepNext/>
        <w:spacing w:after="100" w:line="276" w:lineRule="auto"/>
        <w:jc w:val="both"/>
      </w:pPr>
      <w:r>
        <w:rPr>
          <w:b/>
          <w:bCs/>
        </w:rPr>
        <w:lastRenderedPageBreak/>
        <w:t>Objetivos específicos</w:t>
      </w:r>
    </w:p>
    <w:p w:rsidR="00480FD7" w:rsidRDefault="008712A0">
      <w:pPr>
        <w:spacing w:after="100" w:line="276" w:lineRule="auto"/>
        <w:ind w:left="720" w:hanging="360"/>
        <w:jc w:val="both"/>
      </w:pPr>
      <w:r>
        <w:t>•  Establecer la validez de contenido y aplicabilidad de una matriz analítica fundamentada en APOE para interpretar respuestas estudiantiles sobre la derivada como razón de cambio.</w:t>
      </w:r>
    </w:p>
    <w:p w:rsidR="00480FD7" w:rsidRDefault="008712A0">
      <w:pPr>
        <w:spacing w:after="100" w:line="276" w:lineRule="auto"/>
        <w:ind w:left="720" w:hanging="360"/>
        <w:jc w:val="both"/>
      </w:pPr>
      <w:r>
        <w:t>•  Diseñar una estrategia didáctica adaptativa soportada en un entorno digital que articule la matriz APOE, actividades comunes de seguimiento formativo, mecanismos de retroalimentación individual y procedimientos de análisis agregado para orientar ajustes didácticos grupales, con apoyo delimitado de inteligencia artificial generativa.</w:t>
      </w:r>
    </w:p>
    <w:p w:rsidR="00480FD7" w:rsidRDefault="008712A0">
      <w:pPr>
        <w:spacing w:after="100" w:line="276" w:lineRule="auto"/>
        <w:ind w:left="720" w:hanging="360"/>
        <w:jc w:val="both"/>
      </w:pPr>
      <w:r>
        <w:t>•  Valorar el funcionamiento de la estrategia para el seguimiento formativo de la comprensión conceptual de la derivada como razón de cambio, a partir de las evidencias generadas durante su implementación en al menos tres ciclos de seguimiento formativo en un curso de Cálculo Diferencial.</w:t>
      </w:r>
    </w:p>
    <w:p w:rsidR="00480FD7" w:rsidRDefault="00480FD7">
      <w:pPr>
        <w:spacing w:after="100" w:line="276" w:lineRule="auto"/>
        <w:ind w:left="720" w:hanging="360"/>
        <w:jc w:val="both"/>
      </w:pPr>
    </w:p>
    <w:p w:rsidR="00480FD7" w:rsidRDefault="008712A0">
      <w:pPr>
        <w:pStyle w:val="Ttulo2"/>
        <w:keepNext/>
        <w:spacing w:line="276" w:lineRule="auto"/>
      </w:pPr>
      <w:r>
        <w:rPr>
          <w:color w:val="1F4E78"/>
        </w:rPr>
        <w:t>1.5 Justificación</w:t>
      </w:r>
    </w:p>
    <w:p w:rsidR="00B51A50" w:rsidRDefault="00B51A50" w:rsidP="00B51A50">
      <w:pPr>
        <w:spacing w:after="100" w:line="276" w:lineRule="auto"/>
        <w:jc w:val="both"/>
      </w:pPr>
      <w:r>
        <w:t xml:space="preserve">Este proyecto se justifica desde </w:t>
      </w:r>
      <w:r w:rsidR="00124621">
        <w:t xml:space="preserve">cinco </w:t>
      </w:r>
      <w:r>
        <w:t>dimensiones articuladas.</w:t>
      </w:r>
    </w:p>
    <w:p w:rsidR="00B51A50" w:rsidRDefault="00B51A50" w:rsidP="00B51A50">
      <w:pPr>
        <w:spacing w:after="100" w:line="276" w:lineRule="auto"/>
        <w:jc w:val="both"/>
      </w:pPr>
      <w:r>
        <w:t>Desde la educación matemática universitaria, la brecha entre comprensión procedimental y conceptual en cálculo es un problema documentado y persistente. La literatura internacional muestra que los estudiantes pueden ejecutar procedimientos de derivación y, al mismo tiempo, presentar dificultades para explicar el significado de la derivada como razón de cambio, fenómeno denominado algebrización del cálculo diferencial (Luna González et al., 2013; Zhang y Feng, 2026). En Cálculo Diferencial esta dificultad resulta especialmente relevante porque la derivada se introduce como concepto central del curso y constituye una base para el estudio posterior de optimización, modelación, integración y cálculo multivariable.</w:t>
      </w:r>
    </w:p>
    <w:p w:rsidR="00B51A50" w:rsidRDefault="00B51A50" w:rsidP="00B51A50">
      <w:pPr>
        <w:spacing w:after="100" w:line="276" w:lineRule="auto"/>
        <w:jc w:val="both"/>
      </w:pPr>
      <w:r>
        <w:t>Desde la teoría APOE, existe una línea consolidada de investigación sobre la comprensión de derivadas en educación universitaria. Una revisión sistemática reciente identificó 19 estudios APOE sobre diferenciación y derivadas entre 2005 y 2024, lo que confirma la pertinencia de este marco teórico para el área (</w:t>
      </w:r>
      <w:proofErr w:type="spellStart"/>
      <w:r>
        <w:t>Soku</w:t>
      </w:r>
      <w:proofErr w:type="spellEnd"/>
      <w:r>
        <w:t xml:space="preserve"> et al., 2025). </w:t>
      </w:r>
      <w:r w:rsidR="00433E32">
        <w:t>Sin embargo, en la revisión no se reporta una articulación entre APOE, inteligencia artificial generativa y seguimiento formativo de la comprensión</w:t>
      </w:r>
      <w:r w:rsidR="00124621">
        <w:t xml:space="preserve"> conceptual durante el proceso de aprendizaje. En este sentido, el proyecto busca aportar una propuesta en la que APOE no funcione únicamente como marco de análisis posterior, sino como matriz para orientar tareas, interpretar evidencias y apoyar decisiones de retroalimentación</w:t>
      </w:r>
      <w:r>
        <w:t>.</w:t>
      </w:r>
    </w:p>
    <w:p w:rsidR="002511E1" w:rsidRDefault="002511E1" w:rsidP="00B51A50">
      <w:pPr>
        <w:spacing w:after="100" w:line="276" w:lineRule="auto"/>
        <w:jc w:val="both"/>
      </w:pPr>
      <w:r w:rsidRPr="002511E1">
        <w:t xml:space="preserve">Desde la transformación digital, el proyecto no propone incorporar tecnología como recurso accesorio, sino reorganizar el ciclo pedagógico mediante una estrategia formativa adaptativa implementada en un entorno digital. En cada ciclo, las respuestas estudiantiles serán analizadas individualmente mediante indicadores fundamentados en APOE para generar retroalimentaciones ajustadas a las evidencias de cada estudiante. Posteriormente, los resultados serán agregados para identificar patrones y dificultades predominantes del grupo, los cuales orientarán el ajuste de las tareas, orientaciones y actividades del ciclo siguiente. La IA generativa se empleará de manera delimitada como </w:t>
      </w:r>
      <w:r w:rsidRPr="002511E1">
        <w:lastRenderedPageBreak/>
        <w:t>apoyo para el análisis de respuestas abiertas, la generación de retroalimentación individual y la formulación de propuestas de ajuste grupal dentro de criterios previamente definidos.</w:t>
      </w:r>
    </w:p>
    <w:p w:rsidR="00124621" w:rsidRDefault="00124621" w:rsidP="00B51A50">
      <w:pPr>
        <w:spacing w:after="100" w:line="276" w:lineRule="auto"/>
        <w:jc w:val="both"/>
      </w:pPr>
      <w:r>
        <w:t>Desde una dimensión social y formativa, el proyecto reconoce la relevancia de la retroalimentación oportuna para estudiantes que presentan dificultades conceptuales. La literatura sobre evaluación formativa muestra que una retroalimentación bien orientada puede ofrecer mejores condiciones para que el estudiante reconozca dónde se encuentra, hacia dónde debe avanzar y qué acciones puede realizar para mejorar (Black y Wiliam, 1998; Hattie y Timperley, 2007). En este proyecto, estos antecedentes justifican el interés por hacer visibles las dificultades y orientar el seguimiento durante el proceso; no se asumen como un efecto causal que la investigación deba demostrar.</w:t>
      </w:r>
    </w:p>
    <w:p w:rsidR="000264AB" w:rsidRDefault="000264AB" w:rsidP="00B51A50">
      <w:pPr>
        <w:spacing w:after="100" w:line="276" w:lineRule="auto"/>
        <w:jc w:val="both"/>
      </w:pPr>
      <w:r>
        <w:t>Desde la dimensión institucional, el proyecto busca aportar una estrategia pedagógica fundamentada para apoyar el seguimiento conceptual en Cálculo Diferencial, cuya arquitectura podría ser adaptada posteriormente al estudio de otros conceptos matemáticos mediante la construcción y validación de matrices, tareas y criterios específicos para cada concepto. Asimismo, el proyecto contribuye a la producción de conocimiento en el marco de la Maestría en Educación y Transformación Digital de la Universidad de Manizales sobre la articulación entre APOE, evaluación formativa e inteligencia artificial generativa, mediante un modelo que combina retroalimentación individual y ajustes didácticos grupales sustentados en las evidencias producidas durante cada ciclo.</w:t>
      </w:r>
    </w:p>
    <w:p w:rsidR="00480FD7" w:rsidRDefault="008712A0">
      <w:pPr>
        <w:pStyle w:val="Ttulo1"/>
        <w:keepNext/>
        <w:spacing w:after="140" w:line="276" w:lineRule="auto"/>
      </w:pPr>
      <w:r>
        <w:rPr>
          <w:color w:val="1F4E78"/>
        </w:rPr>
        <w:t>2. ESTADO DEL ARTE</w:t>
      </w:r>
    </w:p>
    <w:p w:rsidR="00335F51" w:rsidRDefault="00335F51">
      <w:pPr>
        <w:spacing w:after="100" w:line="276" w:lineRule="auto"/>
        <w:jc w:val="both"/>
      </w:pPr>
      <w:r>
        <w:t>La revisión de literatura se organiza en torno a cuatro ejes relacionados con el problema de investigación: la comprensión conceptual de la derivada como razón de cambio, el uso de la teoría APOE para interpretar dicha comprensión, las intervenciones didácticas apoyadas por tecnologías digitales y el seguimiento formativo mediante retroalimentación e inteligencia artificial generativa. Esta organización permite reconocer los principales aportes del campo y delimitar el espacio en el que se sitúa el presente proyecto.</w:t>
      </w:r>
    </w:p>
    <w:p w:rsidR="00480FD7" w:rsidRDefault="008712A0">
      <w:pPr>
        <w:pStyle w:val="Ttulo2"/>
        <w:keepNext/>
        <w:spacing w:line="276" w:lineRule="auto"/>
      </w:pPr>
      <w:r>
        <w:rPr>
          <w:color w:val="1F4E78"/>
        </w:rPr>
        <w:t xml:space="preserve">2.1 </w:t>
      </w:r>
      <w:r w:rsidR="000264AB">
        <w:rPr>
          <w:color w:val="1F4E78"/>
        </w:rPr>
        <w:t>Comprensión conceptual de la derivada: más allá del cálculo procedimental</w:t>
      </w:r>
    </w:p>
    <w:p w:rsidR="00335F51" w:rsidRPr="00335F51" w:rsidRDefault="00335F51" w:rsidP="00335F51">
      <w:pPr>
        <w:spacing w:after="100" w:line="276" w:lineRule="auto"/>
        <w:jc w:val="both"/>
      </w:pPr>
      <w:r w:rsidRPr="00335F51">
        <w:t>La comprensión conceptual de la derivada exige articular diferentes significados y representaciones del concepto. No basta con obtener correctamente la derivada; el estudiante debe poder interpretarla como razón de cambio instantánea, relacionarla con la pendiente de la recta tangente y comprender su significado en situaciones gráficas, simbólicas y contextualizadas. Diversas investigaciones han mostrado que estas conexiones no siempre se construyen de manera integrada, incluso cuando los estudiantes manifiestan dominio de procedimientos de derivación (</w:t>
      </w:r>
      <w:proofErr w:type="spellStart"/>
      <w:r w:rsidRPr="00335F51">
        <w:t>Moru</w:t>
      </w:r>
      <w:proofErr w:type="spellEnd"/>
      <w:r w:rsidRPr="00335F51">
        <w:t xml:space="preserve">, 2020; </w:t>
      </w:r>
      <w:proofErr w:type="spellStart"/>
      <w:r w:rsidRPr="00335F51">
        <w:t>Borji</w:t>
      </w:r>
      <w:proofErr w:type="spellEnd"/>
      <w:r w:rsidRPr="00335F51">
        <w:t xml:space="preserve">, </w:t>
      </w:r>
      <w:proofErr w:type="spellStart"/>
      <w:r w:rsidRPr="00335F51">
        <w:t>Alamolhodaei</w:t>
      </w:r>
      <w:proofErr w:type="spellEnd"/>
      <w:r w:rsidRPr="00335F51">
        <w:t xml:space="preserve">, et al., 2018; </w:t>
      </w:r>
      <w:proofErr w:type="spellStart"/>
      <w:r w:rsidRPr="00335F51">
        <w:t>Mkhatshwa</w:t>
      </w:r>
      <w:proofErr w:type="spellEnd"/>
      <w:r w:rsidRPr="00335F51">
        <w:t>, 2024).</w:t>
      </w:r>
    </w:p>
    <w:p w:rsidR="00335F51" w:rsidRPr="00335F51" w:rsidRDefault="00335F51" w:rsidP="00335F51">
      <w:pPr>
        <w:spacing w:after="100" w:line="276" w:lineRule="auto"/>
        <w:jc w:val="both"/>
      </w:pPr>
      <w:r w:rsidRPr="00335F51">
        <w:t xml:space="preserve">Esta dificultad adquiere especial relevancia en Cálculo Diferencial, donde la derivada se utiliza para interpretar tasas de cambio, analizar el comportamiento de funciones y abordar situaciones aplicadas. Comprenderla como razón de cambio implica reconocer qué magnitud varía respecto de cuál, interpretar el signo y la magnitud de la tasa, considerar las unidades y el punto en el que se evalúa, y coordinar representaciones </w:t>
      </w:r>
      <w:r w:rsidRPr="00335F51">
        <w:lastRenderedPageBreak/>
        <w:t>simbólicas, gráficas, verbales y contextuales. Estas capacidades resultan necesarias cuando el concepto se moviliza en tareas de estimación, comparación, predicción o toma de decisiones (</w:t>
      </w:r>
      <w:proofErr w:type="spellStart"/>
      <w:r w:rsidRPr="00335F51">
        <w:t>Mkhatshwa</w:t>
      </w:r>
      <w:proofErr w:type="spellEnd"/>
      <w:r w:rsidRPr="00335F51">
        <w:t xml:space="preserve">, 2024; </w:t>
      </w:r>
      <w:proofErr w:type="spellStart"/>
      <w:r w:rsidRPr="00335F51">
        <w:t>Borji</w:t>
      </w:r>
      <w:proofErr w:type="spellEnd"/>
      <w:r w:rsidRPr="00335F51">
        <w:t xml:space="preserve">, </w:t>
      </w:r>
      <w:proofErr w:type="spellStart"/>
      <w:r w:rsidRPr="00335F51">
        <w:t>Alamolhodaei</w:t>
      </w:r>
      <w:proofErr w:type="spellEnd"/>
      <w:r w:rsidRPr="00335F51">
        <w:t>, et al., 2018).</w:t>
      </w:r>
    </w:p>
    <w:p w:rsidR="00480FD7" w:rsidRDefault="008712A0">
      <w:pPr>
        <w:pStyle w:val="Ttulo2"/>
        <w:keepNext/>
        <w:spacing w:line="276" w:lineRule="auto"/>
      </w:pPr>
      <w:r>
        <w:rPr>
          <w:color w:val="1F4E78"/>
        </w:rPr>
        <w:t>2.2 La teoría APOE como marco para analizar la comprensión de la derivada</w:t>
      </w:r>
    </w:p>
    <w:p w:rsidR="00335F51" w:rsidRDefault="00335F51" w:rsidP="00335F51">
      <w:pPr>
        <w:spacing w:after="100" w:line="276" w:lineRule="auto"/>
        <w:jc w:val="both"/>
      </w:pPr>
      <w:r>
        <w:t>La teoría APOE proporciona un marco para interpretar las construcciones mentales que los estudiantes movilizan al comprender conceptos matemáticos. Desde esta perspectiva, la comprensión puede analizarse mediante las estructuras de Acción, Proceso, Objeto y Esquema, entendidas como formas de organización del conocimiento que permiten describir cómo el estudiante actúa sobre un concepto, interioriza determinadas transformaciones, lo concibe como una entidad sobre la cual puede operar y, finalmente, lo articula con otras construcciones en una estructura más amplia (</w:t>
      </w:r>
      <w:proofErr w:type="spellStart"/>
      <w:r>
        <w:t>Dubinsky</w:t>
      </w:r>
      <w:proofErr w:type="spellEnd"/>
      <w:r>
        <w:t xml:space="preserve"> y McDonald, 2001; </w:t>
      </w:r>
      <w:proofErr w:type="spellStart"/>
      <w:r>
        <w:t>Arnon</w:t>
      </w:r>
      <w:proofErr w:type="spellEnd"/>
      <w:r>
        <w:t xml:space="preserve"> et al., 2014).</w:t>
      </w:r>
    </w:p>
    <w:p w:rsidR="00335F51" w:rsidRDefault="00335F51" w:rsidP="00335F51">
      <w:pPr>
        <w:spacing w:after="100" w:line="276" w:lineRule="auto"/>
        <w:jc w:val="both"/>
      </w:pPr>
      <w:r>
        <w:t>En el caso de la derivada, las estructuras propuestas por APOE permiten diferenciar distintos tipos de evidencia de comprensión. Una concepción de Acción puede observarse cuando el estudiante aplica reglas de derivación o identifica un valor sin interpretar su significado. La concepción de Proceso aparece cuando logra describir la variación y razonar sobre ella más allá de la ejecución paso a paso. La concepción de Objeto se evidencia cuando interpreta la derivada como una entidad matemática situada, articulando aspectos como signo, magnitud, unidades y punto de evaluación. Finalmente, una concepción de Esquema supone coordinar estas construcciones con otras representaciones y utilizarlas de manera integrada para comparar, predecir, justificar o transferir el razonamiento a situaciones nuevas (</w:t>
      </w:r>
      <w:proofErr w:type="spellStart"/>
      <w:r>
        <w:t>Dubinsky</w:t>
      </w:r>
      <w:proofErr w:type="spellEnd"/>
      <w:r>
        <w:t xml:space="preserve"> y McDonald, 2001; </w:t>
      </w:r>
      <w:proofErr w:type="spellStart"/>
      <w:r>
        <w:t>Arnon</w:t>
      </w:r>
      <w:proofErr w:type="spellEnd"/>
      <w:r>
        <w:t xml:space="preserve"> et al., 2014).</w:t>
      </w:r>
    </w:p>
    <w:p w:rsidR="00335F51" w:rsidRDefault="00335F51" w:rsidP="00335F51">
      <w:pPr>
        <w:spacing w:after="100" w:line="276" w:lineRule="auto"/>
        <w:jc w:val="both"/>
      </w:pPr>
      <w:r>
        <w:t xml:space="preserve">La pertinencia de APOE para el estudio de la comprensión de la derivada también se evidencia en la producción reciente del campo. En su revisión sistemática, </w:t>
      </w:r>
      <w:proofErr w:type="spellStart"/>
      <w:r>
        <w:t>Soku</w:t>
      </w:r>
      <w:proofErr w:type="spellEnd"/>
      <w:r>
        <w:t xml:space="preserve"> et al. (2025) identificaron 125 investigaciones fundamentadas en APOE publicadas entre 2005 y 2024, desarrolladas mayoritariamente en educación universitaria. Dentro del área de cálculo y análisis, la diferenciación y las derivadas constituyeron uno de los focos de investigación más recurrentes. Estos resultados muestran que APOE cuenta con una trayectoria consolidada para analizar la comprensión de conceptos de cálculo y, en particular, de la derivada.</w:t>
      </w:r>
    </w:p>
    <w:p w:rsidR="00335F51" w:rsidRDefault="00335F51" w:rsidP="00335F51">
      <w:pPr>
        <w:spacing w:after="100" w:line="276" w:lineRule="auto"/>
        <w:jc w:val="both"/>
      </w:pPr>
      <w:r>
        <w:t xml:space="preserve">Esta trayectoria se refleja en investigaciones que han empleado APOE para caracterizar diferentes dimensiones de la comprensión de la derivada. </w:t>
      </w:r>
      <w:proofErr w:type="spellStart"/>
      <w:r>
        <w:t>Moru</w:t>
      </w:r>
      <w:proofErr w:type="spellEnd"/>
      <w:r>
        <w:t xml:space="preserve"> (2020) identificó que las construcciones de estudiantes universitarios se concentraban principalmente en formas de razonamiento compatibles con la concepción de Acción y mostró diferencias entre la comprensión algebraica y gráfica del concepto. </w:t>
      </w:r>
      <w:proofErr w:type="spellStart"/>
      <w:r>
        <w:t>Borji</w:t>
      </w:r>
      <w:proofErr w:type="spellEnd"/>
      <w:r>
        <w:t xml:space="preserve">, Font, et al. (2018) analizaron la comprensión gráfica de una función y de su derivada mediante la articulación de APOE con el enfoque </w:t>
      </w:r>
      <w:proofErr w:type="spellStart"/>
      <w:r>
        <w:t>ontosemiótico</w:t>
      </w:r>
      <w:proofErr w:type="spellEnd"/>
      <w:r>
        <w:t xml:space="preserve">, mientras que Trigueros et al. (2024) profundizaron en la construcción del esquema de </w:t>
      </w:r>
      <w:proofErr w:type="spellStart"/>
      <w:r>
        <w:t>graficación</w:t>
      </w:r>
      <w:proofErr w:type="spellEnd"/>
      <w:r>
        <w:t xml:space="preserve"> con derivadas y en las relaciones entre distintos órdenes de derivación. En conjunto, estos trabajos muestran que APOE permite examinar no solo la corrección de una respuesta, sino también las estructuras conceptuales que se evidencian en las producciones de los estudiantes.</w:t>
      </w:r>
    </w:p>
    <w:p w:rsidR="00335F51" w:rsidRDefault="00335F51" w:rsidP="004A55F1">
      <w:pPr>
        <w:spacing w:after="100" w:line="276" w:lineRule="auto"/>
        <w:jc w:val="both"/>
      </w:pPr>
      <w:r>
        <w:lastRenderedPageBreak/>
        <w:t>Aunque estas investigaciones muestran la capacidad de APOE para interpretar las construcciones conceptuales asociadas con la derivada, su utilización se ha concentrado principalmente en el análisis de respuestas, producciones o actuaciones estudiantiles y en la fundamentación de diseños de enseñanza. En los trabajos revisados es menos evidente su incorporación como soporte de un proceso sistemático de seguimiento formativo que permita analizar las evidencias producidas durante la enseñanza, retroalimentar al estudiante y utilizar los patrones identificados en el grupo para ajustar las actividades de ciclos posteriores. Esta posibilidad constituye uno de los puntos de partida del presente proyecto: emplear la matriz fundamentada en APOE no solo para caracterizar evidencias de comprensión, sino también para orientar decisiones formativas dentro de una estrategia desarrollada mediante ciclos sucesivos.</w:t>
      </w:r>
    </w:p>
    <w:p w:rsidR="00480FD7" w:rsidRDefault="006F0027" w:rsidP="006F0027">
      <w:pPr>
        <w:pStyle w:val="Ttulo2"/>
        <w:keepNext/>
        <w:spacing w:line="276" w:lineRule="auto"/>
      </w:pPr>
      <w:r>
        <w:rPr>
          <w:color w:val="1F4E78"/>
        </w:rPr>
        <w:t xml:space="preserve">2.3 </w:t>
      </w:r>
      <w:r w:rsidR="008712A0">
        <w:rPr>
          <w:color w:val="1F4E78"/>
        </w:rPr>
        <w:t>Intervenciones didácticas con APOE y tecnología</w:t>
      </w:r>
    </w:p>
    <w:p w:rsidR="00335F51" w:rsidRDefault="00335F51" w:rsidP="004A55F1">
      <w:pPr>
        <w:spacing w:after="100" w:line="276" w:lineRule="auto"/>
        <w:jc w:val="both"/>
      </w:pPr>
      <w:r w:rsidRPr="00335F51">
        <w:t xml:space="preserve">Además de su función analítica, APOE ha sido utilizada como fundamento para el diseño de intervenciones didácticas orientadas a favorecer la comprensión conceptual. En el caso de la derivada, algunas investigaciones han articulado este marco con recursos digitales y ambientes de representación dinámica. Nga et al. (2023) implementaron una propuesta basada en APOE y el ciclo ACE apoyada en GeoGebra para la enseñanza de derivadas, mientras que </w:t>
      </w:r>
      <w:proofErr w:type="spellStart"/>
      <w:r w:rsidRPr="00335F51">
        <w:t>Chien</w:t>
      </w:r>
      <w:proofErr w:type="spellEnd"/>
      <w:r w:rsidRPr="00335F51">
        <w:t xml:space="preserve">, Leong y </w:t>
      </w:r>
      <w:proofErr w:type="spellStart"/>
      <w:r w:rsidRPr="00335F51">
        <w:t>Chua</w:t>
      </w:r>
      <w:proofErr w:type="spellEnd"/>
      <w:r w:rsidRPr="00335F51">
        <w:t xml:space="preserve"> (2026) desarrollaron una investigación basada en diseño con recursos digitales interactivos para la enseñanza del cálculo diferencial. Estas experiencias muestran que la tecnología puede contribuir a organizar actividades de exploración, representación y construcción conceptual cuando su incorporación responde a una intención didáctica explícita.</w:t>
      </w:r>
    </w:p>
    <w:p w:rsidR="00335F51" w:rsidRPr="00335F51" w:rsidRDefault="00335F51" w:rsidP="00335F51">
      <w:pPr>
        <w:pStyle w:val="pdq2pgselectionanchorcontainer"/>
        <w:spacing w:before="0" w:after="160" w:line="276" w:lineRule="auto"/>
        <w:jc w:val="both"/>
        <w:rPr>
          <w:rFonts w:ascii="Arial" w:eastAsia="Arial" w:hAnsi="Arial" w:cs="Arial"/>
        </w:rPr>
      </w:pPr>
      <w:r w:rsidRPr="00335F51">
        <w:rPr>
          <w:rFonts w:ascii="Arial" w:eastAsia="Arial" w:hAnsi="Arial" w:cs="Arial"/>
        </w:rPr>
        <w:t>Sin embargo, estas propuestas se orientan principalmente al diseño e implementación de actividades mediadas por tecnología y al análisis de las evidencias de aprendizaje producidas durante su desarrollo. En los antecedentes revisados es menos frecuente encontrar estrategias en las que las respuestas generadas por los estudiantes sean utilizadas de manera sistemática para ofrecer retroalimentación individual y, posteriormente, identificar patrones de dificultad en el grupo que orienten el ajuste de las actividades de ciclos posteriores. Esta diferencia resulta relevante para el presente proyecto, en el que la adaptación se concibe como un proceso sustentado en las evidencias producidas durante cada ciclo y no como la generación de recorridos completamente diferentes para cada estudiante.</w:t>
      </w:r>
    </w:p>
    <w:p w:rsidR="00480FD7" w:rsidRDefault="008712A0">
      <w:pPr>
        <w:pStyle w:val="Ttulo2"/>
        <w:keepNext/>
        <w:spacing w:line="276" w:lineRule="auto"/>
      </w:pPr>
      <w:r>
        <w:rPr>
          <w:color w:val="1F4E78"/>
        </w:rPr>
        <w:t>2.4 Seguimiento formativo y retroalimentación en la enseñanza de matemáticas</w:t>
      </w:r>
    </w:p>
    <w:p w:rsidR="00335F51" w:rsidRPr="00335F51" w:rsidRDefault="00335F51" w:rsidP="00335F51">
      <w:pPr>
        <w:spacing w:after="100" w:line="276" w:lineRule="auto"/>
        <w:jc w:val="both"/>
      </w:pPr>
      <w:r w:rsidRPr="00335F51">
        <w:t xml:space="preserve">La evaluación formativa busca generar información durante el proceso de aprendizaje para orientar acciones posteriores, tanto del estudiante como del docente. En este marco, la retroalimentación adquiere valor cuando permite reconocer la comprensión alcanzada, identificar dificultades específicas y ofrecer orientaciones que favorezcan una nueva actuación frente al objeto de aprendizaje (Black y </w:t>
      </w:r>
      <w:proofErr w:type="spellStart"/>
      <w:r w:rsidRPr="00335F51">
        <w:t>Wiliam</w:t>
      </w:r>
      <w:proofErr w:type="spellEnd"/>
      <w:r w:rsidRPr="00335F51">
        <w:t xml:space="preserve">, 1998; Nicol y </w:t>
      </w:r>
      <w:proofErr w:type="spellStart"/>
      <w:r w:rsidRPr="00335F51">
        <w:t>Macfarlane</w:t>
      </w:r>
      <w:proofErr w:type="spellEnd"/>
      <w:r w:rsidRPr="00335F51">
        <w:t xml:space="preserve">-Dick, 2006; </w:t>
      </w:r>
      <w:proofErr w:type="spellStart"/>
      <w:r w:rsidRPr="00335F51">
        <w:t>Hattie</w:t>
      </w:r>
      <w:proofErr w:type="spellEnd"/>
      <w:r w:rsidRPr="00335F51">
        <w:t xml:space="preserve"> y </w:t>
      </w:r>
      <w:proofErr w:type="spellStart"/>
      <w:r w:rsidRPr="00335F51">
        <w:t>Timperley</w:t>
      </w:r>
      <w:proofErr w:type="spellEnd"/>
      <w:r w:rsidRPr="00335F51">
        <w:t>, 2007). En matemáticas, esta función resulta especialmente relevante porque una respuesta incorrecta, e incluso una respuesta procedimentalmente correcta, puede revelar formas distintas de comprensión conceptual.</w:t>
      </w:r>
    </w:p>
    <w:p w:rsidR="00335F51" w:rsidRPr="00335F51" w:rsidRDefault="00335F51" w:rsidP="00335F51">
      <w:pPr>
        <w:spacing w:after="100" w:line="276" w:lineRule="auto"/>
        <w:jc w:val="both"/>
      </w:pPr>
      <w:r w:rsidRPr="00335F51">
        <w:lastRenderedPageBreak/>
        <w:t>En el caso de la derivada, el seguimiento formativo requiere atender no solo al resultado del cálculo, sino también a la manera como el estudiante interpreta la variación, el signo, la magnitud, las unidades, el punto de evaluación y las relaciones entre representaciones (</w:t>
      </w:r>
      <w:proofErr w:type="spellStart"/>
      <w:r w:rsidRPr="00335F51">
        <w:t>Borji</w:t>
      </w:r>
      <w:proofErr w:type="spellEnd"/>
      <w:r w:rsidRPr="00335F51">
        <w:t xml:space="preserve">, </w:t>
      </w:r>
      <w:proofErr w:type="spellStart"/>
      <w:r w:rsidRPr="00335F51">
        <w:t>Alamolhodaei</w:t>
      </w:r>
      <w:proofErr w:type="spellEnd"/>
      <w:r w:rsidRPr="00335F51">
        <w:t xml:space="preserve">, et al., 2018; Fuentealba et al., 2023; </w:t>
      </w:r>
      <w:proofErr w:type="spellStart"/>
      <w:r w:rsidRPr="00335F51">
        <w:t>Mkhatshwa</w:t>
      </w:r>
      <w:proofErr w:type="spellEnd"/>
      <w:r w:rsidRPr="00335F51">
        <w:t xml:space="preserve">, 2024). Estas evidencias pueden utilizarse en dos niveles complementarios: individualmente, para ofrecer retroalimentación ajustada a la respuesta producida por cada estudiante, y de manera agregada, para identificar patrones de dificultad predominantes en el grupo y orientar el diseño o ajuste de las actividades del ciclo siguiente (Black y </w:t>
      </w:r>
      <w:proofErr w:type="spellStart"/>
      <w:r w:rsidRPr="00335F51">
        <w:t>Wiliam</w:t>
      </w:r>
      <w:proofErr w:type="spellEnd"/>
      <w:r w:rsidRPr="00335F51">
        <w:t xml:space="preserve">, 1998; Nicol y </w:t>
      </w:r>
      <w:proofErr w:type="spellStart"/>
      <w:r w:rsidRPr="00335F51">
        <w:t>Macfarlane</w:t>
      </w:r>
      <w:proofErr w:type="spellEnd"/>
      <w:r w:rsidRPr="00335F51">
        <w:t>-Dick, 2006). Esta lógica permite vincular la evaluación formativa con un proceso iterativo de adaptación didáctica sustentado en evidencias.</w:t>
      </w:r>
    </w:p>
    <w:p w:rsidR="00480FD7" w:rsidRDefault="008712A0" w:rsidP="001C35FA">
      <w:pPr>
        <w:pStyle w:val="Ttulo2"/>
        <w:keepNext/>
        <w:spacing w:line="276" w:lineRule="auto"/>
      </w:pPr>
      <w:r>
        <w:rPr>
          <w:color w:val="1F4E78"/>
        </w:rPr>
        <w:t>2.5 Inteligencia artificial generativa como apoyo al seguimiento formativo</w:t>
      </w:r>
    </w:p>
    <w:p w:rsidR="004A55F1" w:rsidRPr="004A55F1" w:rsidRDefault="004A55F1" w:rsidP="004A55F1">
      <w:pPr>
        <w:pStyle w:val="pdq2pgselectionanchorcontainer"/>
        <w:spacing w:before="0" w:after="160" w:line="276" w:lineRule="auto"/>
        <w:jc w:val="both"/>
        <w:rPr>
          <w:rFonts w:ascii="Arial" w:eastAsia="Arial" w:hAnsi="Arial" w:cs="Arial"/>
        </w:rPr>
      </w:pPr>
      <w:r w:rsidRPr="004A55F1">
        <w:rPr>
          <w:rFonts w:ascii="Arial" w:eastAsia="Arial" w:hAnsi="Arial" w:cs="Arial"/>
        </w:rPr>
        <w:t xml:space="preserve">La inteligencia artificial generativa ha comenzado a explorarse en educación superior como apoyo para el análisis de producciones abiertas, la generación de retroalimentación y el acompañamiento de procesos de razonamiento. En educación matemática, </w:t>
      </w:r>
      <w:proofErr w:type="spellStart"/>
      <w:r w:rsidRPr="004A55F1">
        <w:rPr>
          <w:rFonts w:ascii="Arial" w:eastAsia="Arial" w:hAnsi="Arial" w:cs="Arial"/>
        </w:rPr>
        <w:t>Urhan</w:t>
      </w:r>
      <w:proofErr w:type="spellEnd"/>
      <w:r w:rsidRPr="004A55F1">
        <w:rPr>
          <w:rFonts w:ascii="Arial" w:eastAsia="Arial" w:hAnsi="Arial" w:cs="Arial"/>
        </w:rPr>
        <w:t xml:space="preserve">, </w:t>
      </w:r>
      <w:proofErr w:type="spellStart"/>
      <w:r w:rsidRPr="004A55F1">
        <w:rPr>
          <w:rFonts w:ascii="Arial" w:eastAsia="Arial" w:hAnsi="Arial" w:cs="Arial"/>
        </w:rPr>
        <w:t>Gençaslan</w:t>
      </w:r>
      <w:proofErr w:type="spellEnd"/>
      <w:r w:rsidRPr="004A55F1">
        <w:rPr>
          <w:rFonts w:ascii="Arial" w:eastAsia="Arial" w:hAnsi="Arial" w:cs="Arial"/>
        </w:rPr>
        <w:t xml:space="preserve"> y </w:t>
      </w:r>
      <w:proofErr w:type="spellStart"/>
      <w:r w:rsidRPr="004A55F1">
        <w:rPr>
          <w:rFonts w:ascii="Arial" w:eastAsia="Arial" w:hAnsi="Arial" w:cs="Arial"/>
        </w:rPr>
        <w:t>Dost</w:t>
      </w:r>
      <w:proofErr w:type="spellEnd"/>
      <w:r w:rsidRPr="004A55F1">
        <w:rPr>
          <w:rFonts w:ascii="Arial" w:eastAsia="Arial" w:hAnsi="Arial" w:cs="Arial"/>
        </w:rPr>
        <w:t xml:space="preserve"> (2024) analizaron una experiencia de argumentación sobre conceptos de cálculo mediante </w:t>
      </w:r>
      <w:proofErr w:type="spellStart"/>
      <w:r w:rsidRPr="004A55F1">
        <w:rPr>
          <w:rFonts w:ascii="Arial" w:eastAsia="Arial" w:hAnsi="Arial" w:cs="Arial"/>
        </w:rPr>
        <w:t>ChatGPT</w:t>
      </w:r>
      <w:proofErr w:type="spellEnd"/>
      <w:r w:rsidRPr="004A55F1">
        <w:rPr>
          <w:rFonts w:ascii="Arial" w:eastAsia="Arial" w:hAnsi="Arial" w:cs="Arial"/>
        </w:rPr>
        <w:t xml:space="preserve">, identificando posibilidades para apoyar la discusión conceptual, pero también limitaciones asociadas con la consistencia y la calidad de las respuestas generadas. En otros campos de la educación superior, </w:t>
      </w:r>
      <w:proofErr w:type="spellStart"/>
      <w:r w:rsidRPr="004A55F1">
        <w:rPr>
          <w:rFonts w:ascii="Arial" w:eastAsia="Arial" w:hAnsi="Arial" w:cs="Arial"/>
        </w:rPr>
        <w:t>Wan</w:t>
      </w:r>
      <w:proofErr w:type="spellEnd"/>
      <w:r w:rsidRPr="004A55F1">
        <w:rPr>
          <w:rFonts w:ascii="Arial" w:eastAsia="Arial" w:hAnsi="Arial" w:cs="Arial"/>
        </w:rPr>
        <w:t xml:space="preserve"> y Chen (2024) mostraron que la calidad de la retroalimentación producida por IA depende de la estructura de los </w:t>
      </w:r>
      <w:proofErr w:type="spellStart"/>
      <w:r w:rsidRPr="004A55F1">
        <w:rPr>
          <w:rFonts w:ascii="Arial" w:eastAsia="Arial" w:hAnsi="Arial" w:cs="Arial"/>
        </w:rPr>
        <w:t>prompts</w:t>
      </w:r>
      <w:proofErr w:type="spellEnd"/>
      <w:r w:rsidRPr="004A55F1">
        <w:rPr>
          <w:rFonts w:ascii="Arial" w:eastAsia="Arial" w:hAnsi="Arial" w:cs="Arial"/>
        </w:rPr>
        <w:t xml:space="preserve"> y de los ejemplos proporcionados, mientras que </w:t>
      </w:r>
      <w:proofErr w:type="spellStart"/>
      <w:r w:rsidRPr="004A55F1">
        <w:rPr>
          <w:rFonts w:ascii="Arial" w:eastAsia="Arial" w:hAnsi="Arial" w:cs="Arial"/>
        </w:rPr>
        <w:t>Dai</w:t>
      </w:r>
      <w:proofErr w:type="spellEnd"/>
      <w:r w:rsidRPr="004A55F1">
        <w:rPr>
          <w:rFonts w:ascii="Arial" w:eastAsia="Arial" w:hAnsi="Arial" w:cs="Arial"/>
        </w:rPr>
        <w:t xml:space="preserve"> et al. (2024) encontraron que el desempeño de los modelos en la generación automática de retroalimentación varía según el modelo, la tarea y los criterios utilizados para orientar su evaluación.</w:t>
      </w:r>
    </w:p>
    <w:p w:rsidR="004A55F1" w:rsidRPr="004A55F1" w:rsidRDefault="004A55F1" w:rsidP="004A55F1">
      <w:pPr>
        <w:spacing w:after="100" w:line="276" w:lineRule="auto"/>
        <w:jc w:val="both"/>
      </w:pPr>
      <w:r w:rsidRPr="004A55F1">
        <w:t>Estos antecedentes muestran que la utilidad educativa de la IA generativa no depende únicamente de la capacidad del modelo, sino también de los criterios pedagógicos y analíticos que orientan su uso. En este sentido, resulta pertinente explorar su articulación con un marco teórico específico, como APOE, que permita interpretar las respuestas estudiantiles mediante indicadores conceptualmente fundamentados y utilizar dichas interpretaciones como apoyo al seguimiento formativo.</w:t>
      </w:r>
    </w:p>
    <w:p w:rsidR="00480FD7" w:rsidRDefault="008712A0">
      <w:pPr>
        <w:pStyle w:val="Ttulo2"/>
        <w:keepNext/>
        <w:spacing w:line="276" w:lineRule="auto"/>
      </w:pPr>
      <w:r>
        <w:rPr>
          <w:color w:val="1F4E78"/>
        </w:rPr>
        <w:t>2.6 Síntesis del vacío de investigación</w:t>
      </w:r>
    </w:p>
    <w:p w:rsidR="004A55F1" w:rsidRPr="004A55F1" w:rsidRDefault="004A55F1" w:rsidP="004A55F1">
      <w:pPr>
        <w:pStyle w:val="pdq2pgselectionanchorcontainer"/>
        <w:spacing w:before="0" w:after="160" w:line="276" w:lineRule="auto"/>
        <w:jc w:val="both"/>
        <w:rPr>
          <w:rFonts w:ascii="Arial" w:eastAsia="Arial" w:hAnsi="Arial" w:cs="Arial"/>
        </w:rPr>
      </w:pPr>
      <w:r w:rsidRPr="004A55F1">
        <w:rPr>
          <w:rFonts w:ascii="Arial" w:eastAsia="Arial" w:hAnsi="Arial" w:cs="Arial"/>
        </w:rPr>
        <w:t>La literatura revisada muestra avances relevantes en varios frentes. Por una parte, se ha documentado que la comprensión de la derivada exige articular su significado como razón de cambio con interpretaciones gráficas, simbólicas y contextuales, y que estas conexiones no siempre se construyen de manera integrada. Por otra, la teoría APOE ha mostrado utilidad para analizar las construcciones conceptuales asociadas con la derivada y también para fundamentar propuestas didácticas en cálculo. A ello se suman experiencias que incorporan recursos digitales para favorecer la exploración conceptual y estudios recientes que examinan las posibilidades de la inteligencia artificial generativa para analizar producciones abiertas y generar retroalimentación.</w:t>
      </w:r>
    </w:p>
    <w:p w:rsidR="004A55F1" w:rsidRPr="004A55F1" w:rsidRDefault="004A55F1" w:rsidP="004A55F1">
      <w:pPr>
        <w:spacing w:after="100" w:line="276" w:lineRule="auto"/>
        <w:jc w:val="both"/>
      </w:pPr>
      <w:r w:rsidRPr="004A55F1">
        <w:t xml:space="preserve">Sin embargo, estos desarrollos aparecen todavía parcialmente separados en los antecedentes revisados. Los estudios fundamentados en APOE permiten caracterizar </w:t>
      </w:r>
      <w:r w:rsidRPr="004A55F1">
        <w:lastRenderedPageBreak/>
        <w:t>con profundidad las evidencias de comprensión, pero es menos frecuente su articulación con procesos sistemáticos de seguimiento formativo durante varios ciclos. Las intervenciones apoyadas por tecnología favorecen la exploración y la representación, aunque no necesariamente utilizan el análisis agregado de las respuestas del grupo para ajustar las actividades posteriores. Asimismo, los trabajos sobre inteligencia artificial generativa muestran posibilidades para apoyar la retroalimentación, pero también evidencian la necesidad de establecer criterios pedagógicos y analíticos que orienten su uso.</w:t>
      </w:r>
    </w:p>
    <w:p w:rsidR="004A55F1" w:rsidRPr="004A55F1" w:rsidRDefault="004A55F1" w:rsidP="004A55F1">
      <w:pPr>
        <w:spacing w:after="100" w:line="276" w:lineRule="auto"/>
        <w:jc w:val="both"/>
      </w:pPr>
      <w:r w:rsidRPr="004A55F1">
        <w:t>En este contexto, el vacío que aborda el presente proyecto se encuentra en la articulación de estos componentes dentro de una misma estrategia de seguimiento formativo. La propuesta busca utilizar una matriz analítica fundamentada en APOE para interpretar respuestas estudiantiles sobre la derivada como razón de cambio, emplear inteligencia artificial generativa de manera delimitada para apoyar el análisis de respuestas abiertas y la retroalimentación individual, y utilizar los patrones identificados en el conjunto del grupo como insumo para ajustar las actividades de los ciclos posteriores. De esta manera, la adaptación se sustenta en las evidencias producidas durante el propio proceso de enseñanza y articula un nivel individual de retroalimentación con un nivel grupal de ajuste didáctico.</w:t>
      </w:r>
    </w:p>
    <w:p w:rsidR="00480FD7" w:rsidRDefault="008712A0" w:rsidP="001C35FA">
      <w:pPr>
        <w:pStyle w:val="Ttulo1"/>
        <w:keepNext/>
        <w:spacing w:after="140" w:line="276" w:lineRule="auto"/>
      </w:pPr>
      <w:r>
        <w:rPr>
          <w:color w:val="1F4E78"/>
        </w:rPr>
        <w:t>3. MARCO REFERENCIAL</w:t>
      </w:r>
    </w:p>
    <w:p w:rsidR="00895ED0" w:rsidRDefault="005E2810">
      <w:pPr>
        <w:pStyle w:val="Ttulo2"/>
        <w:keepNext/>
        <w:spacing w:line="276" w:lineRule="auto"/>
      </w:pPr>
      <w:r>
        <w:rPr>
          <w:color w:val="1F4E78"/>
        </w:rPr>
        <w:t>3.1 Teoría APOE como marco analítico</w:t>
      </w:r>
    </w:p>
    <w:p w:rsidR="00895ED0" w:rsidRDefault="005E2810">
      <w:pPr>
        <w:spacing w:after="100" w:line="276" w:lineRule="auto"/>
        <w:jc w:val="both"/>
      </w:pPr>
      <w:r>
        <w:t>La teoría APOE explica la construcción de conceptos matemáticos mediante las estructuras de Acción, Proceso, Objeto y Esquema. Una Acción corresponde a una transformación que el estudiante realiza siguiendo indicaciones o procedimientos externos; un Proceso surge cuando esa acción se interioriza y puede ser imaginada, descrita o controlada sin ejecutarla paso a paso; un Objeto aparece cuando el proceso se encapsula y puede ser tratado como una entidad matemática; y un Esquema integra acciones, procesos y objetos en una organización coherente para abordar una clase de situaciones (Dubinsky y McDonald, 2001; Arnon et al., 2014).</w:t>
      </w:r>
    </w:p>
    <w:p w:rsidR="00895ED0" w:rsidRDefault="005E2810">
      <w:pPr>
        <w:spacing w:after="100" w:line="276" w:lineRule="auto"/>
        <w:jc w:val="both"/>
      </w:pPr>
      <w:r>
        <w:t>En este estudio, estas estructuras se utilizan como categorías para interpretar evidencias presentes en respuestas situadas sobre la derivada. La clasificación no se concibe como una etiqueta permanente del estudiante, sino como una lectura de la construcción que una respuesta o un conjunto de producciones permite observar frente a una tarea determinada. Por ello, una actuación centrada en la aplicación de reglas puede aportar evidencia de Acción; una explicación que interioriza y describe la variación puede aportar evidencia de Proceso; una interpretación que articula el valor de la derivada con su significado, unidades y punto de evaluación puede aportar evidencia de Objeto; y el uso integrado de esa interpretación para comparar, predecir, justificar o transferir el razonamiento puede aportar evidencia de Esquema.</w:t>
      </w:r>
    </w:p>
    <w:p w:rsidR="00895ED0" w:rsidRDefault="005E2810">
      <w:pPr>
        <w:spacing w:after="100" w:line="276" w:lineRule="auto"/>
        <w:jc w:val="both"/>
      </w:pPr>
      <w:r>
        <w:t xml:space="preserve">La descomposición genética constituye un recurso central de la teoría APOE para modelar las construcciones necesarias en la comprensión de un concepto. Sin embargo, el propósito de esta investigación no es formular una descomposición genética original de la derivada. La matriz analítica se construye a partir de las estructuras APOE y se informa en descomposiciones y desarrollos previos sobre la derivada de una variable, </w:t>
      </w:r>
      <w:r>
        <w:lastRenderedPageBreak/>
        <w:t>particularmente los trabajos de Asiala et al. (1997) y Borji, Alamolhodaei y Radmehr (2018). Esta decisión permite utilizar APOE como marco analítico para el seguimiento formativo, manteniendo la descomposición genética como fundamento teórico y no como producto independiente del estudio. En consecuencia, lo que se somete a validación es la matriz analítica y sus criterios de interpretación, no una nueva descomposición genética.</w:t>
      </w:r>
    </w:p>
    <w:p w:rsidR="00895ED0" w:rsidRDefault="005E2810">
      <w:pPr>
        <w:pStyle w:val="Ttulo2"/>
        <w:keepNext/>
        <w:spacing w:line="276" w:lineRule="auto"/>
      </w:pPr>
      <w:r>
        <w:rPr>
          <w:color w:val="1F4E78"/>
        </w:rPr>
        <w:t>3.2 La derivada como razón de cambio y coordinación de significados</w:t>
      </w:r>
    </w:p>
    <w:p w:rsidR="00895ED0" w:rsidRDefault="005E2810">
      <w:pPr>
        <w:spacing w:after="100" w:line="276" w:lineRule="auto"/>
        <w:jc w:val="both"/>
      </w:pPr>
      <w:r>
        <w:t>La derivada se asume en este proyecto principalmente desde su significado como razón de cambio instantánea. Comprenderla de esta manera implica reconocer la relación entre dos magnitudes que varían, distinguir la razón de cambio promedio de la instantánea y situar la interpretación en un punto o instante específico. Esta comprensión requiere ir más allá del valor numérico o del procedimiento de derivación para explicar qué cambia, respecto de qué cambia y qué expresa la tasa obtenida en el contexto considerado (Bezuidenhout, 1998; Zandieh, 2000; Mkhatshwa, 2020).</w:t>
      </w:r>
    </w:p>
    <w:p w:rsidR="00895ED0" w:rsidRDefault="005E2810">
      <w:pPr>
        <w:spacing w:after="100" w:line="276" w:lineRule="auto"/>
        <w:jc w:val="both"/>
      </w:pPr>
      <w:r>
        <w:t>El razonamiento covariacional aporta un referente complementario para comprender esta relación entre magnitudes. Carlson et al. (2002) lo describen como la coordinación cognitiva de dos cantidades que varían simultáneamente y de las formas en que sus cambios se relacionan. Desde esta perspectiva, interpretar una derivada supone atender al cambio de una magnitud respecto de otra y comprender el carácter local de esa relación, aspecto especialmente relevante cuando se analizan situaciones contextualizadas y problemas de razón de cambio.</w:t>
      </w:r>
    </w:p>
    <w:p w:rsidR="00895ED0" w:rsidRDefault="005E2810">
      <w:pPr>
        <w:spacing w:after="100" w:line="276" w:lineRule="auto"/>
        <w:jc w:val="both"/>
      </w:pPr>
      <w:r w:rsidRPr="005E2810">
        <w:t>La comprensión conceptual de la derivada también exige coordinar distintos registros y componentes de significado. Una interpretación completa puede requerir relacionar el signo con la dirección del cambio, la magnitud con la cantidad de variación por unidad, las unidades con las magnitudes involucradas, el punto de evaluación con el carácter local de la derivada y, cuando la tarea lo demande, la representación simbólica con la gráfica, la verbal o la contextual (</w:t>
      </w:r>
      <w:proofErr w:type="spellStart"/>
      <w:r w:rsidRPr="005E2810">
        <w:t>Zandieh</w:t>
      </w:r>
      <w:proofErr w:type="spellEnd"/>
      <w:r w:rsidRPr="005E2810">
        <w:t xml:space="preserve">, 2000; </w:t>
      </w:r>
      <w:proofErr w:type="spellStart"/>
      <w:r w:rsidRPr="005E2810">
        <w:t>Borji</w:t>
      </w:r>
      <w:proofErr w:type="spellEnd"/>
      <w:r w:rsidRPr="005E2810">
        <w:t xml:space="preserve">, </w:t>
      </w:r>
      <w:proofErr w:type="spellStart"/>
      <w:r w:rsidRPr="005E2810">
        <w:t>Alamolhodaei</w:t>
      </w:r>
      <w:proofErr w:type="spellEnd"/>
      <w:r w:rsidRPr="005E2810">
        <w:t xml:space="preserve">, et al., 2018; </w:t>
      </w:r>
      <w:proofErr w:type="spellStart"/>
      <w:r w:rsidRPr="005E2810">
        <w:t>Mkhatshwa</w:t>
      </w:r>
      <w:proofErr w:type="spellEnd"/>
      <w:r w:rsidRPr="005E2810">
        <w:t>, 2024).</w:t>
      </w:r>
      <w:r>
        <w:t xml:space="preserve"> Las dificultades documentadas en estudiantes para coordinar estos elementos justifican que la matriz del proyecto los traduzca en indicadores observables y no reduzca el análisis a la corrección del procedimiento (Borji, Alamolhodaei, et al., 2018; Fuentealba et al., 2023; Mkhatshwa, 2024).</w:t>
      </w:r>
    </w:p>
    <w:p w:rsidR="00895ED0" w:rsidRDefault="005E2810">
      <w:pPr>
        <w:pStyle w:val="Ttulo2"/>
        <w:keepNext/>
        <w:spacing w:line="276" w:lineRule="auto"/>
      </w:pPr>
      <w:r>
        <w:rPr>
          <w:color w:val="1F4E78"/>
        </w:rPr>
        <w:t>3.3 Evaluación formativa, retroalimentación y adaptación didáctica</w:t>
      </w:r>
    </w:p>
    <w:p w:rsidR="00895ED0" w:rsidRDefault="005E2810">
      <w:pPr>
        <w:spacing w:after="100" w:line="276" w:lineRule="auto"/>
        <w:jc w:val="both"/>
      </w:pPr>
      <w:r>
        <w:t>La evaluación formativa se entiende como un proceso de producción e interpretación de evidencias durante el aprendizaje con el propósito de orientar actuaciones posteriores. Su valor no reside únicamente en identificar si una respuesta es correcta o incorrecta, sino en hacer visible la distancia entre la comprensión evidenciada y la comprensión esperada, y utilizar esa información para orientar nuevas acciones del estudiante y decisiones didácticas posteriores (Black y Wiliam, 1998; Nicol y Macfarlane-Dick, 2006; Hattie y Timperley, 2007).</w:t>
      </w:r>
    </w:p>
    <w:p w:rsidR="00895ED0" w:rsidRDefault="005E2810">
      <w:pPr>
        <w:spacing w:after="100" w:line="276" w:lineRule="auto"/>
        <w:jc w:val="both"/>
      </w:pPr>
      <w:r>
        <w:t xml:space="preserve">En este proyecto, la retroalimentación se vincula directamente con las evidencias interpretadas mediante la matriz APOE. La respuesta de cada estudiante constituye una unidad situada de información a partir de la cual pueden identificarse fortalezas, omisiones o dificultades conceptuales y formular una retroalimentación individual </w:t>
      </w:r>
      <w:r>
        <w:lastRenderedPageBreak/>
        <w:t>coherente con esos hallazgos. La finalidad de esta retroalimentación es orientar una nueva elaboración o actuación, no asignar una calificación automática ni establecer una característica fija del estudiante.</w:t>
      </w:r>
    </w:p>
    <w:p w:rsidR="00895ED0" w:rsidRDefault="005E2810">
      <w:pPr>
        <w:spacing w:after="100" w:line="276" w:lineRule="auto"/>
        <w:jc w:val="both"/>
      </w:pPr>
      <w:r>
        <w:t>La adaptación didáctica se concibe además en un segundo nivel, correspondiente al grupo. Una vez analizadas las respuestas individuales de un ciclo, los indicadores y dificultades se agregan para identificar patrones predominantes en el curso. Estos patrones funcionan como evidencia para decidir qué aspectos deben reforzarse, qué tipos de tareas conviene incorporar o modificar y qué orientaciones deben priorizarse en el ciclo siguiente. De este modo, la estrategia combina retroalimentación individual con ajustes grupales sucesivos y mantiene tareas comunes que permiten conservar un referente compartido para el análisis de las evidencias.</w:t>
      </w:r>
    </w:p>
    <w:p w:rsidR="00895ED0" w:rsidRDefault="005E2810">
      <w:pPr>
        <w:pStyle w:val="Ttulo2"/>
        <w:keepNext/>
        <w:spacing w:line="276" w:lineRule="auto"/>
      </w:pPr>
      <w:r>
        <w:rPr>
          <w:color w:val="1F4E78"/>
        </w:rPr>
        <w:t>3.4 Transformación digital e inteligencia artificial generativa</w:t>
      </w:r>
    </w:p>
    <w:p w:rsidR="00895ED0" w:rsidRDefault="005E2810">
      <w:pPr>
        <w:spacing w:after="100" w:line="276" w:lineRule="auto"/>
        <w:jc w:val="both"/>
      </w:pPr>
      <w:r>
        <w:t>La transformación digital se asume como una reorganización de las prácticas de enseñanza y de las formas de producir, conservar e interpretar evidencias, y no como la simple sustitución de un recurso analógico por uno digital. Desde esta perspectiva, el entorno tecnológico adquiere valor cuando permite hacer visibles procesos de aprendizaje, conservar trazas de las producciones y retroalimentaciones y utilizar esa información para ajustar decisiones pedagógicas (Beetham y Sharpe, 2013).</w:t>
      </w:r>
    </w:p>
    <w:p w:rsidR="00895ED0" w:rsidRDefault="005E2810">
      <w:pPr>
        <w:spacing w:after="100" w:line="276" w:lineRule="auto"/>
        <w:jc w:val="both"/>
      </w:pPr>
      <w:r>
        <w:t>La inteligencia artificial generativa se incorpora como un componente delimitado de esta arquitectura. Su función principal será apoyar el análisis de respuestas abiertas mediante los indicadores definidos en la matriz APOE y generar retroalimentaciones individuales relacionadas con las evidencias identificadas. La literatura reciente muestra que la calidad de este tipo de apoyo depende de la estructura de los prompts, de los criterios utilizados y de las restricciones establecidas para la tarea, por lo que el uso educativo de la IA requiere una organización pedagógica explícita y no puede descansar únicamente en la capacidad general del modelo (Wan y Chen, 2024; Dai et al., 2024).</w:t>
      </w:r>
    </w:p>
    <w:p w:rsidR="00895ED0" w:rsidRDefault="005E2810">
      <w:pPr>
        <w:spacing w:after="100" w:line="276" w:lineRule="auto"/>
        <w:jc w:val="both"/>
      </w:pPr>
      <w:r>
        <w:t>El control pedagógico del componente generativo se establece antes de la implementación mediante la validación de la matriz, la revisión y el pilotaje de las tareas, y la definición y prueba de prompts, reglas y formatos de salida. Las tareas comunes, los criterios matemáticos y las decisiones que requieran resultados deterministas permanecerán previamente definidos, mientras que las interacciones con IA se registrarán para conservar la trazabilidad del proceso. Este uso delimitado es coherente con un enfoque de inteligencia artificial centrado en las personas y con la necesidad de proteger los datos y mantener criterios educativos explícitos en su aplicación (UNESCO, 2023).</w:t>
      </w:r>
    </w:p>
    <w:p w:rsidR="00895ED0" w:rsidRDefault="005E2810">
      <w:pPr>
        <w:pStyle w:val="Ttulo2"/>
        <w:keepNext/>
        <w:spacing w:line="276" w:lineRule="auto"/>
      </w:pPr>
      <w:r>
        <w:rPr>
          <w:color w:val="1F4E78"/>
        </w:rPr>
        <w:t>3.5 Articulación conceptual del estudio</w:t>
      </w:r>
    </w:p>
    <w:p w:rsidR="00580EF1" w:rsidRDefault="00580EF1" w:rsidP="00580EF1">
      <w:pPr>
        <w:spacing w:after="100" w:line="276" w:lineRule="auto"/>
        <w:jc w:val="both"/>
      </w:pPr>
      <w:r>
        <w:t>Los componentes anteriores se articulan en un mismo ciclo conceptual. La teoría APOE aporta el marco para interpretar las evidencias de comprensión de la derivada (</w:t>
      </w:r>
      <w:proofErr w:type="spellStart"/>
      <w:r>
        <w:t>Dubinsky</w:t>
      </w:r>
      <w:proofErr w:type="spellEnd"/>
      <w:r>
        <w:t xml:space="preserve"> y McDonald, 2001; </w:t>
      </w:r>
      <w:proofErr w:type="spellStart"/>
      <w:r>
        <w:t>Arnon</w:t>
      </w:r>
      <w:proofErr w:type="spellEnd"/>
      <w:r>
        <w:t xml:space="preserve"> et al., 2014); la comprensión de la derivada como razón de cambio define el contenido conceptual y los indicadores que se pretende hacer visibles (</w:t>
      </w:r>
      <w:proofErr w:type="spellStart"/>
      <w:r>
        <w:t>Zandieh</w:t>
      </w:r>
      <w:proofErr w:type="spellEnd"/>
      <w:r>
        <w:t xml:space="preserve">, 2000; </w:t>
      </w:r>
      <w:proofErr w:type="spellStart"/>
      <w:r>
        <w:t>Mkhatshwa</w:t>
      </w:r>
      <w:proofErr w:type="spellEnd"/>
      <w:r>
        <w:t xml:space="preserve">, 2024); la evaluación formativa proporciona la lógica para convertir esas evidencias en retroalimentación y decisiones posteriores (Black y </w:t>
      </w:r>
      <w:proofErr w:type="spellStart"/>
      <w:r>
        <w:t>Wiliam</w:t>
      </w:r>
      <w:proofErr w:type="spellEnd"/>
      <w:r>
        <w:t xml:space="preserve">, 1998; Nicol y </w:t>
      </w:r>
      <w:proofErr w:type="spellStart"/>
      <w:r>
        <w:t>Macfarlane</w:t>
      </w:r>
      <w:proofErr w:type="spellEnd"/>
      <w:r>
        <w:t xml:space="preserve">-Dick, 2006); y la transformación digital, con apoyo delimitado de </w:t>
      </w:r>
      <w:r>
        <w:lastRenderedPageBreak/>
        <w:t>inteligencia artificial generativa, permite organizar, analizar y conservar las producciones generadas durante el proceso (</w:t>
      </w:r>
      <w:proofErr w:type="spellStart"/>
      <w:r>
        <w:t>Beetham</w:t>
      </w:r>
      <w:proofErr w:type="spellEnd"/>
      <w:r>
        <w:t xml:space="preserve"> y Sharpe, 2013; </w:t>
      </w:r>
      <w:proofErr w:type="spellStart"/>
      <w:r>
        <w:t>Dai</w:t>
      </w:r>
      <w:proofErr w:type="spellEnd"/>
      <w:r>
        <w:t xml:space="preserve"> et al., 2024).</w:t>
      </w:r>
    </w:p>
    <w:p w:rsidR="00580EF1" w:rsidRDefault="00580EF1" w:rsidP="00580EF1">
      <w:pPr>
        <w:spacing w:after="100" w:line="276" w:lineRule="auto"/>
        <w:jc w:val="both"/>
      </w:pPr>
      <w:r>
        <w:t>A partir de esta articulación, el seguimiento formativo se entiende como un proceso iterativo en el que una actividad común produce evidencias individuales, estas se interpretan mediante la matriz APOE y dan lugar a retroalimentaciones ajustadas a cada respuesta. Posteriormente, el análisis agregado de las evidencias del grupo orienta el ajuste de la actividad o de las orientaciones del ciclo siguiente. Así, la adaptación de la estrategia no implica construir un recorrido completamente diferente para cada estudiante, sino combinar una respuesta formativa individual con una adaptación didáctica grupal sustentada en los patrones observados en cada ciclo.</w:t>
      </w:r>
    </w:p>
    <w:p w:rsidR="00480FD7" w:rsidRDefault="008712A0" w:rsidP="002A683F">
      <w:pPr>
        <w:pStyle w:val="Ttulo1"/>
        <w:keepNext/>
        <w:spacing w:after="140" w:line="276" w:lineRule="auto"/>
      </w:pPr>
      <w:r>
        <w:rPr>
          <w:color w:val="1F4E78"/>
        </w:rPr>
        <w:t>4. DISEÑO METODOLÓGICO</w:t>
      </w:r>
    </w:p>
    <w:p w:rsidR="00480FD7" w:rsidRDefault="008712A0">
      <w:pPr>
        <w:pStyle w:val="Ttulo2"/>
        <w:keepNext/>
        <w:spacing w:line="276" w:lineRule="auto"/>
      </w:pPr>
      <w:r>
        <w:rPr>
          <w:color w:val="1F4E78"/>
        </w:rPr>
        <w:t>4.1 Enfoque y tipo de investigación</w:t>
      </w:r>
    </w:p>
    <w:p w:rsidR="005D4904" w:rsidRPr="005D4904" w:rsidRDefault="005D4904" w:rsidP="005D4904">
      <w:pPr>
        <w:keepNext/>
        <w:spacing w:before="200" w:after="100" w:line="276" w:lineRule="auto"/>
        <w:jc w:val="both"/>
      </w:pPr>
      <w:r w:rsidRPr="005D4904">
        <w:rPr>
          <w:color w:val="000000"/>
        </w:rPr>
        <w:t xml:space="preserve">La investigación adopta un enfoque predominantemente cualitativo, con apoyo de técnicas cuantitativas descriptivas, y se desarrolla desde una Investigación Educativa Basada en Diseño de carácter aplicado. Este enfoque resulta pertinente porque el estudio implica el desarrollo de una estrategia didáctica en un contexto educativo, su implementación mediante ciclos sucesivos y el análisis de las evidencias producidas para introducir ajustes durante el proceso de diseño (Cobb et al., 2003; </w:t>
      </w:r>
      <w:proofErr w:type="spellStart"/>
      <w:r w:rsidRPr="005D4904">
        <w:rPr>
          <w:color w:val="000000"/>
        </w:rPr>
        <w:t>Chien</w:t>
      </w:r>
      <w:proofErr w:type="spellEnd"/>
      <w:r w:rsidRPr="005D4904">
        <w:rPr>
          <w:color w:val="000000"/>
        </w:rPr>
        <w:t xml:space="preserve"> et al., 2026).</w:t>
      </w:r>
    </w:p>
    <w:p w:rsidR="005D4904" w:rsidRPr="005D4904" w:rsidRDefault="005D4904" w:rsidP="005D4904">
      <w:pPr>
        <w:keepNext/>
        <w:spacing w:before="200" w:after="100" w:line="276" w:lineRule="auto"/>
        <w:jc w:val="both"/>
      </w:pPr>
      <w:r>
        <w:rPr>
          <w:color w:val="000000"/>
        </w:rPr>
        <w:t>El componente cualitativo se concentra en la interpretación de las respuestas y producciones estudiantiles, las evidencias de comprensión identificadas mediante la matriz APOE, las retroalimentaciones generadas y los ajustes realizados entre ciclos. El componente cuantitativo cumple una función complementaria y descriptiva mediante el coeficiente V de Aiken para la valoración de contenido de la matriz y el uso de frecuencias y porcentajes para sintetizar indicadores, dificultades y patrones observados durante la implementación.</w:t>
      </w:r>
    </w:p>
    <w:p w:rsidR="005D4904" w:rsidRDefault="005D4904" w:rsidP="005D4904">
      <w:pPr>
        <w:keepNext/>
        <w:spacing w:before="200" w:after="100" w:line="276" w:lineRule="auto"/>
        <w:jc w:val="both"/>
      </w:pPr>
      <w:r w:rsidRPr="005D4904">
        <w:rPr>
          <w:color w:val="000000"/>
        </w:rPr>
        <w:t>La finalidad del estudio no es estimar un efecto causal de la estrategia sobre el aprendizaje ni comparar grupos experimentales, sino desarrollar y valorar el funcionamiento de una estrategia capaz de producir, organizar e interpretar evidencias útiles para el seguimiento formativo de la comprensión conceptual de la derivada como razón de cambio.</w:t>
      </w:r>
    </w:p>
    <w:p w:rsidR="00480FD7" w:rsidRDefault="008712A0" w:rsidP="005D4904">
      <w:pPr>
        <w:pStyle w:val="Ttulo2"/>
        <w:keepNext/>
        <w:spacing w:line="276" w:lineRule="auto"/>
        <w:jc w:val="both"/>
      </w:pPr>
      <w:r>
        <w:rPr>
          <w:color w:val="1F4E78"/>
        </w:rPr>
        <w:t>4.2 Principios y arquitectura preliminar para el diseño de la estrategia</w:t>
      </w:r>
    </w:p>
    <w:p w:rsidR="00FA2D91" w:rsidRDefault="00FA2D91" w:rsidP="00FA2D91">
      <w:pPr>
        <w:spacing w:after="100" w:line="276" w:lineRule="auto"/>
        <w:jc w:val="both"/>
      </w:pPr>
      <w:r>
        <w:t>La estrategia didáctica será desarrollada durante la segunda fase del proyecto a partir de la matriz APOE consolidada, los resultados del diagnóstico de prerrequisitos y los principios de evaluación formativa definidos en el marco referencial. Su arquitectura se organizará mediante ciclos sucesivos de seguimiento formativo. En cada ciclo, todos los estudiantes desarrollarán una actividad común diseñada para producir evidencias interpretables sobre la comprensión de la derivada como razón de cambio. El uso de tareas comunes permitirá conservar condiciones comparables de observación entre los participantes y reconocer tanto diferencias individuales como patrones compartidos en el grupo.</w:t>
      </w:r>
    </w:p>
    <w:p w:rsidR="008066C5" w:rsidRDefault="008066C5" w:rsidP="00FA2D91">
      <w:pPr>
        <w:spacing w:after="100" w:line="276" w:lineRule="auto"/>
        <w:jc w:val="both"/>
      </w:pPr>
      <w:r>
        <w:lastRenderedPageBreak/>
        <w:t>La Figura 1 sintetiza esta arquitectura preliminar y muestra la secuencia iterativa que articula la actividad común, el análisis y la retroalimentación individual, y la agregación de evidencias y el ajuste didáctico a nivel grupal entre ciclos sucesivos.</w:t>
      </w:r>
    </w:p>
    <w:p w:rsidR="008066C5" w:rsidRDefault="008066C5" w:rsidP="00FA2D91">
      <w:pPr>
        <w:spacing w:after="100" w:line="276" w:lineRule="auto"/>
        <w:jc w:val="both"/>
      </w:pPr>
      <w:r>
        <w:rPr>
          <w:noProof/>
        </w:rPr>
        <w:drawing>
          <wp:inline distT="0" distB="0" distL="0" distR="0">
            <wp:extent cx="6116320" cy="354793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6320" cy="3547935"/>
                    </a:xfrm>
                    <a:prstGeom prst="rect">
                      <a:avLst/>
                    </a:prstGeom>
                    <a:noFill/>
                    <a:ln>
                      <a:noFill/>
                    </a:ln>
                  </pic:spPr>
                </pic:pic>
              </a:graphicData>
            </a:graphic>
          </wp:inline>
        </w:drawing>
      </w:r>
    </w:p>
    <w:p w:rsidR="008066C5" w:rsidRPr="008066C5" w:rsidRDefault="008066C5" w:rsidP="008066C5">
      <w:pPr>
        <w:spacing w:after="40"/>
        <w:rPr>
          <w:sz w:val="20"/>
          <w:szCs w:val="20"/>
        </w:rPr>
      </w:pPr>
      <w:r w:rsidRPr="008066C5">
        <w:rPr>
          <w:i/>
          <w:sz w:val="21"/>
          <w:szCs w:val="20"/>
        </w:rPr>
        <w:t xml:space="preserve">Figura 1. Arquitectura preliminar de los ciclos de seguimiento formativo de la estrategia didáctica adaptativa. Nota. El esquema representa el carácter cíclico e iterativo de la estrategia: a partir de la matriz APOE y de una actividad común, la adaptación opera en dos niveles complementarios </w:t>
      </w:r>
      <w:r>
        <w:rPr>
          <w:i/>
          <w:sz w:val="21"/>
          <w:szCs w:val="20"/>
        </w:rPr>
        <w:t>(</w:t>
      </w:r>
      <w:r w:rsidRPr="008066C5">
        <w:rPr>
          <w:i/>
          <w:sz w:val="21"/>
          <w:szCs w:val="20"/>
        </w:rPr>
        <w:t>retroalimentación individual asociada a cada respuesta y ajuste didáctico grupal entre ciclos</w:t>
      </w:r>
      <w:r>
        <w:rPr>
          <w:i/>
          <w:sz w:val="21"/>
          <w:szCs w:val="20"/>
        </w:rPr>
        <w:t>)</w:t>
      </w:r>
      <w:r w:rsidRPr="008066C5">
        <w:rPr>
          <w:i/>
          <w:sz w:val="21"/>
          <w:szCs w:val="20"/>
        </w:rPr>
        <w:t xml:space="preserve"> y el ajuste del ciclo anterior orienta la actividad común del ciclo siguiente. Elaboración propia.</w:t>
      </w:r>
    </w:p>
    <w:p w:rsidR="00FA2D91" w:rsidRDefault="00FA2D91" w:rsidP="00FA2D91">
      <w:pPr>
        <w:spacing w:after="100" w:line="276" w:lineRule="auto"/>
        <w:jc w:val="both"/>
      </w:pPr>
      <w:r>
        <w:t>Las respuestas producidas en cada actividad serán analizadas individualmente mediante los indicadores de la matriz APOE aplicables a la tarea. Este análisis permitirá identificar las evidencias de comprensión presentes, las dificultades observadas y los aspectos que requieren orientación. A partir de esta información se generará una retroalimentación ajustada a la producción de cada estudiante. La clasificación APOE se aplicará a respuestas o conjuntos de evidencias situadas y no se utilizará como una etiqueta permanente del estudiante.</w:t>
      </w:r>
    </w:p>
    <w:p w:rsidR="00FA2D91" w:rsidRDefault="00FA2D91" w:rsidP="00FA2D91">
      <w:pPr>
        <w:spacing w:after="100" w:line="276" w:lineRule="auto"/>
        <w:jc w:val="both"/>
      </w:pPr>
      <w:r>
        <w:t>Posteriormente, los indicadores y dificultades identificados en las respuestas individuales serán agregados para reconocer patrones predominantes en el grupo. Estos patrones constituirán el principal insumo para ajustar la actividad común del ciclo siguiente, mediante modificaciones en el énfasis conceptual, el tipo de representación, la complejidad de las tareas, las orientaciones proporcionadas o los aspectos que requieran ser retomados. De esta manera, la adaptación de la estrategia operará en dos niveles complementarios: una retroalimentación individual asociada a cada respuesta y una adaptación didáctica grupal entre ciclos sustentada en las evidencias recogidas.</w:t>
      </w:r>
    </w:p>
    <w:p w:rsidR="00FA2D91" w:rsidRDefault="00FA2D91" w:rsidP="00FA2D91">
      <w:pPr>
        <w:spacing w:after="100" w:line="276" w:lineRule="auto"/>
        <w:jc w:val="both"/>
      </w:pPr>
      <w:r>
        <w:t xml:space="preserve">La inteligencia artificial generativa se incorporará de manera delimitada para apoyar el análisis de respuestas abiertas mediante los indicadores previamente definidos en la matriz APOE y para generar propuestas de retroalimentación individual dentro de formatos y criterios establecidos. También podrá apoyar la síntesis de patrones del grupo </w:t>
      </w:r>
      <w:r>
        <w:lastRenderedPageBreak/>
        <w:t xml:space="preserve">a partir de los indicadores registrados. No se utilizará para generar de manera libre recorridos, actividades o criterios de evaluación diferentes para cada estudiante. Las tareas comunes, los criterios matemáticos, los indicadores de análisis, los </w:t>
      </w:r>
      <w:proofErr w:type="spellStart"/>
      <w:r>
        <w:t>prompts</w:t>
      </w:r>
      <w:proofErr w:type="spellEnd"/>
      <w:r>
        <w:t>, los formatos de salida y las reglas de funcionamiento serán definidos, revisados y pilotados antes de la implementación.</w:t>
      </w:r>
    </w:p>
    <w:p w:rsidR="00FA2D91" w:rsidRDefault="00FA2D91" w:rsidP="00FA2D91">
      <w:pPr>
        <w:spacing w:after="100" w:line="276" w:lineRule="auto"/>
        <w:jc w:val="both"/>
      </w:pPr>
      <w:r>
        <w:t>Antes de iniciar los ciclos se realizará un pilotaje técnico y pedagógico para verificar la claridad de las tareas, los tiempos de respuesta, el almacenamiento de las producciones, la aplicación de los indicadores, la coherencia de las retroalimentaciones y el funcionamiento de los componentes generativos. Durante la implementación se conservará la trazabilidad de las respuestas, los análisis, las retroalimentaciones y los ajustes efectuados entre ciclos. Estos registros permitirán valorar posteriormente el funcionamiento de la estrategia y documentar las decisiones de diseño realizadas a partir de las evidencias producidas.</w:t>
      </w:r>
    </w:p>
    <w:p w:rsidR="00727B11" w:rsidRDefault="00727B11">
      <w:pPr>
        <w:spacing w:after="100" w:line="276" w:lineRule="auto"/>
        <w:jc w:val="both"/>
      </w:pPr>
    </w:p>
    <w:p w:rsidR="005D665F" w:rsidRDefault="005D665F">
      <w:pPr>
        <w:spacing w:after="100" w:line="276" w:lineRule="auto"/>
        <w:jc w:val="both"/>
      </w:pPr>
    </w:p>
    <w:p w:rsidR="00FA1C05" w:rsidRDefault="008712A0" w:rsidP="00FA1C05">
      <w:pPr>
        <w:pStyle w:val="Ttulo2"/>
        <w:keepNext/>
        <w:spacing w:line="276" w:lineRule="auto"/>
        <w:rPr>
          <w:b w:val="0"/>
          <w:bCs w:val="0"/>
          <w:color w:val="auto"/>
        </w:rPr>
      </w:pPr>
      <w:r>
        <w:rPr>
          <w:color w:val="1F4E78"/>
        </w:rPr>
        <w:t>4.3 Participantes</w:t>
      </w:r>
    </w:p>
    <w:p w:rsidR="00E718A3" w:rsidRDefault="00CE1D24">
      <w:pPr>
        <w:spacing w:after="100" w:line="276" w:lineRule="auto"/>
        <w:jc w:val="both"/>
      </w:pPr>
      <w:r>
        <w:t>Participarán 28 estudiantes matriculados en un curso de Cálculo Diferencial de un programa de Ingeniería de Sistemas de una institución de educación superior de Bucaramanga, Colombia, durante el segundo semestre académico de 2026. La selecció</w:t>
      </w:r>
      <w:r>
        <w:t>n será intencional y corresponderá a un grupo académico a cargo del docente-investigador, en el cual se desarrollará el estudio en el contexto regular de la asignatura.</w:t>
      </w:r>
    </w:p>
    <w:p w:rsidR="00FA1C05" w:rsidRDefault="00FA1C05" w:rsidP="00FA1C05">
      <w:pPr>
        <w:keepNext/>
        <w:spacing w:before="200" w:after="100" w:line="276" w:lineRule="auto"/>
        <w:jc w:val="both"/>
      </w:pPr>
      <w:r w:rsidRPr="00FA1C05">
        <w:rPr>
          <w:color w:val="000000"/>
        </w:rPr>
        <w:t>Los participantes presentarán trayectorias académicas diversas en relación con su formación matemática previa y su experiencia universitaria. Para proteger su identidad durante la recolección, organización y análisis de la información, a cada estudiante se le asignará un código alfanumérico que permitirá vincular las evidencias obtenidas en los diferentes momentos del estudio sin utilizar datos de identificación personal.</w:t>
      </w:r>
    </w:p>
    <w:p w:rsidR="00FA1C05" w:rsidRDefault="00FA1C05" w:rsidP="00FA1C05">
      <w:pPr>
        <w:keepNext/>
        <w:spacing w:before="200" w:after="100" w:line="276" w:lineRule="auto"/>
        <w:jc w:val="both"/>
      </w:pPr>
      <w:r w:rsidRPr="00FA1C05">
        <w:rPr>
          <w:color w:val="000000"/>
        </w:rPr>
        <w:t>La participación será voluntaria y estará sujeta a la aceptación del consentimiento informado y a los procedimientos éticos establecidos para la investigación.</w:t>
      </w:r>
    </w:p>
    <w:p w:rsidR="00480FD7" w:rsidRDefault="008712A0" w:rsidP="00FA1C05">
      <w:pPr>
        <w:pStyle w:val="Ttulo2"/>
        <w:keepNext/>
        <w:spacing w:line="276" w:lineRule="auto"/>
      </w:pPr>
      <w:r>
        <w:rPr>
          <w:color w:val="1F4E78"/>
        </w:rPr>
        <w:t>4.4 Fases del proyecto</w:t>
      </w:r>
    </w:p>
    <w:p w:rsidR="00E718A3" w:rsidRDefault="00CE1D24">
      <w:pPr>
        <w:spacing w:after="100" w:line="276" w:lineRule="auto"/>
        <w:jc w:val="both"/>
      </w:pPr>
      <w:r>
        <w:t>El estudio se organizará en tres fases articuladas con los objetivos específicos y con la lógica iterativa de la Investigación Educativa Basada en Diseño. La Tabla 1 sintetiza el propósito y las actividades previstas en cada fase.</w:t>
      </w:r>
    </w:p>
    <w:p w:rsidR="00480FD7" w:rsidRDefault="00480FD7">
      <w:pPr>
        <w:spacing w:after="100" w:line="276" w:lineRule="auto"/>
        <w:jc w:val="both"/>
      </w:pPr>
    </w:p>
    <w:p w:rsidR="00E718A3" w:rsidRDefault="00CE1D24">
      <w:pPr>
        <w:keepNext/>
        <w:pageBreakBefore/>
        <w:spacing w:before="140" w:after="20" w:line="276" w:lineRule="auto"/>
        <w:jc w:val="both"/>
      </w:pPr>
      <w:r>
        <w:rPr>
          <w:b/>
          <w:color w:val="1F4E78"/>
          <w:sz w:val="21"/>
        </w:rPr>
        <w:lastRenderedPageBreak/>
        <w:t>Tabla 1</w:t>
      </w:r>
    </w:p>
    <w:p w:rsidR="00E718A3" w:rsidRDefault="00CE1D24">
      <w:pPr>
        <w:keepNext/>
        <w:spacing w:after="60" w:line="276" w:lineRule="auto"/>
        <w:jc w:val="both"/>
      </w:pPr>
      <w:r>
        <w:rPr>
          <w:i/>
        </w:rPr>
        <w:t xml:space="preserve">Fases </w:t>
      </w:r>
      <w:r>
        <w:rPr>
          <w:i/>
        </w:rPr>
        <w:t>del proyecto y actividades previstas</w:t>
      </w:r>
    </w:p>
    <w:tbl>
      <w:tblPr>
        <w:tblW w:w="0" w:type="auto"/>
        <w:jc w:val="center"/>
        <w:tblBorders>
          <w:top w:val="single" w:sz="14" w:space="0" w:color="1F4E78"/>
          <w:left w:val="nil"/>
          <w:bottom w:val="single" w:sz="14" w:space="0" w:color="1F4E78"/>
          <w:right w:val="nil"/>
          <w:insideH w:val="single" w:sz="4" w:space="0" w:color="CDD7E4"/>
          <w:insideV w:val="nil"/>
        </w:tblBorders>
        <w:tblLayout w:type="fixed"/>
        <w:tblLook w:val="04A0" w:firstRow="1" w:lastRow="0" w:firstColumn="1" w:lastColumn="0" w:noHBand="0" w:noVBand="1"/>
      </w:tblPr>
      <w:tblGrid>
        <w:gridCol w:w="2880"/>
        <w:gridCol w:w="1008"/>
        <w:gridCol w:w="6480"/>
      </w:tblGrid>
      <w:tr w:rsidR="00E718A3">
        <w:trPr>
          <w:cantSplit/>
          <w:tblHeader/>
          <w:jc w:val="center"/>
        </w:trPr>
        <w:tc>
          <w:tcPr>
            <w:tcW w:w="2880"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8"/>
              </w:rPr>
              <w:t>Fase</w:t>
            </w:r>
          </w:p>
        </w:tc>
        <w:tc>
          <w:tcPr>
            <w:tcW w:w="1008"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8"/>
              </w:rPr>
              <w:t>Semanas</w:t>
            </w:r>
          </w:p>
        </w:tc>
        <w:tc>
          <w:tcPr>
            <w:tcW w:w="6480"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8"/>
              </w:rPr>
              <w:t>Descripción</w:t>
            </w:r>
          </w:p>
        </w:tc>
      </w:tr>
      <w:tr w:rsidR="00E718A3">
        <w:trPr>
          <w:cantSplit/>
          <w:jc w:val="center"/>
        </w:trPr>
        <w:tc>
          <w:tcPr>
            <w:tcW w:w="2880"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8"/>
              </w:rPr>
              <w:t>1. Validación y aplicabilidad de la matriz APOE</w:t>
            </w:r>
          </w:p>
        </w:tc>
        <w:tc>
          <w:tcPr>
            <w:tcW w:w="100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8"/>
              </w:rPr>
              <w:t>1–3</w:t>
            </w:r>
          </w:p>
        </w:tc>
        <w:tc>
          <w:tcPr>
            <w:tcW w:w="6480"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8"/>
              </w:rPr>
              <w:t>Valoración de contenido de la matriz por tres a cinco expertos en pertinencia, claridad y suficiencia; análisis mediante V de Aiken, incorpor</w:t>
            </w:r>
            <w:r>
              <w:rPr>
                <w:color w:val="000000"/>
                <w:sz w:val="18"/>
              </w:rPr>
              <w:t>ación de observaciones y examen de aplicabilidad sobre un corpus piloto de respuestas acerca de la derivada.</w:t>
            </w:r>
          </w:p>
        </w:tc>
      </w:tr>
      <w:tr w:rsidR="00E718A3">
        <w:trPr>
          <w:cantSplit/>
          <w:jc w:val="center"/>
        </w:trPr>
        <w:tc>
          <w:tcPr>
            <w:tcW w:w="2880"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8"/>
              </w:rPr>
              <w:t>2. Diseño y pilotaje de la estrategia didáctica</w:t>
            </w:r>
          </w:p>
        </w:tc>
        <w:tc>
          <w:tcPr>
            <w:tcW w:w="1008"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8"/>
              </w:rPr>
              <w:t>4–6</w:t>
            </w:r>
          </w:p>
        </w:tc>
        <w:tc>
          <w:tcPr>
            <w:tcW w:w="6480"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8"/>
              </w:rPr>
              <w:t xml:space="preserve">Diseño de actividades comunes, criterios de análisis APOE, mecanismos de retroalimentación </w:t>
            </w:r>
            <w:r>
              <w:rPr>
                <w:color w:val="000000"/>
                <w:sz w:val="18"/>
              </w:rPr>
              <w:t>individual y agregación grupal. Configuración del entorno digital, prompts, reglas y formatos de salida, seguida de un pilotaje técnico y pedagógico.</w:t>
            </w:r>
          </w:p>
        </w:tc>
      </w:tr>
      <w:tr w:rsidR="00E718A3">
        <w:trPr>
          <w:cantSplit/>
          <w:jc w:val="center"/>
        </w:trPr>
        <w:tc>
          <w:tcPr>
            <w:tcW w:w="2880"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8"/>
              </w:rPr>
              <w:t>3. Implementación y valoración de la estrategia</w:t>
            </w:r>
          </w:p>
        </w:tc>
        <w:tc>
          <w:tcPr>
            <w:tcW w:w="100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8"/>
              </w:rPr>
              <w:t>7–12</w:t>
            </w:r>
          </w:p>
        </w:tc>
        <w:tc>
          <w:tcPr>
            <w:tcW w:w="6480"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8"/>
              </w:rPr>
              <w:t xml:space="preserve">Implementación de al menos tres ciclos con los 28 </w:t>
            </w:r>
            <w:r>
              <w:rPr>
                <w:color w:val="000000"/>
                <w:sz w:val="18"/>
              </w:rPr>
              <w:t>estudiantes. Cada ciclo integrará actividad común, análisis individual, retroalimentación, agregación grupal y ajuste de la actividad siguiente. La valoración se centrará en el funcionamiento del seguimiento formativo.</w:t>
            </w:r>
          </w:p>
        </w:tc>
      </w:tr>
    </w:tbl>
    <w:p w:rsidR="00E718A3" w:rsidRDefault="00CE1D24">
      <w:pPr>
        <w:spacing w:before="40" w:after="100" w:line="276" w:lineRule="auto"/>
        <w:jc w:val="both"/>
      </w:pPr>
      <w:r>
        <w:rPr>
          <w:i/>
          <w:color w:val="5A5A5A"/>
          <w:sz w:val="19"/>
        </w:rPr>
        <w:t>Nota.</w:t>
      </w:r>
      <w:r>
        <w:rPr>
          <w:color w:val="5A5A5A"/>
          <w:sz w:val="19"/>
        </w:rPr>
        <w:t xml:space="preserve"> Elaboración propia. Las semana</w:t>
      </w:r>
      <w:r>
        <w:rPr>
          <w:color w:val="5A5A5A"/>
          <w:sz w:val="19"/>
        </w:rPr>
        <w:t>s corresponden a la planificación preliminar y podrán ajustarse de acuerdo con el desarrollo de los ciclos.</w:t>
      </w:r>
    </w:p>
    <w:p w:rsidR="00E718A3" w:rsidRDefault="00CE1D24">
      <w:pPr>
        <w:spacing w:after="100" w:line="276" w:lineRule="auto"/>
        <w:jc w:val="both"/>
      </w:pPr>
      <w:r>
        <w:t>La secuencia entre las fases no implica que el diseño quede completamente cerrado antes de la implementación. Durante la tercera fase, cada ciclo ge</w:t>
      </w:r>
      <w:r>
        <w:t>nerará información que podrá utilizarse para introducir ajustes en las actividades posteriores, manteniendo la lógica iterativa propia del estudio.</w:t>
      </w:r>
    </w:p>
    <w:p w:rsidR="00480FD7" w:rsidRDefault="00480FD7">
      <w:pPr>
        <w:spacing w:after="100" w:line="276" w:lineRule="auto"/>
        <w:jc w:val="both"/>
      </w:pPr>
    </w:p>
    <w:p w:rsidR="00727B11" w:rsidRDefault="00043F4A">
      <w:pPr>
        <w:pStyle w:val="Ttulo2"/>
        <w:keepNext/>
        <w:spacing w:line="276" w:lineRule="auto"/>
      </w:pPr>
      <w:r>
        <w:rPr>
          <w:color w:val="1F4E78"/>
        </w:rPr>
        <w:t>4.5 Estado actual de desarrollo y productos preliminares</w:t>
      </w:r>
    </w:p>
    <w:p w:rsidR="008066C5" w:rsidRDefault="008066C5" w:rsidP="008066C5">
      <w:pPr>
        <w:spacing w:after="100" w:line="276" w:lineRule="auto"/>
        <w:jc w:val="both"/>
      </w:pPr>
      <w:r>
        <w:t>Al momento de presentar esta propuesta, el proyecto cuenta con dos avances principales. El primero corresponde a una matriz analítica preliminar fundamentada en APOE para interpretar evidencias de comprensión de la derivada como razón de cambio. La matriz incluye dimensiones, indicadores observables, criterios de interpretación y reglas preliminares de clasificación, pero permanece pendiente de validación de contenido y de examen de aplicabilidad sobre respuestas estudiantiles.</w:t>
      </w:r>
    </w:p>
    <w:p w:rsidR="00727B11" w:rsidRDefault="008066C5" w:rsidP="008066C5">
      <w:pPr>
        <w:spacing w:after="100" w:line="276" w:lineRule="auto"/>
        <w:jc w:val="both"/>
      </w:pPr>
      <w:r>
        <w:t>El segundo avance corresponde a la arquitectura conceptual de la estrategia didáctica. Esta arquitectura define de manera preliminar la secuencia general de los ciclos de seguimiento formativo: actividad común, análisis individual de respuestas, retroalimentación individual, agregación de evidencias del grupo y ajuste didáctico de la actividad correspondiente al ciclo siguiente. La secuencia definitiva de tareas, los criterios de análisis aplicables a cada actividad, los prompts, los formatos de salida, las reglas de funcionamiento y el entorno digital serán desarrollados y pilotados durante la segunda fase del proyecto. La Tabla 2 resume el estado actual de estos productos y los ajustes pendientes antes de su implementación.</w:t>
      </w:r>
    </w:p>
    <w:p w:rsidR="00E718A3" w:rsidRDefault="00CE1D24">
      <w:pPr>
        <w:keepNext/>
        <w:spacing w:before="140" w:after="20" w:line="276" w:lineRule="auto"/>
        <w:jc w:val="both"/>
      </w:pPr>
      <w:r>
        <w:rPr>
          <w:b/>
          <w:color w:val="1F4E78"/>
          <w:sz w:val="21"/>
        </w:rPr>
        <w:t>Tabla 2</w:t>
      </w:r>
    </w:p>
    <w:p w:rsidR="00E718A3" w:rsidRDefault="00CE1D24">
      <w:pPr>
        <w:keepNext/>
        <w:spacing w:after="60" w:line="276" w:lineRule="auto"/>
        <w:jc w:val="both"/>
      </w:pPr>
      <w:r>
        <w:rPr>
          <w:i/>
        </w:rPr>
        <w:t>Estado actual de los productos preliminares</w:t>
      </w:r>
    </w:p>
    <w:tbl>
      <w:tblPr>
        <w:tblW w:w="0" w:type="auto"/>
        <w:jc w:val="center"/>
        <w:tblBorders>
          <w:top w:val="single" w:sz="14" w:space="0" w:color="1F4E78"/>
          <w:left w:val="nil"/>
          <w:bottom w:val="single" w:sz="14" w:space="0" w:color="1F4E78"/>
          <w:right w:val="nil"/>
          <w:insideH w:val="single" w:sz="4" w:space="0" w:color="CDD7E4"/>
          <w:insideV w:val="nil"/>
        </w:tblBorders>
        <w:tblLayout w:type="fixed"/>
        <w:tblLook w:val="04A0" w:firstRow="1" w:lastRow="0" w:firstColumn="1" w:lastColumn="0" w:noHBand="0" w:noVBand="1"/>
      </w:tblPr>
      <w:tblGrid>
        <w:gridCol w:w="3528"/>
        <w:gridCol w:w="6984"/>
      </w:tblGrid>
      <w:tr w:rsidR="00E718A3">
        <w:trPr>
          <w:cantSplit/>
          <w:tblHeader/>
          <w:jc w:val="center"/>
        </w:trPr>
        <w:tc>
          <w:tcPr>
            <w:tcW w:w="3528"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8"/>
              </w:rPr>
              <w:t>Producto preliminar</w:t>
            </w:r>
          </w:p>
        </w:tc>
        <w:tc>
          <w:tcPr>
            <w:tcW w:w="6984"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8"/>
              </w:rPr>
              <w:t>Estado actual y ajustes pendientes</w:t>
            </w:r>
          </w:p>
        </w:tc>
      </w:tr>
      <w:tr w:rsidR="00E718A3">
        <w:trPr>
          <w:cantSplit/>
          <w:jc w:val="center"/>
        </w:trPr>
        <w:tc>
          <w:tcPr>
            <w:tcW w:w="3528"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8"/>
              </w:rPr>
              <w:t>Matriz analítica APOE para la derivada como razón de cambio</w:t>
            </w:r>
          </w:p>
        </w:tc>
        <w:tc>
          <w:tcPr>
            <w:tcW w:w="6984"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8"/>
              </w:rPr>
              <w:t>Versión preliminar con dimensiones, indicadores, criterios de interpretación y reglas de clasificación. Está pendiente la validación de contenido mediante juicio de expertos, el análisis de las va</w:t>
            </w:r>
            <w:r>
              <w:rPr>
                <w:color w:val="000000"/>
                <w:sz w:val="18"/>
              </w:rPr>
              <w:t>loraciones y el examen de aplicabilidad sobre un corpus piloto de respuestas.</w:t>
            </w:r>
          </w:p>
        </w:tc>
      </w:tr>
      <w:tr w:rsidR="00E718A3">
        <w:trPr>
          <w:cantSplit/>
          <w:jc w:val="center"/>
        </w:trPr>
        <w:tc>
          <w:tcPr>
            <w:tcW w:w="3528"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8"/>
              </w:rPr>
              <w:lastRenderedPageBreak/>
              <w:t>Arquitectura conceptual de la estrategia didáctica adaptativa</w:t>
            </w:r>
          </w:p>
        </w:tc>
        <w:tc>
          <w:tcPr>
            <w:tcW w:w="6984"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8"/>
              </w:rPr>
              <w:t xml:space="preserve">Estructura preliminar de los ciclos de seguimiento formativo basada en actividades comunes, análisis individual, </w:t>
            </w:r>
            <w:r>
              <w:rPr>
                <w:color w:val="000000"/>
                <w:sz w:val="18"/>
              </w:rPr>
              <w:t>retroalimentación individual, agregación grupal y ajuste didáctico entre ciclos. Está pendiente el diseño de las actividades definitivas, la configuración del componente generativo, la implementación del entorno digital y el pilotaje técnico y pedagógico.</w:t>
            </w:r>
          </w:p>
        </w:tc>
      </w:tr>
    </w:tbl>
    <w:p w:rsidR="00E718A3" w:rsidRDefault="00CE1D24">
      <w:pPr>
        <w:spacing w:before="40" w:after="100" w:line="276" w:lineRule="auto"/>
        <w:jc w:val="both"/>
      </w:pPr>
      <w:r>
        <w:rPr>
          <w:i/>
          <w:color w:val="5A5A5A"/>
          <w:sz w:val="19"/>
        </w:rPr>
        <w:t>Nota.</w:t>
      </w:r>
      <w:r>
        <w:rPr>
          <w:color w:val="5A5A5A"/>
          <w:sz w:val="19"/>
        </w:rPr>
        <w:t xml:space="preserve"> Elaboración propia. El estado descrito corresponde al momento de presentación de esta propuesta.</w:t>
      </w:r>
    </w:p>
    <w:p w:rsidR="008066C5" w:rsidRDefault="008066C5">
      <w:pPr>
        <w:spacing w:after="100" w:line="276" w:lineRule="auto"/>
        <w:jc w:val="both"/>
      </w:pPr>
    </w:p>
    <w:p w:rsidR="00727B11" w:rsidRDefault="008066C5">
      <w:pPr>
        <w:spacing w:after="100" w:line="276" w:lineRule="auto"/>
        <w:jc w:val="both"/>
      </w:pPr>
      <w:r>
        <w:t>En el informe final se diferenciarán tres tipos de productos: la matriz APOE consolidada con evidencias de validez de contenido y aplicabilidad; la estrategia didáctica implementada en un entorno digital; y las evidencias obtenidas durante los ciclos de seguimiento formativo para valorar su funcionamiento.</w:t>
      </w:r>
    </w:p>
    <w:p w:rsidR="00480FD7" w:rsidRDefault="008712A0" w:rsidP="00EF7733">
      <w:pPr>
        <w:pStyle w:val="Ttulo2"/>
        <w:keepNext/>
        <w:spacing w:line="276" w:lineRule="auto"/>
        <w:rPr>
          <w:b w:val="0"/>
          <w:bCs w:val="0"/>
          <w:color w:val="auto"/>
        </w:rPr>
      </w:pPr>
      <w:r>
        <w:rPr>
          <w:color w:val="1F4E78"/>
        </w:rPr>
        <w:t>4.6 Instrumentos y fuentes de datos</w:t>
      </w:r>
    </w:p>
    <w:p w:rsidR="008066C5" w:rsidRDefault="008066C5" w:rsidP="008066C5">
      <w:pPr>
        <w:spacing w:after="100" w:line="276" w:lineRule="auto"/>
        <w:jc w:val="both"/>
      </w:pPr>
      <w:r>
        <w:t>Los instrumentos y fuentes de información se organizarán de acuerdo con las fases y objetivos del estudio.</w:t>
      </w:r>
    </w:p>
    <w:p w:rsidR="008066C5" w:rsidRDefault="008066C5" w:rsidP="004A11A4">
      <w:pPr>
        <w:pStyle w:val="Prrafodelista"/>
        <w:numPr>
          <w:ilvl w:val="0"/>
          <w:numId w:val="2"/>
        </w:numPr>
        <w:spacing w:after="100" w:line="276" w:lineRule="auto"/>
        <w:jc w:val="both"/>
      </w:pPr>
      <w:r w:rsidRPr="008066C5">
        <w:rPr>
          <w:i/>
        </w:rPr>
        <w:t>Matriz analítica fundamentada en APOE.</w:t>
      </w:r>
      <w:r>
        <w:t xml:space="preserve"> Se utilizará para interpretar las evidencias de comprensión presentes en las respuestas estudiantiles sobre la derivada como razón de cambio. La matriz incluirá dimensiones, indicadores observables y criterios de interpretación asociados con las construcciones de Acción, Proceso, Objeto y Esquema. Antes de su utilización en los ciclos será sometida a validación de contenido y a un examen de aplicabilidad.</w:t>
      </w:r>
    </w:p>
    <w:p w:rsidR="008066C5" w:rsidRDefault="008066C5" w:rsidP="00D87DFF">
      <w:pPr>
        <w:pStyle w:val="Prrafodelista"/>
        <w:numPr>
          <w:ilvl w:val="0"/>
          <w:numId w:val="2"/>
        </w:numPr>
        <w:spacing w:after="100" w:line="276" w:lineRule="auto"/>
        <w:jc w:val="both"/>
      </w:pPr>
      <w:r w:rsidRPr="008066C5">
        <w:rPr>
          <w:i/>
        </w:rPr>
        <w:t xml:space="preserve">Ficha de valoración por expertos. </w:t>
      </w:r>
      <w:r>
        <w:t>Permitirá recoger las valoraciones sobre pertinencia, claridad y suficiencia de los componentes de la matriz, así como las observaciones cualitativas formuladas por los expertos durante el proceso de validación.</w:t>
      </w:r>
    </w:p>
    <w:p w:rsidR="008066C5" w:rsidRDefault="008066C5" w:rsidP="002107F6">
      <w:pPr>
        <w:pStyle w:val="Prrafodelista"/>
        <w:numPr>
          <w:ilvl w:val="0"/>
          <w:numId w:val="2"/>
        </w:numPr>
        <w:spacing w:after="100" w:line="276" w:lineRule="auto"/>
        <w:jc w:val="both"/>
      </w:pPr>
      <w:r w:rsidRPr="008066C5">
        <w:rPr>
          <w:i/>
        </w:rPr>
        <w:t xml:space="preserve">Actividades comunes de seguimiento formativo. </w:t>
      </w:r>
      <w:r>
        <w:t>En cada ciclo se aplicará una actividad común a todos los participantes, diseñada para producir respuestas, procedimientos y explicaciones susceptibles de ser interpretados mediante los indicadores de la matriz APOE. Las actividades podrán combinar situaciones verbales, gráficas, simbólicas y contextualizadas relacionadas con la derivada como razón de cambio.</w:t>
      </w:r>
    </w:p>
    <w:p w:rsidR="008066C5" w:rsidRDefault="008066C5" w:rsidP="00763E7D">
      <w:pPr>
        <w:pStyle w:val="Prrafodelista"/>
        <w:numPr>
          <w:ilvl w:val="0"/>
          <w:numId w:val="2"/>
        </w:numPr>
        <w:spacing w:after="100" w:line="276" w:lineRule="auto"/>
        <w:jc w:val="both"/>
      </w:pPr>
      <w:r>
        <w:t>Respuestas y producciones estudiantiles. Constituirán la principal fuente de información durante la implementación. Se conservarán las respuestas originales de cada estudiante, los procedimientos desarrollados y las explicaciones escritas asociadas con las tareas de cada ciclo, vinculadas mediante los códigos alfanuméricos asignados a los participantes.</w:t>
      </w:r>
    </w:p>
    <w:p w:rsidR="008066C5" w:rsidRDefault="008066C5" w:rsidP="005A182A">
      <w:pPr>
        <w:pStyle w:val="Prrafodelista"/>
        <w:numPr>
          <w:ilvl w:val="0"/>
          <w:numId w:val="2"/>
        </w:numPr>
        <w:spacing w:after="100" w:line="276" w:lineRule="auto"/>
        <w:jc w:val="both"/>
      </w:pPr>
      <w:r w:rsidRPr="007018F5">
        <w:rPr>
          <w:i/>
        </w:rPr>
        <w:t xml:space="preserve">Registros del entorno digital y del componente de inteligencia artificial generativa. </w:t>
      </w:r>
      <w:r>
        <w:t xml:space="preserve">Se conservarán los indicadores identificados en cada respuesta, las retroalimentaciones generadas, los </w:t>
      </w:r>
      <w:proofErr w:type="spellStart"/>
      <w:r>
        <w:t>prompts</w:t>
      </w:r>
      <w:proofErr w:type="spellEnd"/>
      <w:r>
        <w:t xml:space="preserve"> y versiones utilizadas, así como los resultados agregados empleados para reconocer patrones de comprensión y dificultad en el grupo. Estos registros permitirán reconstruir la trazabilidad del proceso y analizar posteriormente el funcionamiento de la estrategia.</w:t>
      </w:r>
    </w:p>
    <w:p w:rsidR="008066C5" w:rsidRDefault="008066C5" w:rsidP="00372346">
      <w:pPr>
        <w:pStyle w:val="Prrafodelista"/>
        <w:numPr>
          <w:ilvl w:val="0"/>
          <w:numId w:val="2"/>
        </w:numPr>
        <w:spacing w:after="100" w:line="276" w:lineRule="auto"/>
        <w:jc w:val="both"/>
      </w:pPr>
      <w:r w:rsidRPr="007018F5">
        <w:rPr>
          <w:i/>
        </w:rPr>
        <w:lastRenderedPageBreak/>
        <w:t>Diagnóstico de prerrequisitos INS-PRERR-A</w:t>
      </w:r>
      <w:r>
        <w:t>. La información obtenida previamente mediante este instrumento se empleará exclusivamente como fuente contextual sobre conocimientos relacionados con función, pendiente, razón de cambio promedio, unidades, álgebra y lectura gráfica. Sus resultados no se utilizarán como pretest de aprendizaje ni para asignar categorías APOE.</w:t>
      </w:r>
    </w:p>
    <w:p w:rsidR="00E718A3" w:rsidRDefault="00CE1D24">
      <w:pPr>
        <w:pStyle w:val="Prrafodelista"/>
        <w:numPr>
          <w:ilvl w:val="0"/>
          <w:numId w:val="2"/>
        </w:numPr>
      </w:pPr>
      <w:r>
        <w:t xml:space="preserve">Ficha de caracterización INS-CARACT v2. La información obtenida previamente mediante esta ficha se utilizará, cuando el Comité y el consentimiento lo permitan, como fuente contextual sobre antecedentes académicos, percepción de </w:t>
      </w:r>
      <w:r>
        <w:t>habilidades iniciales y condiciones de estudio y acceso digital. No se sumará como escala total ni se utilizará para asignar categorías APOE.</w:t>
      </w:r>
    </w:p>
    <w:p w:rsidR="00E718A3" w:rsidRDefault="00CE1D24">
      <w:pPr>
        <w:pStyle w:val="Prrafodelista"/>
        <w:numPr>
          <w:ilvl w:val="0"/>
          <w:numId w:val="2"/>
        </w:numPr>
      </w:pPr>
      <w:r>
        <w:t xml:space="preserve">Registro reflexivo RREA-01. Este registro, aplicado previamente en el contexto pedagógico del curso, podrá </w:t>
      </w:r>
      <w:r>
        <w:t xml:space="preserve">utilizarse como fuente complementaria para describir la experiencia de aprendizaje y contextualizar decisiones de diseño únicamente si el Comité considera procedente su uso investigativo y existe autorización específica del participante. No constituye una </w:t>
      </w:r>
      <w:r>
        <w:t>medida de resultado ni un objetivo independiente del estudio.</w:t>
      </w:r>
    </w:p>
    <w:p w:rsidR="00EF7733" w:rsidRDefault="008066C5" w:rsidP="007018F5">
      <w:pPr>
        <w:pStyle w:val="Prrafodelista"/>
        <w:numPr>
          <w:ilvl w:val="0"/>
          <w:numId w:val="2"/>
        </w:numPr>
        <w:spacing w:after="100" w:line="276" w:lineRule="auto"/>
        <w:jc w:val="both"/>
      </w:pPr>
      <w:r w:rsidRPr="007018F5">
        <w:rPr>
          <w:i/>
        </w:rPr>
        <w:t>Bitácora de implementación.</w:t>
      </w:r>
      <w:r>
        <w:t xml:space="preserve"> Se utilizará para documentar las decisiones de diseño, incidencias relevantes y ajustes realizados entre los ciclos a partir del análisis de las evidencias obtenidas. Su función será apoyar la reconstrucción del proceso de implementación y no analizar la práctica docente como objeto independiente de investigación.</w:t>
      </w:r>
    </w:p>
    <w:p w:rsidR="00480FD7" w:rsidRDefault="008712A0">
      <w:pPr>
        <w:pStyle w:val="Ttulo2"/>
        <w:keepNext/>
        <w:spacing w:line="276" w:lineRule="auto"/>
      </w:pPr>
      <w:r>
        <w:rPr>
          <w:color w:val="1F4E78"/>
        </w:rPr>
        <w:t>4.7 Análisis de datos</w:t>
      </w:r>
    </w:p>
    <w:p w:rsidR="007018F5" w:rsidRDefault="007018F5" w:rsidP="007018F5">
      <w:pPr>
        <w:spacing w:after="100" w:line="276" w:lineRule="auto"/>
        <w:jc w:val="both"/>
      </w:pPr>
      <w:r>
        <w:t>El análisis se realizará en correspondencia con los objetivos y las fases del estudio. La unidad principal de análisis durante la implementación será la respuesta o producción del estudiante frente a una tarea concreta. Las categorías APOE se utilizarán para interpretar las evidencias presentes en dichas producciones y no para asignar una condición permanente al estudiante.</w:t>
      </w:r>
    </w:p>
    <w:p w:rsidR="007018F5" w:rsidRDefault="007018F5" w:rsidP="007018F5">
      <w:pPr>
        <w:spacing w:after="100" w:line="276" w:lineRule="auto"/>
        <w:jc w:val="both"/>
      </w:pPr>
      <w:r>
        <w:t>Para el primer objetivo, las valoraciones de los expertos sobre la pertinencia, claridad y suficiencia de los componentes de la matriz se analizarán mediante el coeficiente V de Aiken. Las observaciones cualitativas serán sistematizadas para identificar ajustes necesarios en la redacción, delimitación y correspondencia de los indicadores. Posteriormente, la matriz se aplicará a un corpus piloto de respuestas estudiantiles con el propósito de examinar la aplicabilidad de sus criterios, reconocer posibles ambigüedades y construir ejemplos de referencia para su utilización posterior.</w:t>
      </w:r>
    </w:p>
    <w:p w:rsidR="007018F5" w:rsidRDefault="007018F5" w:rsidP="007018F5">
      <w:pPr>
        <w:spacing w:after="100" w:line="276" w:lineRule="auto"/>
        <w:jc w:val="both"/>
      </w:pPr>
      <w:r>
        <w:t>Durante los ciclos de implementación, cada respuesta será examinada a partir de los indicadores de la matriz que resulten observables según la demanda de la tarea. El análisis registrará las evidencias que sustentan la interpretación, los componentes conceptuales presentes o ausentes y, cuando corresponda, la construcción APOE sugerida. La lectura no se realizará mediante una suma mecánica de indicadores, sino considerando la coherencia de la respuesta y las posibilidades de evidencia que ofrece cada actividad.</w:t>
      </w:r>
    </w:p>
    <w:p w:rsidR="007018F5" w:rsidRDefault="007018F5" w:rsidP="007018F5">
      <w:pPr>
        <w:spacing w:after="100" w:line="276" w:lineRule="auto"/>
        <w:jc w:val="both"/>
      </w:pPr>
      <w:r>
        <w:t xml:space="preserve">En un segundo nivel, los resultados individuales se agregarán para identificar patrones de comprensión y dificultades predominantes en el grupo. Como apoyo descriptivo se utilizarán frecuencias y porcentajes de los indicadores y dificultades observadas, </w:t>
      </w:r>
      <w:r>
        <w:lastRenderedPageBreak/>
        <w:t>complementados con el análisis cualitativo de respuestas representativas. Esta síntesis permitirá determinar qué aspectos conceptuales requieren ser retomados, modificados o profundizados en la actividad común del ciclo siguiente.</w:t>
      </w:r>
    </w:p>
    <w:p w:rsidR="007018F5" w:rsidRPr="00EF7733" w:rsidRDefault="007018F5" w:rsidP="007018F5">
      <w:pPr>
        <w:spacing w:after="100" w:line="276" w:lineRule="auto"/>
        <w:jc w:val="both"/>
      </w:pPr>
      <w:r>
        <w:t>Finalmente, el análisis entre ciclos examinará las evidencias producidas, las retroalimentaciones generadas, los patrones grupales identificados y los ajustes didácticos realizados. La valoración se centrará en determinar en qué medida la estrategia permite hacer visibles, organizar e interpretar evidencias útiles para el seguimiento formativo y utilizar dichas evidencias para orientar decisiones posteriores. Las diferencias observadas entre ciclos se describirán como cambios en los patrones y producciones registradas, sin atribuirles un efecto causal de la estrategia sobre el aprendizaje.</w:t>
      </w:r>
    </w:p>
    <w:p w:rsidR="00480FD7" w:rsidRDefault="008712A0" w:rsidP="00EF7733">
      <w:pPr>
        <w:pStyle w:val="Ttulo2"/>
        <w:keepNext/>
        <w:spacing w:line="276" w:lineRule="auto"/>
      </w:pPr>
      <w:r>
        <w:rPr>
          <w:color w:val="1F4E78"/>
        </w:rPr>
        <w:t>4.8 Consideraciones éticas</w:t>
      </w:r>
    </w:p>
    <w:p w:rsidR="007018F5" w:rsidRDefault="007018F5" w:rsidP="001A00FB">
      <w:pPr>
        <w:spacing w:after="100" w:line="276" w:lineRule="auto"/>
        <w:jc w:val="both"/>
      </w:pPr>
      <w:r>
        <w:t>La participación de los estudiantes será voluntaria y estará condicionada a la aceptación del consentimiento informado. En este documento se explicarán los objetivos del estudio, el tipo de información que será recolectada, el uso académico de las evidencias y el carácter voluntario de la participación. Los estudiantes podrán decidir que sus producciones no sean utilizadas con fines investigativos sin que esta decisión afecte su situación académica.</w:t>
      </w:r>
    </w:p>
    <w:p w:rsidR="00E718A3" w:rsidRDefault="00CE1D24" w:rsidP="001A00FB">
      <w:pPr>
        <w:jc w:val="both"/>
      </w:pPr>
      <w:r>
        <w:t>Cuando un participante sea menor de 18 años, se solicitará el consentimiento informado de su padre, madre o representante legal y, adicionalmente, el asentimiento del propio estudiante. La autorizació</w:t>
      </w:r>
      <w:r>
        <w:t>n del representante no sustituirá la decisión del menor de participar o no participar.</w:t>
      </w:r>
    </w:p>
    <w:p w:rsidR="001A00FB" w:rsidRDefault="001A00FB" w:rsidP="001A00FB">
      <w:pPr>
        <w:jc w:val="both"/>
      </w:pPr>
    </w:p>
    <w:p w:rsidR="007018F5" w:rsidRDefault="007018F5" w:rsidP="001A00FB">
      <w:pPr>
        <w:spacing w:after="100" w:line="276" w:lineRule="auto"/>
        <w:jc w:val="both"/>
      </w:pPr>
      <w:r w:rsidRPr="007018F5">
        <w:t>Para proteger la identidad de los participantes, a cada estudiante se le asignará un código alfanumérico que será utilizado durante la recolección, organización, análisis y presentación de la información. Las bases destinadas a la investigación no incorporarán nombres, documentos de identidad ni otros datos personales que no sean necesarios para los objetivos del estudio. El tratamiento de la información se realizará de acuerdo con las disposiciones establecidas en la Ley 1581 de 2012 para la protección de datos personales.</w:t>
      </w:r>
    </w:p>
    <w:p w:rsidR="007018F5" w:rsidRDefault="007018F5" w:rsidP="001A00FB">
      <w:pPr>
        <w:spacing w:after="100" w:line="276" w:lineRule="auto"/>
        <w:jc w:val="both"/>
      </w:pPr>
      <w:r>
        <w:t>Las actividades podrán desarrollarse en el contexto regular de la asignatura, pero la utilización de las producciones estudiantiles con fines de investigación dependerá del consentimiento de cada participante. Asimismo, las evidencias obtenidas mediante la estrategia no serán utilizadas para tomar decisiones automatizadas sobre las calificaciones ni para asignar categorías APOE como características permanentes de los estudiantes.</w:t>
      </w:r>
    </w:p>
    <w:p w:rsidR="00E718A3" w:rsidRDefault="00CE1D24" w:rsidP="001A00FB">
      <w:pPr>
        <w:jc w:val="both"/>
      </w:pPr>
      <w:r>
        <w:t>Dado que el investigador es también docente del curso, se aplicarán salvaguardas específicas para reducir influencia indebida: la decisión de participar se mantendrá separada de los criterios de calificación, no se otorgarán ni r</w:t>
      </w:r>
      <w:r>
        <w:t>etirarán puntos por consentir o rechazar el uso investigativo de las producciones, y los documentos de consentimiento se custodiarán separados de los archivos ordinarios de evaluación académica.</w:t>
      </w:r>
    </w:p>
    <w:p w:rsidR="007018F5" w:rsidRDefault="007018F5" w:rsidP="001A00FB">
      <w:pPr>
        <w:spacing w:after="100" w:line="276" w:lineRule="auto"/>
        <w:jc w:val="both"/>
      </w:pPr>
      <w:r>
        <w:t xml:space="preserve">Dado que la estrategia incorporará inteligencia artificial generativa, su utilización se realizará bajo criterios de minimización de datos, trazabilidad y delimitación de sus funciones. No se enviará al modelo información que permita identificar personalmente a los estudiantes. Los </w:t>
      </w:r>
      <w:proofErr w:type="spellStart"/>
      <w:r>
        <w:t>prompts</w:t>
      </w:r>
      <w:proofErr w:type="spellEnd"/>
      <w:r>
        <w:t xml:space="preserve">, indicadores de análisis, criterios matemáticos y formatos </w:t>
      </w:r>
      <w:r>
        <w:lastRenderedPageBreak/>
        <w:t>de salida serán definidos y probados antes de la implementación. Estas precauciones son consistentes con las recomendaciones de mantener control humano, protección de la privacidad y propósitos pedagógicos claramente delimitados en el uso educativo de inteligencia artificial generativa (UNESCO, 2023).</w:t>
      </w:r>
    </w:p>
    <w:p w:rsidR="007018F5" w:rsidRDefault="007018F5" w:rsidP="001A00FB">
      <w:pPr>
        <w:spacing w:after="100" w:line="276" w:lineRule="auto"/>
        <w:jc w:val="both"/>
      </w:pPr>
      <w:r>
        <w:t>La matriz APOE será sometida a validación de contenido y examen de aplicabilidad antes de su utilización en los ciclos de seguimiento formativo. De igual manera, las actividades y los componentes tecnológicos serán pilotados previamente con el propósito de identificar problemas de claridad, funcionamiento o consistencia antes de la implementación con el grupo participante.</w:t>
      </w:r>
    </w:p>
    <w:p w:rsidR="00E718A3" w:rsidRDefault="00CE1D24" w:rsidP="001A00FB">
      <w:pPr>
        <w:jc w:val="both"/>
      </w:pPr>
      <w:r>
        <w:t>Antes del aval bioético se generaron en el desarrollo pe</w:t>
      </w:r>
      <w:r>
        <w:t>dagógico ordinario del curso algunos registros, específicamente INS-CARACT v2, INS-PRERR-A y RREA-01. Estos materiales no se considerarán datos de investigación recolectados bajo aprobación ética. Su eventual incorp</w:t>
      </w:r>
      <w:bookmarkStart w:id="0" w:name="_GoBack"/>
      <w:bookmarkEnd w:id="0"/>
      <w:r>
        <w:t>oración al análisis investigativo quedará</w:t>
      </w:r>
      <w:r>
        <w:t xml:space="preserve"> condicionada al concepto del Comité y a una autorización específica y posterior del participante; en caso de no autorizarse, permanecerán fuera del corpus de investigación. No se retrotraerán fechas ni se presentará la recolección previa como realizada ba</w:t>
      </w:r>
      <w:r>
        <w:t>jo aval.</w:t>
      </w:r>
    </w:p>
    <w:p w:rsidR="007018F5" w:rsidRPr="00EF7733" w:rsidRDefault="007018F5" w:rsidP="001A00FB">
      <w:pPr>
        <w:spacing w:after="100" w:line="276" w:lineRule="auto"/>
        <w:jc w:val="both"/>
      </w:pPr>
      <w:r>
        <w:t>La investigación se desarrollará una vez se cuente con la aprobación institucional correspondiente y de acuerdo con los procedimientos éticos establecidos para el estudio.</w:t>
      </w:r>
    </w:p>
    <w:p w:rsidR="00727B11" w:rsidRDefault="00043F4A">
      <w:pPr>
        <w:pStyle w:val="Ttulo1"/>
        <w:keepNext/>
        <w:pageBreakBefore/>
        <w:spacing w:after="140" w:line="276" w:lineRule="auto"/>
      </w:pPr>
      <w:r>
        <w:rPr>
          <w:color w:val="1F4E78"/>
        </w:rPr>
        <w:lastRenderedPageBreak/>
        <w:t>5. AVANCES PRELIMINARES PARA EL DISEÑO</w:t>
      </w:r>
    </w:p>
    <w:p w:rsidR="007018F5" w:rsidRPr="007018F5" w:rsidRDefault="007018F5" w:rsidP="007018F5">
      <w:pPr>
        <w:keepNext/>
        <w:spacing w:before="200" w:after="100" w:line="276" w:lineRule="auto"/>
        <w:jc w:val="both"/>
      </w:pPr>
      <w:r w:rsidRPr="007018F5">
        <w:rPr>
          <w:color w:val="000000"/>
        </w:rPr>
        <w:t>Antes de la implementación, el proyecto cuenta con dos avances que sirven como punto de partida para las fases posteriores. El primero corresponde a una matriz analítica preliminar fundamentada en APOE para interpretar evidencias de comprensión de la derivada como razón de cambio. El segundo corresponde a una arquitectura preliminar de la estrategia didáctica, organizada mediante ciclos de seguimiento formativo que articulan actividades comunes, análisis individual de respuestas, retroalimentación individual, análisis agregado de las evidencias del grupo y ajuste didáctico entre ciclos.</w:t>
      </w:r>
    </w:p>
    <w:p w:rsidR="007018F5" w:rsidRDefault="007018F5" w:rsidP="007018F5">
      <w:pPr>
        <w:keepNext/>
        <w:spacing w:before="200" w:after="100" w:line="276" w:lineRule="auto"/>
        <w:jc w:val="both"/>
      </w:pPr>
      <w:r w:rsidRPr="007018F5">
        <w:rPr>
          <w:color w:val="000000"/>
        </w:rPr>
        <w:t xml:space="preserve">Estos avances no constituyen todavía productos definitivos. La matriz se encuentra pendiente de validación de contenido y examen de aplicabilidad, mientras que la estrategia deberá concretarse mediante el diseño de las actividades, la configuración del entorno digital, la definición de los </w:t>
      </w:r>
      <w:proofErr w:type="spellStart"/>
      <w:r w:rsidRPr="007018F5">
        <w:rPr>
          <w:color w:val="000000"/>
        </w:rPr>
        <w:t>prompts</w:t>
      </w:r>
      <w:proofErr w:type="spellEnd"/>
      <w:r w:rsidRPr="007018F5">
        <w:rPr>
          <w:color w:val="000000"/>
        </w:rPr>
        <w:t xml:space="preserve"> y formatos de salida del componente generativo y el pilotaje técnico y pedagógico previo a la implementación.</w:t>
      </w:r>
    </w:p>
    <w:p w:rsidR="00727B11" w:rsidRDefault="00043F4A" w:rsidP="007018F5">
      <w:pPr>
        <w:pStyle w:val="Ttulo2"/>
        <w:keepNext/>
        <w:spacing w:line="276" w:lineRule="auto"/>
      </w:pPr>
      <w:r>
        <w:rPr>
          <w:color w:val="1F4E78"/>
        </w:rPr>
        <w:t>5.1 Matriz APOE preliminar para la interpretación de respuestas</w:t>
      </w:r>
    </w:p>
    <w:p w:rsidR="00727B11" w:rsidRDefault="00043F4A">
      <w:pPr>
        <w:spacing w:after="100" w:line="276" w:lineRule="auto"/>
        <w:jc w:val="both"/>
      </w:pPr>
      <w:r>
        <w:t>La matriz analítica preliminar tiene como propósito interpretar evidencias de comprensión de la derivada como razón de cambio a partir de producciones generadas frente a tareas específicas. El constructo se organiza en dimensiones variacionales, cuantitativo-interpretativas, representacionales y contextuales, e incluye una capa separada de prerrequisitos que no se interpreta como nivel APOE. La Tabla 3 presenta una síntesis del núcleo clasificable.</w:t>
      </w:r>
    </w:p>
    <w:p w:rsidR="00E718A3" w:rsidRDefault="00CE1D24">
      <w:pPr>
        <w:keepNext/>
        <w:spacing w:before="140" w:after="20" w:line="276" w:lineRule="auto"/>
        <w:jc w:val="both"/>
      </w:pPr>
      <w:r>
        <w:rPr>
          <w:b/>
          <w:color w:val="1F4E78"/>
          <w:sz w:val="21"/>
        </w:rPr>
        <w:t>Tabla 3</w:t>
      </w:r>
    </w:p>
    <w:p w:rsidR="00E718A3" w:rsidRDefault="00CE1D24">
      <w:pPr>
        <w:keepNext/>
        <w:spacing w:after="60" w:line="276" w:lineRule="auto"/>
        <w:jc w:val="both"/>
      </w:pPr>
      <w:r>
        <w:rPr>
          <w:i/>
        </w:rPr>
        <w:t>Síntesis del núcleo clasificable de la matriz APOE preliminar</w:t>
      </w:r>
    </w:p>
    <w:tbl>
      <w:tblPr>
        <w:tblW w:w="0" w:type="auto"/>
        <w:jc w:val="center"/>
        <w:tblBorders>
          <w:top w:val="single" w:sz="14" w:space="0" w:color="1F4E78"/>
          <w:left w:val="nil"/>
          <w:bottom w:val="single" w:sz="14" w:space="0" w:color="1F4E78"/>
          <w:right w:val="nil"/>
          <w:insideH w:val="single" w:sz="4" w:space="0" w:color="CDD7E4"/>
          <w:insideV w:val="nil"/>
        </w:tblBorders>
        <w:tblLayout w:type="fixed"/>
        <w:tblLook w:val="04A0" w:firstRow="1" w:lastRow="0" w:firstColumn="1" w:lastColumn="0" w:noHBand="0" w:noVBand="1"/>
      </w:tblPr>
      <w:tblGrid>
        <w:gridCol w:w="1656"/>
        <w:gridCol w:w="2952"/>
        <w:gridCol w:w="3528"/>
        <w:gridCol w:w="2808"/>
      </w:tblGrid>
      <w:tr w:rsidR="00E718A3">
        <w:trPr>
          <w:cantSplit/>
          <w:tblHeader/>
          <w:jc w:val="center"/>
        </w:trPr>
        <w:tc>
          <w:tcPr>
            <w:tcW w:w="1656"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7"/>
              </w:rPr>
              <w:t>Nivel</w:t>
            </w:r>
          </w:p>
        </w:tc>
        <w:tc>
          <w:tcPr>
            <w:tcW w:w="2952"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7"/>
              </w:rPr>
              <w:t>Construcción esperad</w:t>
            </w:r>
            <w:r>
              <w:rPr>
                <w:b/>
                <w:color w:val="FFFFFF"/>
                <w:sz w:val="17"/>
              </w:rPr>
              <w:t>a</w:t>
            </w:r>
          </w:p>
        </w:tc>
        <w:tc>
          <w:tcPr>
            <w:tcW w:w="3528"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7"/>
              </w:rPr>
              <w:t>Evidencias principales</w:t>
            </w:r>
          </w:p>
        </w:tc>
        <w:tc>
          <w:tcPr>
            <w:tcW w:w="2808"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7"/>
              </w:rPr>
              <w:t>Regla de lectura</w:t>
            </w:r>
          </w:p>
        </w:tc>
      </w:tr>
      <w:tr w:rsidR="00E718A3">
        <w:trPr>
          <w:cantSplit/>
          <w:jc w:val="center"/>
        </w:trPr>
        <w:tc>
          <w:tcPr>
            <w:tcW w:w="1656"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Acción</w:t>
            </w:r>
          </w:p>
        </w:tc>
        <w:tc>
          <w:tcPr>
            <w:tcW w:w="2952"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Calcula o identifica el valor de la derivada sin conectarlo con la variación.</w:t>
            </w:r>
          </w:p>
        </w:tc>
        <w:tc>
          <w:tcPr>
            <w:tcW w:w="352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Procedimiento o valor; ausencia de cantidad que cambia, unidades, contexto y punto.</w:t>
            </w:r>
          </w:p>
        </w:tc>
        <w:tc>
          <w:tcPr>
            <w:tcW w:w="280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 xml:space="preserve">Se utiliza cuando la respuesta permanece en </w:t>
            </w:r>
            <w:r>
              <w:rPr>
                <w:color w:val="000000"/>
                <w:sz w:val="17"/>
              </w:rPr>
              <w:t>la ejecución o en el dato sin interpretación.</w:t>
            </w:r>
          </w:p>
        </w:tc>
      </w:tr>
      <w:tr w:rsidR="00E718A3">
        <w:trPr>
          <w:cantSplit/>
          <w:jc w:val="center"/>
        </w:trPr>
        <w:tc>
          <w:tcPr>
            <w:tcW w:w="1656"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Proceso</w:t>
            </w:r>
          </w:p>
        </w:tc>
        <w:tc>
          <w:tcPr>
            <w:tcW w:w="2952"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Reconoce variación local y puede describir aumento o disminución.</w:t>
            </w:r>
          </w:p>
        </w:tc>
        <w:tc>
          <w:tcPr>
            <w:tcW w:w="3528"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Lenguaje de cambio y dirección; cuantificación o distinción entre promedio e instantánea todavía inestable.</w:t>
            </w:r>
          </w:p>
        </w:tc>
        <w:tc>
          <w:tcPr>
            <w:tcW w:w="2808"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Se utiliza cuando existe in</w:t>
            </w:r>
            <w:r>
              <w:rPr>
                <w:color w:val="000000"/>
                <w:sz w:val="17"/>
              </w:rPr>
              <w:t>terpretación cualitativa, pero no una integración estable de los componentes.</w:t>
            </w:r>
          </w:p>
        </w:tc>
      </w:tr>
      <w:tr w:rsidR="00E718A3">
        <w:trPr>
          <w:cantSplit/>
          <w:jc w:val="center"/>
        </w:trPr>
        <w:tc>
          <w:tcPr>
            <w:tcW w:w="1656"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Objeto</w:t>
            </w:r>
          </w:p>
        </w:tc>
        <w:tc>
          <w:tcPr>
            <w:tcW w:w="2952"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Interpreta la derivada como una razón instantánea situada.</w:t>
            </w:r>
          </w:p>
        </w:tc>
        <w:tc>
          <w:tcPr>
            <w:tcW w:w="352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Signo, magnitud, unidades, punto y contexto; coordinación gráfica, simbólica o verbal cuando la tarea lo exige.</w:t>
            </w:r>
          </w:p>
        </w:tc>
        <w:tc>
          <w:tcPr>
            <w:tcW w:w="280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Se utiliza cuando el valor queda articulado como una entidad interpretable y coherente.</w:t>
            </w:r>
          </w:p>
        </w:tc>
      </w:tr>
      <w:tr w:rsidR="00E718A3">
        <w:trPr>
          <w:cantSplit/>
          <w:jc w:val="center"/>
        </w:trPr>
        <w:tc>
          <w:tcPr>
            <w:tcW w:w="1656"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Esquema</w:t>
            </w:r>
          </w:p>
        </w:tc>
        <w:tc>
          <w:tcPr>
            <w:tcW w:w="2952"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Utiliza la interpretación para actuar en situaciones de mayor complejidad.</w:t>
            </w:r>
          </w:p>
        </w:tc>
        <w:tc>
          <w:tcPr>
            <w:tcW w:w="3528"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 xml:space="preserve">Comparación, predicción, decisión, transferencia y coordinación entre aspectos </w:t>
            </w:r>
            <w:r>
              <w:rPr>
                <w:color w:val="000000"/>
                <w:sz w:val="17"/>
              </w:rPr>
              <w:t>puntuales y globales cuando la tarea lo permite.</w:t>
            </w:r>
          </w:p>
        </w:tc>
        <w:tc>
          <w:tcPr>
            <w:tcW w:w="2808"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Se utiliza cuando la derivada se moviliza y justifica en una tarea de orden superior.</w:t>
            </w:r>
          </w:p>
        </w:tc>
      </w:tr>
      <w:tr w:rsidR="00E718A3">
        <w:trPr>
          <w:cantSplit/>
          <w:jc w:val="center"/>
        </w:trPr>
        <w:tc>
          <w:tcPr>
            <w:tcW w:w="1656"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Sin evidencia clasificable</w:t>
            </w:r>
          </w:p>
        </w:tc>
        <w:tc>
          <w:tcPr>
            <w:tcW w:w="2952"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Categoría metodológica, no nivel APOE.</w:t>
            </w:r>
          </w:p>
        </w:tc>
        <w:tc>
          <w:tcPr>
            <w:tcW w:w="352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 xml:space="preserve">Respuesta en blanco, irrelevante, incoherente, copia </w:t>
            </w:r>
            <w:r>
              <w:rPr>
                <w:color w:val="000000"/>
                <w:sz w:val="17"/>
              </w:rPr>
              <w:t>literal o información insuficiente.</w:t>
            </w:r>
          </w:p>
        </w:tc>
        <w:tc>
          <w:tcPr>
            <w:tcW w:w="280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Evita forzar respuestas sin evidencia dentro de la categoría Acción.</w:t>
            </w:r>
          </w:p>
        </w:tc>
      </w:tr>
    </w:tbl>
    <w:p w:rsidR="00E718A3" w:rsidRDefault="00CE1D24">
      <w:pPr>
        <w:spacing w:before="40" w:after="100" w:line="276" w:lineRule="auto"/>
        <w:jc w:val="both"/>
      </w:pPr>
      <w:r>
        <w:rPr>
          <w:i/>
          <w:color w:val="5A5A5A"/>
          <w:sz w:val="19"/>
        </w:rPr>
        <w:t>Nota.</w:t>
      </w:r>
      <w:r>
        <w:rPr>
          <w:color w:val="5A5A5A"/>
          <w:sz w:val="19"/>
        </w:rPr>
        <w:t xml:space="preserve"> Elaboración propia a partir de la matriz preliminar. La clasificación se aplica a respuestas o bloques de evidencias situadas y no constituye una etiqueta permanente del estudiante.</w:t>
      </w:r>
    </w:p>
    <w:p w:rsidR="00727B11" w:rsidRDefault="00043F4A">
      <w:pPr>
        <w:spacing w:after="100" w:line="276" w:lineRule="auto"/>
        <w:jc w:val="both"/>
      </w:pPr>
      <w:r>
        <w:t>La decisión metodológica central es que la clasificación se aplica a una respuesta o a un bloque de evidencias frente a tareas concretas, no como una etiqueta permanente del estudiante. Además, una tarea solo puede aportar evidencia de los niveles y dimensiones que su demanda hizo observables.</w:t>
      </w:r>
    </w:p>
    <w:p w:rsidR="00727B11" w:rsidRDefault="00043F4A">
      <w:pPr>
        <w:pStyle w:val="Ttulo2"/>
        <w:keepNext/>
        <w:spacing w:line="276" w:lineRule="auto"/>
      </w:pPr>
      <w:r>
        <w:rPr>
          <w:color w:val="1F4E78"/>
        </w:rPr>
        <w:lastRenderedPageBreak/>
        <w:t>5.2 Arquitectura preliminar de la estrategia didáctica adaptativa</w:t>
      </w:r>
    </w:p>
    <w:p w:rsidR="00727B11" w:rsidRDefault="00043F4A">
      <w:pPr>
        <w:spacing w:after="100" w:line="276" w:lineRule="auto"/>
        <w:jc w:val="both"/>
      </w:pPr>
      <w:r>
        <w:t>La estrategia se concibe como una secuencia de ciclos de seguimiento formativo en los que se mantienen actividades comunes para todos los estudiantes y se diferencian dos niveles de adaptación. En el nivel individual, las respuestas se interpretan mediante la matriz APOE y dan lugar a retroalimentaciones ajustadas a las evidencias observadas. En el nivel grupal, los indicadores y dificultades se agregan para reconocer patrones que orienten el ajuste de la actividad común del ciclo siguiente. La Tabla 4 resume los componentes funcionales previstos para cada ciclo.</w:t>
      </w:r>
    </w:p>
    <w:p w:rsidR="00E718A3" w:rsidRDefault="00CE1D24">
      <w:pPr>
        <w:keepNext/>
        <w:spacing w:before="140" w:after="20" w:line="276" w:lineRule="auto"/>
        <w:jc w:val="both"/>
      </w:pPr>
      <w:r>
        <w:rPr>
          <w:b/>
          <w:color w:val="1F4E78"/>
          <w:sz w:val="21"/>
        </w:rPr>
        <w:t>Tabla 4</w:t>
      </w:r>
    </w:p>
    <w:p w:rsidR="00E718A3" w:rsidRDefault="00CE1D24">
      <w:pPr>
        <w:keepNext/>
        <w:spacing w:after="60" w:line="276" w:lineRule="auto"/>
        <w:jc w:val="both"/>
      </w:pPr>
      <w:r>
        <w:rPr>
          <w:i/>
        </w:rPr>
        <w:t>Componentes funcionales del ciclo de seguimiento formativo</w:t>
      </w:r>
    </w:p>
    <w:tbl>
      <w:tblPr>
        <w:tblW w:w="0" w:type="auto"/>
        <w:jc w:val="center"/>
        <w:tblBorders>
          <w:top w:val="single" w:sz="14" w:space="0" w:color="1F4E78"/>
          <w:left w:val="nil"/>
          <w:bottom w:val="single" w:sz="14" w:space="0" w:color="1F4E78"/>
          <w:right w:val="nil"/>
          <w:insideH w:val="single" w:sz="4" w:space="0" w:color="CDD7E4"/>
          <w:insideV w:val="nil"/>
        </w:tblBorders>
        <w:tblLayout w:type="fixed"/>
        <w:tblLook w:val="04A0" w:firstRow="1" w:lastRow="0" w:firstColumn="1" w:lastColumn="0" w:noHBand="0" w:noVBand="1"/>
      </w:tblPr>
      <w:tblGrid>
        <w:gridCol w:w="2232"/>
        <w:gridCol w:w="3528"/>
        <w:gridCol w:w="3240"/>
        <w:gridCol w:w="2088"/>
      </w:tblGrid>
      <w:tr w:rsidR="00E718A3">
        <w:trPr>
          <w:cantSplit/>
          <w:tblHeader/>
          <w:jc w:val="center"/>
        </w:trPr>
        <w:tc>
          <w:tcPr>
            <w:tcW w:w="2232"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7"/>
              </w:rPr>
              <w:t>Componente del ciclo</w:t>
            </w:r>
          </w:p>
        </w:tc>
        <w:tc>
          <w:tcPr>
            <w:tcW w:w="3528"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7"/>
              </w:rPr>
              <w:t>Función</w:t>
            </w:r>
          </w:p>
        </w:tc>
        <w:tc>
          <w:tcPr>
            <w:tcW w:w="3240"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7"/>
              </w:rPr>
              <w:t>Evidencia o producto</w:t>
            </w:r>
          </w:p>
        </w:tc>
        <w:tc>
          <w:tcPr>
            <w:tcW w:w="2088"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7"/>
              </w:rPr>
              <w:t>Alcance de la adaptación</w:t>
            </w:r>
          </w:p>
        </w:tc>
      </w:tr>
      <w:tr w:rsidR="00E718A3">
        <w:trPr>
          <w:cantSplit/>
          <w:jc w:val="center"/>
        </w:trPr>
        <w:tc>
          <w:tcPr>
            <w:tcW w:w="2232"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Actividad común</w:t>
            </w:r>
          </w:p>
        </w:tc>
        <w:tc>
          <w:tcPr>
            <w:tcW w:w="352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Producir evidencias comparables de comprensión mediante tareas compartidas por el grupo.</w:t>
            </w:r>
          </w:p>
        </w:tc>
        <w:tc>
          <w:tcPr>
            <w:tcW w:w="3240"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Respuestas, procedimientos y explicaciones estudiantiles.</w:t>
            </w:r>
          </w:p>
        </w:tc>
        <w:tc>
          <w:tcPr>
            <w:tcW w:w="208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Común para todos los participantes.</w:t>
            </w:r>
          </w:p>
        </w:tc>
      </w:tr>
      <w:tr w:rsidR="00E718A3">
        <w:trPr>
          <w:cantSplit/>
          <w:jc w:val="center"/>
        </w:trPr>
        <w:tc>
          <w:tcPr>
            <w:tcW w:w="2232"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Análisis individual</w:t>
            </w:r>
          </w:p>
        </w:tc>
        <w:tc>
          <w:tcPr>
            <w:tcW w:w="3528"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 xml:space="preserve">Interpretar cada respuesta mediante los indicadores </w:t>
            </w:r>
            <w:r>
              <w:rPr>
                <w:color w:val="000000"/>
                <w:sz w:val="17"/>
              </w:rPr>
              <w:t>de la matriz APOE aplicables a la tarea.</w:t>
            </w:r>
          </w:p>
        </w:tc>
        <w:tc>
          <w:tcPr>
            <w:tcW w:w="3240"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Indicadores, evidencia textual y dificultad identificada.</w:t>
            </w:r>
          </w:p>
        </w:tc>
        <w:tc>
          <w:tcPr>
            <w:tcW w:w="2088"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Individual.</w:t>
            </w:r>
          </w:p>
        </w:tc>
      </w:tr>
      <w:tr w:rsidR="00E718A3">
        <w:trPr>
          <w:cantSplit/>
          <w:jc w:val="center"/>
        </w:trPr>
        <w:tc>
          <w:tcPr>
            <w:tcW w:w="2232"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Retroalimentación individual</w:t>
            </w:r>
          </w:p>
        </w:tc>
        <w:tc>
          <w:tcPr>
            <w:tcW w:w="352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Orientar al estudiante a partir de las evidencias presentes y ausentes en su respuesta.</w:t>
            </w:r>
          </w:p>
        </w:tc>
        <w:tc>
          <w:tcPr>
            <w:tcW w:w="3240"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Retroalimentación vinculada</w:t>
            </w:r>
            <w:r>
              <w:rPr>
                <w:color w:val="000000"/>
                <w:sz w:val="17"/>
              </w:rPr>
              <w:t xml:space="preserve"> con la producción analizada.</w:t>
            </w:r>
          </w:p>
        </w:tc>
        <w:tc>
          <w:tcPr>
            <w:tcW w:w="208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Individual.</w:t>
            </w:r>
          </w:p>
        </w:tc>
      </w:tr>
      <w:tr w:rsidR="00E718A3">
        <w:trPr>
          <w:cantSplit/>
          <w:jc w:val="center"/>
        </w:trPr>
        <w:tc>
          <w:tcPr>
            <w:tcW w:w="2232"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Agregación y análisis grupal</w:t>
            </w:r>
          </w:p>
        </w:tc>
        <w:tc>
          <w:tcPr>
            <w:tcW w:w="3528"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Integrar los resultados individuales para reconocer patrones de comprensión y dificultades predominantes.</w:t>
            </w:r>
          </w:p>
        </w:tc>
        <w:tc>
          <w:tcPr>
            <w:tcW w:w="3240"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Frecuencias, porcentajes, patrones y ejemplos representativos.</w:t>
            </w:r>
          </w:p>
        </w:tc>
        <w:tc>
          <w:tcPr>
            <w:tcW w:w="2088"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Grupal.</w:t>
            </w:r>
          </w:p>
        </w:tc>
      </w:tr>
      <w:tr w:rsidR="00E718A3">
        <w:trPr>
          <w:cantSplit/>
          <w:jc w:val="center"/>
        </w:trPr>
        <w:tc>
          <w:tcPr>
            <w:tcW w:w="2232"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Ajuste</w:t>
            </w:r>
            <w:r>
              <w:rPr>
                <w:b/>
                <w:color w:val="1F4E78"/>
                <w:sz w:val="17"/>
              </w:rPr>
              <w:t xml:space="preserve"> didáctico entre ciclos</w:t>
            </w:r>
          </w:p>
        </w:tc>
        <w:tc>
          <w:tcPr>
            <w:tcW w:w="352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Modificar el énfasis, las representaciones, las orientaciones o la complejidad de la actividad común siguiente.</w:t>
            </w:r>
          </w:p>
        </w:tc>
        <w:tc>
          <w:tcPr>
            <w:tcW w:w="3240"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Actividad del ciclo siguiente ajustada y decisión documentada.</w:t>
            </w:r>
          </w:p>
        </w:tc>
        <w:tc>
          <w:tcPr>
            <w:tcW w:w="2088"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Grupal.</w:t>
            </w:r>
          </w:p>
        </w:tc>
      </w:tr>
    </w:tbl>
    <w:p w:rsidR="00E718A3" w:rsidRDefault="00CE1D24">
      <w:pPr>
        <w:spacing w:before="40" w:after="100" w:line="276" w:lineRule="auto"/>
        <w:jc w:val="both"/>
      </w:pPr>
      <w:r>
        <w:rPr>
          <w:i/>
          <w:color w:val="5A5A5A"/>
          <w:sz w:val="19"/>
        </w:rPr>
        <w:t>Nota.</w:t>
      </w:r>
      <w:r>
        <w:rPr>
          <w:color w:val="5A5A5A"/>
          <w:sz w:val="19"/>
        </w:rPr>
        <w:t xml:space="preserve"> Elaboración propia. La adaptación individual se concentra en la retroalimentación; la adaptación grupal se realiza entre ciclos a partir del análisis agregado de las evidencias.</w:t>
      </w:r>
    </w:p>
    <w:p w:rsidR="00727B11" w:rsidRDefault="00043F4A">
      <w:pPr>
        <w:pStyle w:val="Ttulo2"/>
        <w:keepNext/>
        <w:spacing w:line="276" w:lineRule="auto"/>
      </w:pPr>
      <w:r>
        <w:rPr>
          <w:color w:val="1F4E78"/>
        </w:rPr>
        <w:t>5.3 Delimitación preliminar del componente generativo</w:t>
      </w:r>
    </w:p>
    <w:p w:rsidR="00727B11" w:rsidRDefault="00043F4A">
      <w:pPr>
        <w:spacing w:after="100" w:line="276" w:lineRule="auto"/>
        <w:jc w:val="both"/>
      </w:pPr>
      <w:r>
        <w:t>El componente generativo se utilizará de manera delimitada y subordinada a criterios pedagógicos previamente definidos. La IA no determinará por sí sola las tareas, los criterios matemáticos ni recorridos diferenciados para cada estudiante. Su función se concentrará en apoyar el análisis estructurado de respuestas abiertas, proponer retroalimentaciones individuales y contribuir a la síntesis de patrones grupales. La Tabla 5 delimita el tratamiento previsto para cada componente.</w:t>
      </w:r>
    </w:p>
    <w:p w:rsidR="00E718A3" w:rsidRDefault="00CE1D24">
      <w:pPr>
        <w:keepNext/>
        <w:spacing w:before="140" w:after="20" w:line="276" w:lineRule="auto"/>
        <w:jc w:val="both"/>
      </w:pPr>
      <w:r>
        <w:rPr>
          <w:b/>
          <w:color w:val="1F4E78"/>
          <w:sz w:val="21"/>
        </w:rPr>
        <w:t>Tabla 5</w:t>
      </w:r>
    </w:p>
    <w:p w:rsidR="00E718A3" w:rsidRDefault="00CE1D24">
      <w:pPr>
        <w:keepNext/>
        <w:spacing w:after="60" w:line="276" w:lineRule="auto"/>
        <w:jc w:val="both"/>
      </w:pPr>
      <w:r>
        <w:rPr>
          <w:i/>
        </w:rPr>
        <w:t>Delimitación funcional del componente de int</w:t>
      </w:r>
      <w:r>
        <w:rPr>
          <w:i/>
        </w:rPr>
        <w:t>eligencia artificial generativa</w:t>
      </w:r>
    </w:p>
    <w:tbl>
      <w:tblPr>
        <w:tblW w:w="0" w:type="auto"/>
        <w:jc w:val="center"/>
        <w:tblBorders>
          <w:top w:val="single" w:sz="14" w:space="0" w:color="1F4E78"/>
          <w:left w:val="nil"/>
          <w:bottom w:val="single" w:sz="14" w:space="0" w:color="1F4E78"/>
          <w:right w:val="nil"/>
          <w:insideH w:val="single" w:sz="4" w:space="0" w:color="CDD7E4"/>
          <w:insideV w:val="nil"/>
        </w:tblBorders>
        <w:tblLayout w:type="fixed"/>
        <w:tblLook w:val="04A0" w:firstRow="1" w:lastRow="0" w:firstColumn="1" w:lastColumn="0" w:noHBand="0" w:noVBand="1"/>
      </w:tblPr>
      <w:tblGrid>
        <w:gridCol w:w="3240"/>
        <w:gridCol w:w="7272"/>
      </w:tblGrid>
      <w:tr w:rsidR="00E718A3">
        <w:trPr>
          <w:cantSplit/>
          <w:tblHeader/>
          <w:jc w:val="center"/>
        </w:trPr>
        <w:tc>
          <w:tcPr>
            <w:tcW w:w="3240"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7"/>
              </w:rPr>
              <w:t>Componente</w:t>
            </w:r>
          </w:p>
        </w:tc>
        <w:tc>
          <w:tcPr>
            <w:tcW w:w="7272" w:type="dxa"/>
            <w:shd w:val="clear" w:color="auto" w:fill="1F4E78"/>
            <w:tcMar>
              <w:top w:w="55" w:type="dxa"/>
              <w:left w:w="70" w:type="dxa"/>
              <w:bottom w:w="55" w:type="dxa"/>
              <w:right w:w="70" w:type="dxa"/>
            </w:tcMar>
            <w:vAlign w:val="center"/>
          </w:tcPr>
          <w:p w:rsidR="00E718A3" w:rsidRDefault="00CE1D24">
            <w:pPr>
              <w:spacing w:line="228" w:lineRule="auto"/>
            </w:pPr>
            <w:r>
              <w:rPr>
                <w:b/>
                <w:color w:val="FFFFFF"/>
                <w:sz w:val="17"/>
              </w:rPr>
              <w:t>Tratamiento previsto</w:t>
            </w:r>
          </w:p>
        </w:tc>
      </w:tr>
      <w:tr w:rsidR="00E718A3">
        <w:trPr>
          <w:cantSplit/>
          <w:jc w:val="center"/>
        </w:trPr>
        <w:tc>
          <w:tcPr>
            <w:tcW w:w="3240"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Tareas comunes</w:t>
            </w:r>
          </w:p>
        </w:tc>
        <w:tc>
          <w:tcPr>
            <w:tcW w:w="7272"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Diseñadas, revisadas y pilotadas previamente. No se generarán libremente por IA durante la aplicación.</w:t>
            </w:r>
          </w:p>
        </w:tc>
      </w:tr>
      <w:tr w:rsidR="00E718A3">
        <w:trPr>
          <w:cantSplit/>
          <w:jc w:val="center"/>
        </w:trPr>
        <w:tc>
          <w:tcPr>
            <w:tcW w:w="3240"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Análisis de respuestas abiertas</w:t>
            </w:r>
          </w:p>
        </w:tc>
        <w:tc>
          <w:tcPr>
            <w:tcW w:w="7272"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 xml:space="preserve">Apoyo generativo restringido por los </w:t>
            </w:r>
            <w:r>
              <w:rPr>
                <w:color w:val="000000"/>
                <w:sz w:val="17"/>
              </w:rPr>
              <w:t>indicadores aplicables de la matriz APOE, con salida estructurada y trazable.</w:t>
            </w:r>
          </w:p>
        </w:tc>
      </w:tr>
      <w:tr w:rsidR="00E718A3">
        <w:trPr>
          <w:cantSplit/>
          <w:jc w:val="center"/>
        </w:trPr>
        <w:tc>
          <w:tcPr>
            <w:tcW w:w="3240"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Retroalimentación individual</w:t>
            </w:r>
          </w:p>
        </w:tc>
        <w:tc>
          <w:tcPr>
            <w:tcW w:w="7272"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 xml:space="preserve">Propuesta generativa vinculada con las evidencias identificadas y limitada por prompts, criterios pedagógicos y formatos de salida previamente </w:t>
            </w:r>
            <w:r>
              <w:rPr>
                <w:color w:val="000000"/>
                <w:sz w:val="17"/>
              </w:rPr>
              <w:t>definidos.</w:t>
            </w:r>
          </w:p>
        </w:tc>
      </w:tr>
      <w:tr w:rsidR="00E718A3">
        <w:trPr>
          <w:cantSplit/>
          <w:jc w:val="center"/>
        </w:trPr>
        <w:tc>
          <w:tcPr>
            <w:tcW w:w="3240"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Síntesis de patrones grupales</w:t>
            </w:r>
          </w:p>
        </w:tc>
        <w:tc>
          <w:tcPr>
            <w:tcW w:w="7272"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Apoyo para organizar los indicadores agregados e identificar recurrencias o dificultades predominantes del grupo.</w:t>
            </w:r>
          </w:p>
        </w:tc>
      </w:tr>
      <w:tr w:rsidR="00E718A3">
        <w:trPr>
          <w:cantSplit/>
          <w:jc w:val="center"/>
        </w:trPr>
        <w:tc>
          <w:tcPr>
            <w:tcW w:w="3240"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t>Valores, cálculos y gráficas</w:t>
            </w:r>
          </w:p>
        </w:tc>
        <w:tc>
          <w:tcPr>
            <w:tcW w:w="7272" w:type="dxa"/>
            <w:shd w:val="clear" w:color="auto" w:fill="FFFFFF"/>
            <w:tcMar>
              <w:top w:w="55" w:type="dxa"/>
              <w:left w:w="70" w:type="dxa"/>
              <w:bottom w:w="55" w:type="dxa"/>
              <w:right w:w="70" w:type="dxa"/>
            </w:tcMar>
            <w:vAlign w:val="center"/>
          </w:tcPr>
          <w:p w:rsidR="00E718A3" w:rsidRDefault="00CE1D24">
            <w:pPr>
              <w:spacing w:line="228" w:lineRule="auto"/>
            </w:pPr>
            <w:r>
              <w:rPr>
                <w:color w:val="000000"/>
                <w:sz w:val="17"/>
              </w:rPr>
              <w:t xml:space="preserve">Verificación mediante código, banco validado o criterios matemáticos </w:t>
            </w:r>
            <w:r>
              <w:rPr>
                <w:color w:val="000000"/>
                <w:sz w:val="17"/>
              </w:rPr>
              <w:t>previamente definidos; la IA no sustituirá estos controles.</w:t>
            </w:r>
          </w:p>
        </w:tc>
      </w:tr>
      <w:tr w:rsidR="00E718A3">
        <w:trPr>
          <w:cantSplit/>
          <w:jc w:val="center"/>
        </w:trPr>
        <w:tc>
          <w:tcPr>
            <w:tcW w:w="3240" w:type="dxa"/>
            <w:shd w:val="clear" w:color="auto" w:fill="DCE6F1"/>
            <w:tcMar>
              <w:top w:w="55" w:type="dxa"/>
              <w:left w:w="70" w:type="dxa"/>
              <w:bottom w:w="55" w:type="dxa"/>
              <w:right w:w="70" w:type="dxa"/>
            </w:tcMar>
            <w:vAlign w:val="center"/>
          </w:tcPr>
          <w:p w:rsidR="00E718A3" w:rsidRDefault="00CE1D24">
            <w:pPr>
              <w:spacing w:line="228" w:lineRule="auto"/>
            </w:pPr>
            <w:r>
              <w:rPr>
                <w:b/>
                <w:color w:val="1F4E78"/>
                <w:sz w:val="17"/>
              </w:rPr>
              <w:lastRenderedPageBreak/>
              <w:t>Ajuste de la actividad del ciclo siguiente</w:t>
            </w:r>
          </w:p>
        </w:tc>
        <w:tc>
          <w:tcPr>
            <w:tcW w:w="7272" w:type="dxa"/>
            <w:shd w:val="clear" w:color="auto" w:fill="F7F9FC"/>
            <w:tcMar>
              <w:top w:w="55" w:type="dxa"/>
              <w:left w:w="70" w:type="dxa"/>
              <w:bottom w:w="55" w:type="dxa"/>
              <w:right w:w="70" w:type="dxa"/>
            </w:tcMar>
            <w:vAlign w:val="center"/>
          </w:tcPr>
          <w:p w:rsidR="00E718A3" w:rsidRDefault="00CE1D24">
            <w:pPr>
              <w:spacing w:line="228" w:lineRule="auto"/>
            </w:pPr>
            <w:r>
              <w:rPr>
                <w:color w:val="000000"/>
                <w:sz w:val="17"/>
              </w:rPr>
              <w:t>Se sustentará en los patrones grupales observados y quedará documentado como decisión de diseño entre ciclos; no consistirá en asignar recorridos indivi</w:t>
            </w:r>
            <w:r>
              <w:rPr>
                <w:color w:val="000000"/>
                <w:sz w:val="17"/>
              </w:rPr>
              <w:t>duales automáticos.</w:t>
            </w:r>
          </w:p>
        </w:tc>
      </w:tr>
    </w:tbl>
    <w:p w:rsidR="00E718A3" w:rsidRDefault="00CE1D24">
      <w:pPr>
        <w:spacing w:before="40" w:after="100" w:line="276" w:lineRule="auto"/>
        <w:jc w:val="both"/>
      </w:pPr>
      <w:r>
        <w:rPr>
          <w:i/>
          <w:color w:val="5A5A5A"/>
          <w:sz w:val="19"/>
        </w:rPr>
        <w:t>Nota.</w:t>
      </w:r>
      <w:r>
        <w:rPr>
          <w:color w:val="5A5A5A"/>
          <w:sz w:val="19"/>
        </w:rPr>
        <w:t xml:space="preserve"> Elaboración propia. Los componentes generativos se configuran antes de la implementación y sus salidas se conservarán para efectos de trazabilidad y valoración del funcionamiento.</w:t>
      </w:r>
    </w:p>
    <w:p w:rsidR="00727B11" w:rsidRDefault="00043F4A">
      <w:pPr>
        <w:pStyle w:val="Ttulo2"/>
        <w:keepNext/>
        <w:spacing w:line="276" w:lineRule="auto"/>
      </w:pPr>
      <w:r>
        <w:rPr>
          <w:color w:val="1F4E78"/>
        </w:rPr>
        <w:t>5.4 Variables y trazabilidad previstas</w:t>
      </w:r>
    </w:p>
    <w:p w:rsidR="00727B11" w:rsidRDefault="00043F4A">
      <w:pPr>
        <w:spacing w:after="100" w:line="276" w:lineRule="auto"/>
        <w:jc w:val="both"/>
      </w:pPr>
      <w:r>
        <w:t>La arquitectura preliminar diferencia tres capas de información. La primera corresponde a los datos crudos producidos por el estudiante, como respuesta literal, cálculo, opción, procedimiento, tiempo e intento. La segunda reúne los indicadores observables de la matriz, entre ellos variación, signo, magnitud, unidades, punto de evaluación, localidad, coordinación gráfica, comparación, predicción y transferencia. La tercera contiene variables derivadas necesarias para el seguimiento, como la construcción APOE sugerida, la evidencia textual que sustenta la interpretación, la dificultad identificada, la retroalimentación generada, los patrones grupales y el ajuste realizado para el ciclo siguiente. Estas variables se depurarán durante el diseño del entorno y solo se conservarán aquellas necesarias para responder a los objetivos del estudio.</w:t>
      </w:r>
    </w:p>
    <w:p w:rsidR="00727B11" w:rsidRDefault="00043F4A">
      <w:pPr>
        <w:spacing w:after="100" w:line="276" w:lineRule="auto"/>
        <w:jc w:val="both"/>
      </w:pPr>
      <w:r>
        <w:rPr>
          <w:color w:val="202020"/>
        </w:rPr>
        <w:t>El modelo de datos definitivo se establecerá durante la segunda fase y deberá permitir reconstruir la relación entre cada respuesta original, su interpretación mediante la matriz, la retroalimentación asociada, los patrones agregados del grupo y las decisiones de ajuste efectuadas entre ciclos. El Anexo A conserva la versión completa de la matriz APOE preliminar y el Anexo B presenta la especificación preliminar actualizada de los ciclos de seguimiento formativo, coherente con la arquitectura adoptada en esta propuesta.</w:t>
      </w:r>
    </w:p>
    <w:p w:rsidR="00480FD7" w:rsidRDefault="008712A0" w:rsidP="00EF7733">
      <w:pPr>
        <w:pStyle w:val="Ttulo1"/>
        <w:keepNext/>
        <w:spacing w:after="140" w:line="276" w:lineRule="auto"/>
        <w:jc w:val="both"/>
      </w:pPr>
      <w:r>
        <w:rPr>
          <w:color w:val="1F4E78"/>
        </w:rPr>
        <w:t>6. RESULTADOS ESPERADOS</w:t>
      </w:r>
    </w:p>
    <w:p w:rsidR="00433E32" w:rsidRDefault="00433E32" w:rsidP="00433E32">
      <w:pPr>
        <w:spacing w:after="100" w:line="276" w:lineRule="auto"/>
        <w:jc w:val="both"/>
      </w:pPr>
      <w:r>
        <w:t>Como primer resultado se espera consolidar una matriz analítica fundamentada en APOE con evidencias de validez de contenido y aplicabilidad para interpretar respuestas situadas sobre la derivada como razón de cambio. Este producto incluirá indicadores operacionales, reglas de clasificación y ejemplos ancla derivados del proceso de revisión y pilotaje.</w:t>
      </w:r>
    </w:p>
    <w:p w:rsidR="00433E32" w:rsidRDefault="00433E32" w:rsidP="00433E32">
      <w:pPr>
        <w:spacing w:after="100" w:line="276" w:lineRule="auto"/>
        <w:jc w:val="both"/>
      </w:pPr>
      <w:r>
        <w:t>Como segundo resultado se espera desarrollar una estrategia didáctica adaptativa soportada en un entorno digital, organizada mediante actividades comunes de seguimiento formativo, análisis individual de respuestas, retroalimentación individual y procedimientos de agregación de evidencias que permitan orientar ajustes didácticos grupales entre ciclos. El componente de inteligencia artificial generativa estará delimitado mediante prompts, reglas y formatos de salida previamente definidos y pilotados.</w:t>
      </w:r>
    </w:p>
    <w:p w:rsidR="00433E32" w:rsidRDefault="00433E32" w:rsidP="00433E32">
      <w:pPr>
        <w:spacing w:after="100" w:line="276" w:lineRule="auto"/>
        <w:jc w:val="both"/>
      </w:pPr>
      <w:r>
        <w:t>Como tercer resultado se espera reunir y analizar evidencias sobre el funcionamiento de la estrategia durante al menos tres ciclos de seguimiento formativo, mostrando qué dificultades conceptuales logra hacer visibles, qué información puede organizar mediante la matriz APOE, qué patrones se identifican en el grupo, qué trazabilidad conserva el entorno y qué ajustes didácticos se realizan entre ciclos.</w:t>
      </w:r>
    </w:p>
    <w:p w:rsidR="00433E32" w:rsidRDefault="00433E32" w:rsidP="00433E32">
      <w:pPr>
        <w:spacing w:after="100" w:line="276" w:lineRule="auto"/>
        <w:jc w:val="both"/>
      </w:pPr>
      <w:r>
        <w:t xml:space="preserve">De manera complementaria, se conservarán registros de auditoría de las salidas de IA, decisiones de implementación e incidencias técnicas o pedagógicas. Estos datos podrán </w:t>
      </w:r>
      <w:r>
        <w:lastRenderedPageBreak/>
        <w:t>apoyar análisis secundarios y productos posteriores, pero no constituyen objetivos independientes ni implican demostrar efectos causales sobre el aprendizaje o una transformación de la práctica docente.</w:t>
      </w:r>
    </w:p>
    <w:p w:rsidR="00480FD7" w:rsidRPr="00043F4A" w:rsidRDefault="008712A0">
      <w:pPr>
        <w:pStyle w:val="Ttulo1"/>
        <w:keepNext/>
        <w:spacing w:after="140" w:line="276" w:lineRule="auto"/>
        <w:rPr>
          <w:lang w:val="en-US"/>
        </w:rPr>
      </w:pPr>
      <w:r w:rsidRPr="00043F4A">
        <w:rPr>
          <w:color w:val="1F4E78"/>
          <w:lang w:val="en-US"/>
        </w:rPr>
        <w:t>REFERENCIAS</w:t>
      </w:r>
    </w:p>
    <w:p w:rsidR="00727B11" w:rsidRPr="00043F4A" w:rsidRDefault="00043F4A">
      <w:pPr>
        <w:spacing w:after="100" w:line="276" w:lineRule="auto"/>
        <w:ind w:left="720" w:hanging="720"/>
        <w:rPr>
          <w:lang w:val="en-US"/>
        </w:rPr>
      </w:pPr>
      <w:proofErr w:type="spellStart"/>
      <w:r w:rsidRPr="00043F4A">
        <w:rPr>
          <w:lang w:val="en-US"/>
        </w:rPr>
        <w:t>Arnon</w:t>
      </w:r>
      <w:proofErr w:type="spellEnd"/>
      <w:r w:rsidRPr="00043F4A">
        <w:rPr>
          <w:lang w:val="en-US"/>
        </w:rPr>
        <w:t xml:space="preserve">, I., </w:t>
      </w:r>
      <w:proofErr w:type="spellStart"/>
      <w:r w:rsidRPr="00043F4A">
        <w:rPr>
          <w:lang w:val="en-US"/>
        </w:rPr>
        <w:t>Cottrill</w:t>
      </w:r>
      <w:proofErr w:type="spellEnd"/>
      <w:r w:rsidRPr="00043F4A">
        <w:rPr>
          <w:lang w:val="en-US"/>
        </w:rPr>
        <w:t xml:space="preserve">, J., Dubinsky, E., </w:t>
      </w:r>
      <w:proofErr w:type="spellStart"/>
      <w:r w:rsidRPr="00043F4A">
        <w:rPr>
          <w:lang w:val="en-US"/>
        </w:rPr>
        <w:t>Oktaç</w:t>
      </w:r>
      <w:proofErr w:type="spellEnd"/>
      <w:r w:rsidRPr="00043F4A">
        <w:rPr>
          <w:lang w:val="en-US"/>
        </w:rPr>
        <w:t xml:space="preserve">, A., </w:t>
      </w:r>
      <w:proofErr w:type="spellStart"/>
      <w:r w:rsidRPr="00043F4A">
        <w:rPr>
          <w:lang w:val="en-US"/>
        </w:rPr>
        <w:t>Roa</w:t>
      </w:r>
      <w:proofErr w:type="spellEnd"/>
      <w:r w:rsidRPr="00043F4A">
        <w:rPr>
          <w:lang w:val="en-US"/>
        </w:rPr>
        <w:t xml:space="preserve"> Fuentes, S., </w:t>
      </w:r>
      <w:proofErr w:type="spellStart"/>
      <w:r w:rsidRPr="00043F4A">
        <w:rPr>
          <w:lang w:val="en-US"/>
        </w:rPr>
        <w:t>Trigueros</w:t>
      </w:r>
      <w:proofErr w:type="spellEnd"/>
      <w:r w:rsidRPr="00043F4A">
        <w:rPr>
          <w:lang w:val="en-US"/>
        </w:rPr>
        <w:t>, M., &amp; Weller, K. (2014). APOS theory: A framework for research and curriculum development in mathematics education. Springer. https://doi.org/10.1007/978-1-4614-7966-6</w:t>
      </w:r>
    </w:p>
    <w:p w:rsidR="00727B11" w:rsidRPr="00043F4A" w:rsidRDefault="00043F4A">
      <w:pPr>
        <w:spacing w:after="100" w:line="276" w:lineRule="auto"/>
        <w:ind w:left="720" w:hanging="720"/>
        <w:rPr>
          <w:lang w:val="en-US"/>
        </w:rPr>
      </w:pPr>
      <w:proofErr w:type="spellStart"/>
      <w:r w:rsidRPr="00043F4A">
        <w:rPr>
          <w:lang w:val="en-US"/>
        </w:rPr>
        <w:t>Asiala</w:t>
      </w:r>
      <w:proofErr w:type="spellEnd"/>
      <w:r w:rsidRPr="00043F4A">
        <w:rPr>
          <w:lang w:val="en-US"/>
        </w:rPr>
        <w:t xml:space="preserve">, M., </w:t>
      </w:r>
      <w:proofErr w:type="spellStart"/>
      <w:r w:rsidRPr="00043F4A">
        <w:rPr>
          <w:lang w:val="en-US"/>
        </w:rPr>
        <w:t>Cottrill</w:t>
      </w:r>
      <w:proofErr w:type="spellEnd"/>
      <w:r w:rsidRPr="00043F4A">
        <w:rPr>
          <w:lang w:val="en-US"/>
        </w:rPr>
        <w:t xml:space="preserve">, J., Dubinsky, E., &amp; </w:t>
      </w:r>
      <w:proofErr w:type="spellStart"/>
      <w:r w:rsidRPr="00043F4A">
        <w:rPr>
          <w:lang w:val="en-US"/>
        </w:rPr>
        <w:t>Schwingendorf</w:t>
      </w:r>
      <w:proofErr w:type="spellEnd"/>
      <w:r w:rsidRPr="00043F4A">
        <w:rPr>
          <w:lang w:val="en-US"/>
        </w:rPr>
        <w:t>, K. E. (1997). The development of students’ graphical understanding of the derivative. The Journal of Mathematical Behavior, 16(4), 399–431. https://doi.org/10.1016/S0732-3123(97)90015-8</w:t>
      </w:r>
    </w:p>
    <w:p w:rsidR="00727B11" w:rsidRPr="00043F4A" w:rsidRDefault="00043F4A">
      <w:pPr>
        <w:spacing w:after="100" w:line="276" w:lineRule="auto"/>
        <w:ind w:left="720" w:hanging="720"/>
        <w:rPr>
          <w:lang w:val="en-US"/>
        </w:rPr>
      </w:pPr>
      <w:r w:rsidRPr="00043F4A">
        <w:rPr>
          <w:lang w:val="en-US"/>
        </w:rPr>
        <w:t>Beetham, H., &amp; Sharpe, R. (Eds.). (2013). Rethinking pedagogy for a digital age: Designing for 21st century learning (2nd ed.). Routledge. https://doi.org/10.4324/9780203078952</w:t>
      </w:r>
    </w:p>
    <w:p w:rsidR="00727B11" w:rsidRPr="00043F4A" w:rsidRDefault="00043F4A">
      <w:pPr>
        <w:spacing w:after="100" w:line="276" w:lineRule="auto"/>
        <w:ind w:left="720" w:hanging="720"/>
        <w:rPr>
          <w:lang w:val="en-US"/>
        </w:rPr>
      </w:pPr>
      <w:r w:rsidRPr="00043F4A">
        <w:rPr>
          <w:lang w:val="en-US"/>
        </w:rPr>
        <w:t>Bezuidenhout, J. (1998). First-year university students’ understanding of rate of change. International Journal of Mathematical Education in Science and Technology, 29(3), 389–399. https://doi.org/10.1080/0020739980290309</w:t>
      </w:r>
    </w:p>
    <w:p w:rsidR="00727B11" w:rsidRPr="00043F4A" w:rsidRDefault="00043F4A">
      <w:pPr>
        <w:spacing w:after="100" w:line="276" w:lineRule="auto"/>
        <w:ind w:left="720" w:hanging="720"/>
        <w:rPr>
          <w:lang w:val="en-US"/>
        </w:rPr>
      </w:pPr>
      <w:proofErr w:type="spellStart"/>
      <w:r w:rsidRPr="00043F4A">
        <w:rPr>
          <w:lang w:val="en-US"/>
        </w:rPr>
        <w:t>Bingolbali</w:t>
      </w:r>
      <w:proofErr w:type="spellEnd"/>
      <w:r w:rsidRPr="00043F4A">
        <w:rPr>
          <w:lang w:val="en-US"/>
        </w:rPr>
        <w:t>, E., Monaghan, J., &amp; Roper, T. (2007). Engineering students’ conceptions of the derivative and some implications for their mathematical education. International Journal of Mathematical Education in Science and Technology, 38(6), 763–777. https://doi.org/10.1080/00207390701453579</w:t>
      </w:r>
    </w:p>
    <w:p w:rsidR="00727B11" w:rsidRPr="00043F4A" w:rsidRDefault="00043F4A">
      <w:pPr>
        <w:spacing w:after="100" w:line="276" w:lineRule="auto"/>
        <w:ind w:left="720" w:hanging="720"/>
        <w:rPr>
          <w:lang w:val="en-US"/>
        </w:rPr>
      </w:pPr>
      <w:r w:rsidRPr="00043F4A">
        <w:rPr>
          <w:lang w:val="en-US"/>
        </w:rPr>
        <w:t xml:space="preserve">Black, P., &amp; </w:t>
      </w:r>
      <w:proofErr w:type="spellStart"/>
      <w:r w:rsidRPr="00043F4A">
        <w:rPr>
          <w:lang w:val="en-US"/>
        </w:rPr>
        <w:t>Wiliam</w:t>
      </w:r>
      <w:proofErr w:type="spellEnd"/>
      <w:r w:rsidRPr="00043F4A">
        <w:rPr>
          <w:lang w:val="en-US"/>
        </w:rPr>
        <w:t xml:space="preserve">, D. (1998). Inside the black box: Raising standards through classroom assessment. Phi Delta </w:t>
      </w:r>
      <w:proofErr w:type="spellStart"/>
      <w:r w:rsidRPr="00043F4A">
        <w:rPr>
          <w:lang w:val="en-US"/>
        </w:rPr>
        <w:t>Kappan</w:t>
      </w:r>
      <w:proofErr w:type="spellEnd"/>
      <w:r w:rsidRPr="00043F4A">
        <w:rPr>
          <w:lang w:val="en-US"/>
        </w:rPr>
        <w:t>, 80(2), 139–144, 146–148.</w:t>
      </w:r>
    </w:p>
    <w:p w:rsidR="00727B11" w:rsidRPr="00043F4A" w:rsidRDefault="00043F4A">
      <w:pPr>
        <w:spacing w:after="100" w:line="276" w:lineRule="auto"/>
        <w:ind w:left="720" w:hanging="720"/>
        <w:rPr>
          <w:lang w:val="en-US"/>
        </w:rPr>
      </w:pPr>
      <w:proofErr w:type="spellStart"/>
      <w:r w:rsidRPr="00043F4A">
        <w:rPr>
          <w:lang w:val="en-US"/>
        </w:rPr>
        <w:t>Borji</w:t>
      </w:r>
      <w:proofErr w:type="spellEnd"/>
      <w:r w:rsidRPr="00043F4A">
        <w:rPr>
          <w:lang w:val="en-US"/>
        </w:rPr>
        <w:t>, V., &amp; Martínez-</w:t>
      </w:r>
      <w:proofErr w:type="spellStart"/>
      <w:r w:rsidRPr="00043F4A">
        <w:rPr>
          <w:lang w:val="en-US"/>
        </w:rPr>
        <w:t>Planell</w:t>
      </w:r>
      <w:proofErr w:type="spellEnd"/>
      <w:r w:rsidRPr="00043F4A">
        <w:rPr>
          <w:lang w:val="en-US"/>
        </w:rPr>
        <w:t>, R. (2020). On students’ understanding of implicit differentiation based on APOS theory. Educational Studies in Mathematics, 105(2), 163–179. https://doi.org/10.1007/s10649-020-09991-y</w:t>
      </w:r>
    </w:p>
    <w:p w:rsidR="00727B11" w:rsidRPr="00043F4A" w:rsidRDefault="00043F4A">
      <w:pPr>
        <w:spacing w:after="100" w:line="276" w:lineRule="auto"/>
        <w:ind w:left="720" w:hanging="720"/>
        <w:rPr>
          <w:lang w:val="en-US"/>
        </w:rPr>
      </w:pPr>
      <w:proofErr w:type="spellStart"/>
      <w:r w:rsidRPr="00043F4A">
        <w:rPr>
          <w:lang w:val="en-US"/>
        </w:rPr>
        <w:t>Borji</w:t>
      </w:r>
      <w:proofErr w:type="spellEnd"/>
      <w:r w:rsidRPr="00043F4A">
        <w:rPr>
          <w:lang w:val="en-US"/>
        </w:rPr>
        <w:t xml:space="preserve">, V., </w:t>
      </w:r>
      <w:proofErr w:type="spellStart"/>
      <w:r w:rsidRPr="00043F4A">
        <w:rPr>
          <w:lang w:val="en-US"/>
        </w:rPr>
        <w:t>Alamolhodaei</w:t>
      </w:r>
      <w:proofErr w:type="spellEnd"/>
      <w:r w:rsidRPr="00043F4A">
        <w:rPr>
          <w:lang w:val="en-US"/>
        </w:rPr>
        <w:t xml:space="preserve">, H., &amp; </w:t>
      </w:r>
      <w:proofErr w:type="spellStart"/>
      <w:r w:rsidRPr="00043F4A">
        <w:rPr>
          <w:lang w:val="en-US"/>
        </w:rPr>
        <w:t>Radmehr</w:t>
      </w:r>
      <w:proofErr w:type="spellEnd"/>
      <w:r w:rsidRPr="00043F4A">
        <w:rPr>
          <w:lang w:val="en-US"/>
        </w:rPr>
        <w:t>, F. (2018). Application of the APOS-ACE theory to improve students’ graphical understanding of derivative. EURASIA Journal of Mathematics, Science and Technology Education, 14(7), 2947–2967. https://doi.org/10.29333/ejmste/91451</w:t>
      </w:r>
    </w:p>
    <w:p w:rsidR="00727B11" w:rsidRPr="00043F4A" w:rsidRDefault="00043F4A">
      <w:pPr>
        <w:spacing w:after="100" w:line="276" w:lineRule="auto"/>
        <w:ind w:left="720" w:hanging="720"/>
        <w:rPr>
          <w:lang w:val="en-US"/>
        </w:rPr>
      </w:pPr>
      <w:proofErr w:type="spellStart"/>
      <w:r w:rsidRPr="00043F4A">
        <w:rPr>
          <w:lang w:val="en-US"/>
        </w:rPr>
        <w:t>Borji</w:t>
      </w:r>
      <w:proofErr w:type="spellEnd"/>
      <w:r w:rsidRPr="00043F4A">
        <w:rPr>
          <w:lang w:val="en-US"/>
        </w:rPr>
        <w:t xml:space="preserve">, V., Font, V., </w:t>
      </w:r>
      <w:proofErr w:type="spellStart"/>
      <w:r w:rsidRPr="00043F4A">
        <w:rPr>
          <w:lang w:val="en-US"/>
        </w:rPr>
        <w:t>Alamolhodaei</w:t>
      </w:r>
      <w:proofErr w:type="spellEnd"/>
      <w:r w:rsidRPr="00043F4A">
        <w:rPr>
          <w:lang w:val="en-US"/>
        </w:rPr>
        <w:t>, H., &amp; Sánchez, A. (2018). Application of the complementarities of two theories, APOS and OSA, for the analysis of the university students’ understanding on the graph of the function and its derivative. EURASIA Journal of Mathematics, Science and Technology Education, 14(6), 2301–2315. https://doi.org/10.29333/ejmste/89514</w:t>
      </w:r>
    </w:p>
    <w:p w:rsidR="00727B11" w:rsidRPr="00043F4A" w:rsidRDefault="00043F4A">
      <w:pPr>
        <w:spacing w:after="100" w:line="276" w:lineRule="auto"/>
        <w:ind w:left="720" w:hanging="720"/>
        <w:rPr>
          <w:lang w:val="en-US"/>
        </w:rPr>
      </w:pPr>
      <w:r>
        <w:t xml:space="preserve">Carlson, M. P., Jacobs, S., Coe, E., Larsen, S., &amp; Hsu, E. (2002). </w:t>
      </w:r>
      <w:r w:rsidRPr="00043F4A">
        <w:rPr>
          <w:lang w:val="en-US"/>
        </w:rPr>
        <w:t>Applying covariational reasoning while modeling dynamic events: A framework and a study. Journal for Research in Mathematics Education, 33(5), 352–378. https://doi.org/10.2307/4149958</w:t>
      </w:r>
    </w:p>
    <w:p w:rsidR="00727B11" w:rsidRPr="00043F4A" w:rsidRDefault="00043F4A">
      <w:pPr>
        <w:spacing w:after="100" w:line="276" w:lineRule="auto"/>
        <w:ind w:left="720" w:hanging="720"/>
        <w:rPr>
          <w:lang w:val="en-US"/>
        </w:rPr>
      </w:pPr>
      <w:proofErr w:type="spellStart"/>
      <w:r w:rsidRPr="00043F4A">
        <w:rPr>
          <w:lang w:val="en-US"/>
        </w:rPr>
        <w:t>Chien</w:t>
      </w:r>
      <w:proofErr w:type="spellEnd"/>
      <w:r w:rsidRPr="00043F4A">
        <w:rPr>
          <w:lang w:val="en-US"/>
        </w:rPr>
        <w:t>, T. M., Leong, K. E., &amp; Chua, K. H. (2026). Design-based research on instructional lessons for differential calculus incorporating Desmos. Infinity Journal, 15(2), 345–370. https://doi.org/10.22460/infinity.v15i2.p345-370</w:t>
      </w:r>
    </w:p>
    <w:p w:rsidR="00727B11" w:rsidRPr="00043F4A" w:rsidRDefault="00043F4A">
      <w:pPr>
        <w:spacing w:after="100" w:line="276" w:lineRule="auto"/>
        <w:ind w:left="720" w:hanging="720"/>
        <w:rPr>
          <w:lang w:val="en-US"/>
        </w:rPr>
      </w:pPr>
      <w:r w:rsidRPr="00043F4A">
        <w:rPr>
          <w:lang w:val="en-US"/>
        </w:rPr>
        <w:lastRenderedPageBreak/>
        <w:t xml:space="preserve">Cobb, P., </w:t>
      </w:r>
      <w:proofErr w:type="spellStart"/>
      <w:r w:rsidRPr="00043F4A">
        <w:rPr>
          <w:lang w:val="en-US"/>
        </w:rPr>
        <w:t>Confrey</w:t>
      </w:r>
      <w:proofErr w:type="spellEnd"/>
      <w:r w:rsidRPr="00043F4A">
        <w:rPr>
          <w:lang w:val="en-US"/>
        </w:rPr>
        <w:t xml:space="preserve">, J., </w:t>
      </w:r>
      <w:proofErr w:type="spellStart"/>
      <w:r w:rsidRPr="00043F4A">
        <w:rPr>
          <w:lang w:val="en-US"/>
        </w:rPr>
        <w:t>diSessa</w:t>
      </w:r>
      <w:proofErr w:type="spellEnd"/>
      <w:r w:rsidRPr="00043F4A">
        <w:rPr>
          <w:lang w:val="en-US"/>
        </w:rPr>
        <w:t xml:space="preserve">, A., Lehrer, R., &amp; </w:t>
      </w:r>
      <w:proofErr w:type="spellStart"/>
      <w:r w:rsidRPr="00043F4A">
        <w:rPr>
          <w:lang w:val="en-US"/>
        </w:rPr>
        <w:t>Schauble</w:t>
      </w:r>
      <w:proofErr w:type="spellEnd"/>
      <w:r w:rsidRPr="00043F4A">
        <w:rPr>
          <w:lang w:val="en-US"/>
        </w:rPr>
        <w:t>, L. (2003). Design experiments in educational research. Educational Researcher, 32(1), 9–13. https://doi.org/10.3102/0013189X032001009</w:t>
      </w:r>
    </w:p>
    <w:p w:rsidR="00727B11" w:rsidRPr="00043F4A" w:rsidRDefault="00043F4A">
      <w:pPr>
        <w:spacing w:after="100" w:line="276" w:lineRule="auto"/>
        <w:ind w:left="720" w:hanging="720"/>
        <w:rPr>
          <w:lang w:val="en-US"/>
        </w:rPr>
      </w:pPr>
      <w:r w:rsidRPr="00043F4A">
        <w:rPr>
          <w:lang w:val="en-US"/>
        </w:rPr>
        <w:t xml:space="preserve">Dai, W., Tsai, Y.-S., Lin, J., </w:t>
      </w:r>
      <w:proofErr w:type="spellStart"/>
      <w:r w:rsidRPr="00043F4A">
        <w:rPr>
          <w:lang w:val="en-US"/>
        </w:rPr>
        <w:t>Aldino</w:t>
      </w:r>
      <w:proofErr w:type="spellEnd"/>
      <w:r w:rsidRPr="00043F4A">
        <w:rPr>
          <w:lang w:val="en-US"/>
        </w:rPr>
        <w:t xml:space="preserve">, A., </w:t>
      </w:r>
      <w:proofErr w:type="spellStart"/>
      <w:r w:rsidRPr="00043F4A">
        <w:rPr>
          <w:lang w:val="en-US"/>
        </w:rPr>
        <w:t>Jin</w:t>
      </w:r>
      <w:proofErr w:type="spellEnd"/>
      <w:r w:rsidRPr="00043F4A">
        <w:rPr>
          <w:lang w:val="en-US"/>
        </w:rPr>
        <w:t xml:space="preserve">, H., Li, T., </w:t>
      </w:r>
      <w:proofErr w:type="spellStart"/>
      <w:r w:rsidRPr="00043F4A">
        <w:rPr>
          <w:lang w:val="en-US"/>
        </w:rPr>
        <w:t>Gašević</w:t>
      </w:r>
      <w:proofErr w:type="spellEnd"/>
      <w:r w:rsidRPr="00043F4A">
        <w:rPr>
          <w:lang w:val="en-US"/>
        </w:rPr>
        <w:t>, D., &amp; Chen, G. (2024). Assessing the proficiency of large language models in automatic feedback generation: An evaluation study. Computers and Education: Artificial Intelligence, 7, 100299. https://doi.org/10.1016/j.caeai.2024.100299</w:t>
      </w:r>
    </w:p>
    <w:p w:rsidR="00727B11" w:rsidRDefault="00043F4A">
      <w:pPr>
        <w:spacing w:after="100" w:line="276" w:lineRule="auto"/>
        <w:ind w:left="720" w:hanging="720"/>
      </w:pPr>
      <w:r w:rsidRPr="00043F4A">
        <w:rPr>
          <w:lang w:val="en-US"/>
        </w:rPr>
        <w:t xml:space="preserve">Dubinsky, E., &amp; McDonald, M. A. (2001). APOS: A constructivist theory of learning in undergraduate mathematics education research. In D. Holton (Ed.), The teaching and learning of mathematics at university level (pp. 273–280). </w:t>
      </w:r>
      <w:proofErr w:type="spellStart"/>
      <w:r>
        <w:t>Kluwer</w:t>
      </w:r>
      <w:proofErr w:type="spellEnd"/>
      <w:r>
        <w:t xml:space="preserve"> </w:t>
      </w:r>
      <w:proofErr w:type="spellStart"/>
      <w:r>
        <w:t>Academic</w:t>
      </w:r>
      <w:proofErr w:type="spellEnd"/>
      <w:r>
        <w:t xml:space="preserve"> </w:t>
      </w:r>
      <w:proofErr w:type="spellStart"/>
      <w:r>
        <w:t>Publishers</w:t>
      </w:r>
      <w:proofErr w:type="spellEnd"/>
      <w:r>
        <w:t>. https://doi.org/10.1007/0-306-47231-7_25</w:t>
      </w:r>
    </w:p>
    <w:p w:rsidR="00727B11" w:rsidRDefault="00043F4A">
      <w:pPr>
        <w:spacing w:after="100" w:line="276" w:lineRule="auto"/>
        <w:ind w:left="720" w:hanging="720"/>
      </w:pPr>
      <w:r>
        <w:t>Fuentealba, C. E., Cárcamo, A. D., Badillo, E. R., &amp; Sánchez-Matamoros, G. M. (2023). Análisis de errores en tareas sobre el concepto de derivada: una mirada desde la teoría APOE (Acción, Proceso, Objeto, y Esquema). Formación Universitaria, 16(3), 41–50. https://doi.org/10.4067/S0718-50062023000300041</w:t>
      </w:r>
    </w:p>
    <w:p w:rsidR="00727B11" w:rsidRPr="00043F4A" w:rsidRDefault="00043F4A">
      <w:pPr>
        <w:spacing w:after="100" w:line="276" w:lineRule="auto"/>
        <w:ind w:left="720" w:hanging="720"/>
        <w:rPr>
          <w:lang w:val="en-US"/>
        </w:rPr>
      </w:pPr>
      <w:r>
        <w:t xml:space="preserve">Hattie, J., &amp; Timperley, H. (2007). </w:t>
      </w:r>
      <w:r w:rsidRPr="00043F4A">
        <w:rPr>
          <w:lang w:val="en-US"/>
        </w:rPr>
        <w:t>The power of feedback. Review of Educational Research, 77(1), 81–112. https://doi.org/10.3102/003465430298487</w:t>
      </w:r>
    </w:p>
    <w:p w:rsidR="00727B11" w:rsidRPr="001A00FB" w:rsidRDefault="00043F4A">
      <w:pPr>
        <w:spacing w:after="100" w:line="276" w:lineRule="auto"/>
        <w:ind w:left="720" w:hanging="720"/>
      </w:pPr>
      <w:r w:rsidRPr="00043F4A">
        <w:rPr>
          <w:lang w:val="en-US"/>
        </w:rPr>
        <w:t xml:space="preserve">Huang, C.-H. (2011). Engineering students’ conceptual understanding of the derivative in calculus. </w:t>
      </w:r>
      <w:r w:rsidRPr="001A00FB">
        <w:t>World Transactions on Engineering and Technology Education, 9(4), 209–214.</w:t>
      </w:r>
    </w:p>
    <w:p w:rsidR="007018F5" w:rsidRPr="007018F5" w:rsidRDefault="007018F5">
      <w:pPr>
        <w:spacing w:after="100" w:line="276" w:lineRule="auto"/>
        <w:ind w:left="720" w:hanging="720"/>
      </w:pPr>
      <w:r w:rsidRPr="007018F5">
        <w:t xml:space="preserve">Ley 1581 de 2012. Por la cual se dictan disposiciones generales para la protección de datos personales. 18 de octubre de 2012. Diario Oficial No. 48.587. </w:t>
      </w:r>
      <w:hyperlink r:id="rId8" w:history="1">
        <w:r w:rsidRPr="00C03FC3">
          <w:rPr>
            <w:rStyle w:val="Hipervnculo"/>
          </w:rPr>
          <w:t>https://www.funcionpublica.gov.co/eva/gestornormativo/norma.php?i=49981</w:t>
        </w:r>
      </w:hyperlink>
      <w:r>
        <w:t xml:space="preserve"> </w:t>
      </w:r>
    </w:p>
    <w:p w:rsidR="00727B11" w:rsidRPr="00043F4A" w:rsidRDefault="00043F4A">
      <w:pPr>
        <w:spacing w:after="100" w:line="276" w:lineRule="auto"/>
        <w:ind w:left="720" w:hanging="720"/>
        <w:rPr>
          <w:lang w:val="en-US"/>
        </w:rPr>
      </w:pPr>
      <w:r w:rsidRPr="007018F5">
        <w:t xml:space="preserve">Luna González, J., Ruiz Chávez, O., Loera Ochoa, E. J., Barrón López, J. V., &amp; Salazar Álvarez, M. C. (2013). </w:t>
      </w:r>
      <w:r>
        <w:t xml:space="preserve">Comprensión del concepto de la derivada como razón de cambio. </w:t>
      </w:r>
      <w:proofErr w:type="spellStart"/>
      <w:r w:rsidRPr="00043F4A">
        <w:rPr>
          <w:lang w:val="en-US"/>
        </w:rPr>
        <w:t>CULCyT</w:t>
      </w:r>
      <w:proofErr w:type="spellEnd"/>
      <w:r w:rsidRPr="00043F4A">
        <w:rPr>
          <w:lang w:val="en-US"/>
        </w:rPr>
        <w:t xml:space="preserve">: </w:t>
      </w:r>
      <w:proofErr w:type="spellStart"/>
      <w:r w:rsidRPr="00043F4A">
        <w:rPr>
          <w:lang w:val="en-US"/>
        </w:rPr>
        <w:t>Cultura</w:t>
      </w:r>
      <w:proofErr w:type="spellEnd"/>
      <w:r w:rsidRPr="00043F4A">
        <w:rPr>
          <w:lang w:val="en-US"/>
        </w:rPr>
        <w:t xml:space="preserve"> </w:t>
      </w:r>
      <w:proofErr w:type="spellStart"/>
      <w:r w:rsidRPr="00043F4A">
        <w:rPr>
          <w:lang w:val="en-US"/>
        </w:rPr>
        <w:t>Científica</w:t>
      </w:r>
      <w:proofErr w:type="spellEnd"/>
      <w:r w:rsidRPr="00043F4A">
        <w:rPr>
          <w:lang w:val="en-US"/>
        </w:rPr>
        <w:t xml:space="preserve"> y </w:t>
      </w:r>
      <w:proofErr w:type="spellStart"/>
      <w:r w:rsidRPr="00043F4A">
        <w:rPr>
          <w:lang w:val="en-US"/>
        </w:rPr>
        <w:t>Tecnológica</w:t>
      </w:r>
      <w:proofErr w:type="spellEnd"/>
      <w:r w:rsidRPr="00043F4A">
        <w:rPr>
          <w:lang w:val="en-US"/>
        </w:rPr>
        <w:t>, 10(51, Especial 1), 4–14.</w:t>
      </w:r>
    </w:p>
    <w:p w:rsidR="00727B11" w:rsidRPr="00043F4A" w:rsidRDefault="00043F4A">
      <w:pPr>
        <w:spacing w:after="100" w:line="276" w:lineRule="auto"/>
        <w:ind w:left="720" w:hanging="720"/>
        <w:rPr>
          <w:lang w:val="en-US"/>
        </w:rPr>
      </w:pPr>
      <w:proofErr w:type="spellStart"/>
      <w:r w:rsidRPr="00043F4A">
        <w:rPr>
          <w:lang w:val="en-US"/>
        </w:rPr>
        <w:t>Mkhatshwa</w:t>
      </w:r>
      <w:proofErr w:type="spellEnd"/>
      <w:r w:rsidRPr="00043F4A">
        <w:rPr>
          <w:lang w:val="en-US"/>
        </w:rPr>
        <w:t>, T. P. (2020). Calculus students’ quantitative reasoning in the context of solving related rates of change problems. Mathematical Thinking and Learning, 22(2), 139–161. https://doi.org/10.1080/10986065.2019.1658055</w:t>
      </w:r>
    </w:p>
    <w:p w:rsidR="00727B11" w:rsidRPr="00043F4A" w:rsidRDefault="00043F4A">
      <w:pPr>
        <w:spacing w:after="100" w:line="276" w:lineRule="auto"/>
        <w:ind w:left="720" w:hanging="720"/>
        <w:rPr>
          <w:lang w:val="en-US"/>
        </w:rPr>
      </w:pPr>
      <w:proofErr w:type="spellStart"/>
      <w:r w:rsidRPr="00043F4A">
        <w:rPr>
          <w:lang w:val="en-US"/>
        </w:rPr>
        <w:t>Mkhatshwa</w:t>
      </w:r>
      <w:proofErr w:type="spellEnd"/>
      <w:r w:rsidRPr="00043F4A">
        <w:rPr>
          <w:lang w:val="en-US"/>
        </w:rPr>
        <w:t>, T. P. (2024). Best practices for teaching the concept of the derivative: Lessons from experienced calculus instructors. EURASIA Journal of Mathematics, Science and Technology Education, 20(4), em2426. https://doi.org/10.29333/ejmste/14380</w:t>
      </w:r>
    </w:p>
    <w:p w:rsidR="00727B11" w:rsidRPr="00043F4A" w:rsidRDefault="00043F4A">
      <w:pPr>
        <w:spacing w:after="100" w:line="276" w:lineRule="auto"/>
        <w:ind w:left="720" w:hanging="720"/>
        <w:rPr>
          <w:lang w:val="en-US"/>
        </w:rPr>
      </w:pPr>
      <w:proofErr w:type="spellStart"/>
      <w:r w:rsidRPr="00043F4A">
        <w:rPr>
          <w:lang w:val="en-US"/>
        </w:rPr>
        <w:t>Moru</w:t>
      </w:r>
      <w:proofErr w:type="spellEnd"/>
      <w:r w:rsidRPr="00043F4A">
        <w:rPr>
          <w:lang w:val="en-US"/>
        </w:rPr>
        <w:t>, E. K. (2020). An APOS analysis of university students’ understanding of derivatives: A Lesotho case study. African Journal of Research in Mathematics, Science and Technology Education, 24(2), 279–292. https://doi.org/10.1080/18117295.2020.1821500</w:t>
      </w:r>
    </w:p>
    <w:p w:rsidR="00727B11" w:rsidRPr="00043F4A" w:rsidRDefault="00043F4A">
      <w:pPr>
        <w:spacing w:after="100" w:line="276" w:lineRule="auto"/>
        <w:ind w:left="720" w:hanging="720"/>
        <w:rPr>
          <w:lang w:val="en-US"/>
        </w:rPr>
      </w:pPr>
      <w:r>
        <w:t xml:space="preserve">Nga, N. T., Dung, T. M., Trung, T. B. T., Nguyen, T.-T., Tong, D. H., Van, T. Q., &amp; Uyen, B. P. (2023). </w:t>
      </w:r>
      <w:r w:rsidRPr="00043F4A">
        <w:rPr>
          <w:lang w:val="en-US"/>
        </w:rPr>
        <w:t>The effectiveness of teaching derivatives in Vietnamese high schools using APOS theory and ACE learning cycle. European Journal of Educational Research, 12(1), 507–523. https://doi.org/10.12973/eu-jer.12.1.507</w:t>
      </w:r>
    </w:p>
    <w:p w:rsidR="00727B11" w:rsidRPr="00043F4A" w:rsidRDefault="00043F4A">
      <w:pPr>
        <w:spacing w:after="100" w:line="276" w:lineRule="auto"/>
        <w:ind w:left="720" w:hanging="720"/>
        <w:rPr>
          <w:lang w:val="en-US"/>
        </w:rPr>
      </w:pPr>
      <w:r w:rsidRPr="00043F4A">
        <w:rPr>
          <w:lang w:val="en-US"/>
        </w:rPr>
        <w:lastRenderedPageBreak/>
        <w:t>Nicol, D. J., &amp; Macfarlane-Dick, D. (2006). Formative assessment and self-regulated learning: A model and seven principles of good feedback practice. Studies in Higher Education, 31(2), 199–218. https://doi.org/10.1080/03075070600572090</w:t>
      </w:r>
    </w:p>
    <w:p w:rsidR="00727B11" w:rsidRPr="00043F4A" w:rsidRDefault="00043F4A">
      <w:pPr>
        <w:spacing w:after="100" w:line="276" w:lineRule="auto"/>
        <w:ind w:left="720" w:hanging="720"/>
        <w:rPr>
          <w:lang w:val="en-US"/>
        </w:rPr>
      </w:pPr>
      <w:proofErr w:type="spellStart"/>
      <w:r w:rsidRPr="00043F4A">
        <w:rPr>
          <w:lang w:val="en-US"/>
        </w:rPr>
        <w:t>Soku</w:t>
      </w:r>
      <w:proofErr w:type="spellEnd"/>
      <w:r w:rsidRPr="00043F4A">
        <w:rPr>
          <w:lang w:val="en-US"/>
        </w:rPr>
        <w:t>, F. A., Okyere, G. A., &amp; Awuah, F. K. (2025). APOS theory-based research in mathematics education: A systematic literature review. East African Journal of Education Studies, 8(2), 549–561. https://doi.org/10.37284/eajes.8.2.3070</w:t>
      </w:r>
    </w:p>
    <w:p w:rsidR="00727B11" w:rsidRPr="00043F4A" w:rsidRDefault="00043F4A">
      <w:pPr>
        <w:spacing w:after="100" w:line="276" w:lineRule="auto"/>
        <w:ind w:left="720" w:hanging="720"/>
        <w:rPr>
          <w:lang w:val="en-US"/>
        </w:rPr>
      </w:pPr>
      <w:r w:rsidRPr="005E2810">
        <w:t xml:space="preserve">Trigueros, M., Badillo, E., Sánchez-Matamoros, G., &amp; Hernández-Rebollar, L. A. (2024). </w:t>
      </w:r>
      <w:r w:rsidRPr="00043F4A">
        <w:rPr>
          <w:lang w:val="en-US"/>
        </w:rPr>
        <w:t>Contributions to the characterization of the Schema using APOS theory: Graphing with derivative. ZDM – Mathematics Education, 56, 1093–1108. https://doi.org/10.1007/s11858-024-01615-6</w:t>
      </w:r>
    </w:p>
    <w:p w:rsidR="00727B11" w:rsidRPr="00043F4A" w:rsidRDefault="00043F4A">
      <w:pPr>
        <w:spacing w:after="100" w:line="276" w:lineRule="auto"/>
        <w:ind w:left="720" w:hanging="720"/>
        <w:rPr>
          <w:lang w:val="en-US"/>
        </w:rPr>
      </w:pPr>
      <w:r w:rsidRPr="00043F4A">
        <w:rPr>
          <w:lang w:val="en-US"/>
        </w:rPr>
        <w:t>UNESCO. (2023). Guidance for generative AI in education and research. https://unesdoc.unesco.org/ark:/48223/pf0000389227</w:t>
      </w:r>
    </w:p>
    <w:p w:rsidR="00727B11" w:rsidRPr="00043F4A" w:rsidRDefault="00043F4A">
      <w:pPr>
        <w:spacing w:after="100" w:line="276" w:lineRule="auto"/>
        <w:ind w:left="720" w:hanging="720"/>
        <w:rPr>
          <w:lang w:val="en-US"/>
        </w:rPr>
      </w:pPr>
      <w:proofErr w:type="spellStart"/>
      <w:r w:rsidRPr="00043F4A">
        <w:rPr>
          <w:lang w:val="en-US"/>
        </w:rPr>
        <w:t>Urhan</w:t>
      </w:r>
      <w:proofErr w:type="spellEnd"/>
      <w:r w:rsidRPr="00043F4A">
        <w:rPr>
          <w:lang w:val="en-US"/>
        </w:rPr>
        <w:t xml:space="preserve">, S., </w:t>
      </w:r>
      <w:proofErr w:type="spellStart"/>
      <w:r w:rsidRPr="00043F4A">
        <w:rPr>
          <w:lang w:val="en-US"/>
        </w:rPr>
        <w:t>Gençaslan</w:t>
      </w:r>
      <w:proofErr w:type="spellEnd"/>
      <w:r w:rsidRPr="00043F4A">
        <w:rPr>
          <w:lang w:val="en-US"/>
        </w:rPr>
        <w:t xml:space="preserve">, O., &amp; Dost, Ş. (2024). An argumentation experience regarding concepts of calculus with </w:t>
      </w:r>
      <w:proofErr w:type="spellStart"/>
      <w:r w:rsidRPr="00043F4A">
        <w:rPr>
          <w:lang w:val="en-US"/>
        </w:rPr>
        <w:t>ChatGPT</w:t>
      </w:r>
      <w:proofErr w:type="spellEnd"/>
      <w:r w:rsidRPr="00043F4A">
        <w:rPr>
          <w:lang w:val="en-US"/>
        </w:rPr>
        <w:t>. Interactive Learning Environments, 32(10), 7186–7211. https://doi.org/10.1080/10494820.2024.2308093</w:t>
      </w:r>
    </w:p>
    <w:p w:rsidR="00727B11" w:rsidRPr="00043F4A" w:rsidRDefault="00043F4A">
      <w:pPr>
        <w:spacing w:after="100" w:line="276" w:lineRule="auto"/>
        <w:ind w:left="720" w:hanging="720"/>
        <w:rPr>
          <w:lang w:val="en-US"/>
        </w:rPr>
      </w:pPr>
      <w:r w:rsidRPr="00043F4A">
        <w:rPr>
          <w:lang w:val="en-US"/>
        </w:rPr>
        <w:t>Wan, T., &amp; Chen, Z. (2024). Exploring generative AI assisted feedback writing for students’ written responses to a physics conceptual question with prompt engineering and few-shot learning. Physical Review Physics Education Research, 20(1), 010152. https://doi.org/10.1103/PhysRevPhysEducRes.20.010152</w:t>
      </w:r>
    </w:p>
    <w:p w:rsidR="00727B11" w:rsidRPr="00043F4A" w:rsidRDefault="00043F4A">
      <w:pPr>
        <w:spacing w:after="100" w:line="276" w:lineRule="auto"/>
        <w:ind w:left="720" w:hanging="720"/>
        <w:rPr>
          <w:lang w:val="en-US"/>
        </w:rPr>
      </w:pPr>
      <w:proofErr w:type="spellStart"/>
      <w:r w:rsidRPr="00043F4A">
        <w:rPr>
          <w:lang w:val="en-US"/>
        </w:rPr>
        <w:t>Zandieh</w:t>
      </w:r>
      <w:proofErr w:type="spellEnd"/>
      <w:r w:rsidRPr="00043F4A">
        <w:rPr>
          <w:lang w:val="en-US"/>
        </w:rPr>
        <w:t>, M. (2000). A theoretical framework for analyzing student understanding of the concept of derivative. In E. Dubinsky, A. H. Schoenfeld, &amp; J. Kaput (Eds.), Research in Collegiate Mathematics Education IV (CBMS Issues in Mathematics Education, Vol. 8, pp. 103–127). American Mathematical Society.</w:t>
      </w:r>
    </w:p>
    <w:p w:rsidR="00727B11" w:rsidRDefault="00043F4A">
      <w:pPr>
        <w:spacing w:after="100" w:line="276" w:lineRule="auto"/>
        <w:ind w:left="720" w:hanging="720"/>
      </w:pPr>
      <w:r w:rsidRPr="00043F4A">
        <w:rPr>
          <w:lang w:val="en-US"/>
        </w:rPr>
        <w:t xml:space="preserve">Zhang, J., &amp; Feng, C. (2026). A study on teaching derivatives based on APOS theory and multiple representation theory: A random forest approach. In Proceedings of the 2025 2nd International Conference on Artificial Intelligence and Future Education (AIFE ’25). </w:t>
      </w:r>
      <w:proofErr w:type="spellStart"/>
      <w:r>
        <w:t>Association</w:t>
      </w:r>
      <w:proofErr w:type="spellEnd"/>
      <w:r>
        <w:t xml:space="preserve"> </w:t>
      </w:r>
      <w:proofErr w:type="spellStart"/>
      <w:r>
        <w:t>for</w:t>
      </w:r>
      <w:proofErr w:type="spellEnd"/>
      <w:r>
        <w:t xml:space="preserve"> Computing </w:t>
      </w:r>
      <w:proofErr w:type="spellStart"/>
      <w:r>
        <w:t>Machinery</w:t>
      </w:r>
      <w:proofErr w:type="spellEnd"/>
      <w:r>
        <w:t>. https://doi.org/10.1145/3785987.3786096</w:t>
      </w:r>
    </w:p>
    <w:p w:rsidR="00727B11" w:rsidRDefault="00043F4A">
      <w:pPr>
        <w:pStyle w:val="Ttulo1"/>
        <w:keepNext/>
        <w:spacing w:before="280" w:line="276" w:lineRule="auto"/>
        <w:jc w:val="center"/>
      </w:pPr>
      <w:r>
        <w:t>ANEXOS</w:t>
      </w:r>
    </w:p>
    <w:p w:rsidR="00727B11" w:rsidRDefault="00043F4A">
      <w:r>
        <w:br w:type="page"/>
      </w:r>
    </w:p>
    <w:p w:rsidR="00727B11" w:rsidRDefault="00043F4A">
      <w:pPr>
        <w:pStyle w:val="Ttulo1"/>
        <w:keepNext/>
        <w:spacing w:before="280" w:line="276" w:lineRule="auto"/>
        <w:jc w:val="center"/>
      </w:pPr>
      <w:r>
        <w:lastRenderedPageBreak/>
        <w:t>ANEXO A. MATRIZ APOE PRELIMINAR PARA LA COMPRENSIÓN DE LA DERIVADA COMO RAZÓN DE CAMBIO INSTANTÁNEA</w:t>
      </w:r>
    </w:p>
    <w:p w:rsidR="00727B11" w:rsidRDefault="00043F4A">
      <w:pPr>
        <w:spacing w:after="160" w:line="276" w:lineRule="auto"/>
        <w:jc w:val="center"/>
      </w:pPr>
      <w:r>
        <w:t>Versión completa del documento de fundamentación y núcleo clasificable en proceso de validación.</w:t>
      </w:r>
    </w:p>
    <w:p w:rsidR="00043F4A" w:rsidRDefault="00043F4A">
      <w:pPr>
        <w:spacing w:after="160" w:line="276" w:lineRule="auto"/>
        <w:jc w:val="center"/>
      </w:pPr>
      <w:r>
        <w:rPr>
          <w:b/>
          <w:bCs/>
          <w:color w:val="1F3864"/>
          <w:sz w:val="27"/>
          <w:szCs w:val="32"/>
        </w:rPr>
        <w:t>DOCUMENTO DE FUNDAMENTACIÓN</w:t>
      </w:r>
    </w:p>
    <w:p w:rsidR="00043F4A" w:rsidRDefault="00043F4A">
      <w:pPr>
        <w:spacing w:after="160" w:line="276" w:lineRule="auto"/>
        <w:jc w:val="center"/>
      </w:pPr>
      <w:r>
        <w:rPr>
          <w:b/>
          <w:bCs/>
          <w:sz w:val="27"/>
          <w:szCs w:val="27"/>
        </w:rPr>
        <w:t>Matriz APOE propuesta para la comprensión de la derivada como razón de cambio instantánea</w:t>
      </w:r>
    </w:p>
    <w:p w:rsidR="00043F4A" w:rsidRDefault="00043F4A">
      <w:pPr>
        <w:spacing w:after="160" w:line="276" w:lineRule="auto"/>
        <w:jc w:val="center"/>
      </w:pPr>
      <w:r>
        <w:rPr>
          <w:i/>
          <w:iCs/>
        </w:rPr>
        <w:t>Comprensión variacional, representacional y contextual en Cálculo Diferencial, estudiantes de Ingeniería</w:t>
      </w:r>
    </w:p>
    <w:p w:rsidR="00043F4A" w:rsidRDefault="00043F4A">
      <w:pPr>
        <w:spacing w:after="160" w:line="276" w:lineRule="auto"/>
        <w:jc w:val="center"/>
      </w:pPr>
      <w:r>
        <w:rPr>
          <w:sz w:val="21"/>
          <w:szCs w:val="22"/>
        </w:rPr>
        <w:t xml:space="preserve">Eder Santiago Martelo </w:t>
      </w:r>
      <w:proofErr w:type="gramStart"/>
      <w:r>
        <w:rPr>
          <w:sz w:val="21"/>
          <w:szCs w:val="22"/>
        </w:rPr>
        <w:t>Gómez  |</w:t>
      </w:r>
      <w:proofErr w:type="gramEnd"/>
      <w:r>
        <w:rPr>
          <w:sz w:val="21"/>
          <w:szCs w:val="22"/>
        </w:rPr>
        <w:t xml:space="preserve">  Universidad de Manizales  |  2026  |  Documento de trabajo: instrumento propuesto, en proceso de validación de contenido</w:t>
      </w:r>
    </w:p>
    <w:tbl>
      <w:tblPr>
        <w:tblW w:w="9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43"/>
      </w:tblGrid>
      <w:tr w:rsidR="00043F4A">
        <w:trPr>
          <w:cantSplit/>
          <w:jc w:val="center"/>
        </w:trPr>
        <w:tc>
          <w:tcPr>
            <w:tcW w:w="9343" w:type="dxa"/>
            <w:shd w:val="clear" w:color="auto" w:fill="F2F2F2"/>
            <w:tcMar>
              <w:top w:w="45" w:type="dxa"/>
              <w:left w:w="55" w:type="dxa"/>
              <w:bottom w:w="45" w:type="dxa"/>
              <w:right w:w="55" w:type="dxa"/>
            </w:tcMar>
          </w:tcPr>
          <w:p w:rsidR="00043F4A" w:rsidRDefault="00043F4A">
            <w:pPr>
              <w:spacing w:after="40"/>
            </w:pPr>
            <w:r>
              <w:rPr>
                <w:b/>
                <w:bCs/>
                <w:sz w:val="18"/>
              </w:rPr>
              <w:t>Naturaleza de este documento</w:t>
            </w:r>
          </w:p>
          <w:p w:rsidR="00043F4A" w:rsidRDefault="00043F4A">
            <w:pPr>
              <w:spacing w:after="40"/>
            </w:pPr>
            <w:r>
              <w:rPr>
                <w:szCs w:val="23"/>
              </w:rPr>
              <w:t>Este documento presenta una propuesta preliminar de matriz analítica basada en la teoría APOE, orientada a interpretar la comprensión de la derivada como razón de cambio instantánea en estudiantes de un curso de Cálculo Diferencial de ingeniería. El constructo evaluado integra tres componentes: comprensión variacional (razón de cambio, variación local, razón promedio frente a razón instantánea), representacional (relación gráfica, simbólica y verbal) y contextual (comparación, predicción, decisión y transferencia).</w:t>
            </w:r>
          </w:p>
          <w:p w:rsidR="00043F4A" w:rsidRDefault="00043F4A">
            <w:pPr>
              <w:spacing w:after="40"/>
            </w:pPr>
            <w:r>
              <w:rPr>
                <w:szCs w:val="23"/>
              </w:rPr>
              <w:t xml:space="preserve">La matriz se fundamenta en la descomposición genética de la derivada formulada por </w:t>
            </w:r>
            <w:proofErr w:type="spellStart"/>
            <w:r>
              <w:rPr>
                <w:szCs w:val="23"/>
              </w:rPr>
              <w:t>Asiala</w:t>
            </w:r>
            <w:proofErr w:type="spellEnd"/>
            <w:r>
              <w:rPr>
                <w:szCs w:val="23"/>
              </w:rPr>
              <w:t xml:space="preserve">, </w:t>
            </w:r>
            <w:proofErr w:type="spellStart"/>
            <w:r>
              <w:rPr>
                <w:szCs w:val="23"/>
              </w:rPr>
              <w:t>Cottrill</w:t>
            </w:r>
            <w:proofErr w:type="spellEnd"/>
            <w:r>
              <w:rPr>
                <w:szCs w:val="23"/>
              </w:rPr>
              <w:t xml:space="preserve">, </w:t>
            </w:r>
            <w:proofErr w:type="spellStart"/>
            <w:r>
              <w:rPr>
                <w:szCs w:val="23"/>
              </w:rPr>
              <w:t>Dubinsky</w:t>
            </w:r>
            <w:proofErr w:type="spellEnd"/>
            <w:r>
              <w:rPr>
                <w:szCs w:val="23"/>
              </w:rPr>
              <w:t xml:space="preserve"> y </w:t>
            </w:r>
            <w:proofErr w:type="spellStart"/>
            <w:r>
              <w:rPr>
                <w:szCs w:val="23"/>
              </w:rPr>
              <w:t>Schwingendorf</w:t>
            </w:r>
            <w:proofErr w:type="spellEnd"/>
            <w:r>
              <w:rPr>
                <w:szCs w:val="23"/>
              </w:rPr>
              <w:t xml:space="preserve"> (1997) y en su refinamiento con énfasis gráfico propuesto por </w:t>
            </w:r>
            <w:proofErr w:type="spellStart"/>
            <w:r>
              <w:rPr>
                <w:szCs w:val="23"/>
              </w:rPr>
              <w:t>Borji</w:t>
            </w:r>
            <w:proofErr w:type="spellEnd"/>
            <w:r>
              <w:rPr>
                <w:szCs w:val="23"/>
              </w:rPr>
              <w:t xml:space="preserve">, </w:t>
            </w:r>
            <w:proofErr w:type="spellStart"/>
            <w:r>
              <w:rPr>
                <w:szCs w:val="23"/>
              </w:rPr>
              <w:t>Alamolhodaei</w:t>
            </w:r>
            <w:proofErr w:type="spellEnd"/>
            <w:r>
              <w:rPr>
                <w:szCs w:val="23"/>
              </w:rPr>
              <w:t xml:space="preserve"> y </w:t>
            </w:r>
            <w:proofErr w:type="spellStart"/>
            <w:r>
              <w:rPr>
                <w:szCs w:val="23"/>
              </w:rPr>
              <w:t>Radmehr</w:t>
            </w:r>
            <w:proofErr w:type="spellEnd"/>
            <w:r>
              <w:rPr>
                <w:szCs w:val="23"/>
              </w:rPr>
              <w:t xml:space="preserve"> (2018). Su alcance se delimita a la interpretación del valor de la derivada, y no a la reconstrucción de la ruta analítica completa, con fundamento en investigación previa sobre estudiantes de ingeniería (</w:t>
            </w:r>
            <w:proofErr w:type="spellStart"/>
            <w:r>
              <w:rPr>
                <w:szCs w:val="23"/>
              </w:rPr>
              <w:t>Bingolbali</w:t>
            </w:r>
            <w:proofErr w:type="spellEnd"/>
            <w:r>
              <w:rPr>
                <w:szCs w:val="23"/>
              </w:rPr>
              <w:t xml:space="preserve">, Monaghan y </w:t>
            </w:r>
            <w:proofErr w:type="spellStart"/>
            <w:r>
              <w:rPr>
                <w:szCs w:val="23"/>
              </w:rPr>
              <w:t>Roper</w:t>
            </w:r>
            <w:proofErr w:type="spellEnd"/>
            <w:r>
              <w:rPr>
                <w:szCs w:val="23"/>
              </w:rPr>
              <w:t xml:space="preserve">, 2007; </w:t>
            </w:r>
            <w:proofErr w:type="spellStart"/>
            <w:r>
              <w:rPr>
                <w:szCs w:val="23"/>
              </w:rPr>
              <w:t>Bezuidenhout</w:t>
            </w:r>
            <w:proofErr w:type="spellEnd"/>
            <w:r>
              <w:rPr>
                <w:szCs w:val="23"/>
              </w:rPr>
              <w:t>, 1998).</w:t>
            </w:r>
          </w:p>
          <w:p w:rsidR="00043F4A" w:rsidRDefault="00043F4A">
            <w:pPr>
              <w:spacing w:after="40"/>
            </w:pPr>
            <w:r>
              <w:rPr>
                <w:szCs w:val="23"/>
              </w:rPr>
              <w:t>El presente documento constituye el núcleo clasificable del instrumento: el conjunto de criterios que se someterá a validación de contenido por juicio de expertos. No incluye material de apoyo pedagógico (retroalimentación o advertencias para el docente), el cual se desarrollará en un documento operativo posterior, una vez validado este núcleo. La matriz aquí presentada es una propuesta preliminar y no constituye, en su estado actual, un instrumento validado.</w:t>
            </w:r>
          </w:p>
        </w:tc>
      </w:tr>
    </w:tbl>
    <w:p w:rsidR="00043F4A" w:rsidRDefault="00043F4A">
      <w:pPr>
        <w:pStyle w:val="Ttulo1"/>
        <w:keepNext/>
        <w:spacing w:before="280" w:line="276" w:lineRule="auto"/>
      </w:pPr>
      <w:r>
        <w:rPr>
          <w:color w:val="1F3864"/>
          <w:szCs w:val="30"/>
        </w:rPr>
        <w:t>1. Fundamentación y delimitación del constructo</w:t>
      </w:r>
    </w:p>
    <w:p w:rsidR="00043F4A" w:rsidRDefault="00043F4A">
      <w:pPr>
        <w:spacing w:after="160" w:line="276" w:lineRule="auto"/>
        <w:jc w:val="both"/>
      </w:pPr>
      <w:r>
        <w:t xml:space="preserve">La descomposición genética de referencia para la derivada de una variable fue formulada por </w:t>
      </w:r>
      <w:proofErr w:type="spellStart"/>
      <w:r>
        <w:t>Asiala</w:t>
      </w:r>
      <w:proofErr w:type="spellEnd"/>
      <w:r>
        <w:t xml:space="preserve">, </w:t>
      </w:r>
      <w:proofErr w:type="spellStart"/>
      <w:r>
        <w:t>Cottrill</w:t>
      </w:r>
      <w:proofErr w:type="spellEnd"/>
      <w:r>
        <w:t xml:space="preserve">, </w:t>
      </w:r>
      <w:proofErr w:type="spellStart"/>
      <w:r>
        <w:t>Dubinsky</w:t>
      </w:r>
      <w:proofErr w:type="spellEnd"/>
      <w:r>
        <w:t xml:space="preserve"> y </w:t>
      </w:r>
      <w:proofErr w:type="spellStart"/>
      <w:r>
        <w:t>Schwingendorf</w:t>
      </w:r>
      <w:proofErr w:type="spellEnd"/>
      <w:r>
        <w:t xml:space="preserve"> (1997) y describe la coordinación de dos rutas: la ruta analítica, en la que el cociente de diferencias produce en el límite la razón de cambio instantánea, y la ruta gráfica, en la que la recta secante produce en el límite la recta tangente. Esta descomposición ha sido ampliamente utilizada como referente en estudios APOE sobre la derivada; investigaciones posteriores sobre la comprensión de la derivada y de conceptos relacionados continúan citándola como punto de partida teórico para la formulación de descomposiciones genéticas propias (</w:t>
      </w:r>
      <w:proofErr w:type="spellStart"/>
      <w:r>
        <w:t>Bingolbali</w:t>
      </w:r>
      <w:proofErr w:type="spellEnd"/>
      <w:r>
        <w:t xml:space="preserve">, Monaghan y </w:t>
      </w:r>
      <w:proofErr w:type="spellStart"/>
      <w:r>
        <w:t>Roper</w:t>
      </w:r>
      <w:proofErr w:type="spellEnd"/>
      <w:r>
        <w:t xml:space="preserve">, 2007; </w:t>
      </w:r>
      <w:proofErr w:type="spellStart"/>
      <w:r>
        <w:t>Borji</w:t>
      </w:r>
      <w:proofErr w:type="spellEnd"/>
      <w:r>
        <w:t xml:space="preserve"> y Martínez-</w:t>
      </w:r>
      <w:proofErr w:type="spellStart"/>
      <w:r>
        <w:t>Planell</w:t>
      </w:r>
      <w:proofErr w:type="spellEnd"/>
      <w:r>
        <w:t>, 2020).</w:t>
      </w:r>
    </w:p>
    <w:p w:rsidR="00043F4A" w:rsidRDefault="00043F4A">
      <w:pPr>
        <w:spacing w:after="160" w:line="276" w:lineRule="auto"/>
        <w:jc w:val="both"/>
      </w:pPr>
      <w:proofErr w:type="spellStart"/>
      <w:r>
        <w:t>Borji</w:t>
      </w:r>
      <w:proofErr w:type="spellEnd"/>
      <w:r>
        <w:t xml:space="preserve">, </w:t>
      </w:r>
      <w:proofErr w:type="spellStart"/>
      <w:r>
        <w:t>Alamolhodaei</w:t>
      </w:r>
      <w:proofErr w:type="spellEnd"/>
      <w:r>
        <w:t xml:space="preserve"> y </w:t>
      </w:r>
      <w:proofErr w:type="spellStart"/>
      <w:r>
        <w:t>Radmehr</w:t>
      </w:r>
      <w:proofErr w:type="spellEnd"/>
      <w:r>
        <w:t xml:space="preserve"> (2018) refinaron esta descomposición con énfasis en la comprensión gráfica, a partir de evidencia empírica obtenida con estudiantes. El presente </w:t>
      </w:r>
      <w:r>
        <w:lastRenderedPageBreak/>
        <w:t>proyecto adopta ambas descomposiciones como fundamento teórico de las construcciones mentales que subyacen a la noción de derivada, sin que ello implique la formulación de una descomposición genética original.</w:t>
      </w:r>
    </w:p>
    <w:p w:rsidR="00043F4A" w:rsidRDefault="00043F4A">
      <w:pPr>
        <w:pStyle w:val="Ttulo2"/>
        <w:keepNext/>
        <w:spacing w:after="80" w:line="276" w:lineRule="auto"/>
      </w:pPr>
      <w:r>
        <w:t>1.1 Delimitación del alcance: de la construcción del concepto a su interpretación</w:t>
      </w:r>
    </w:p>
    <w:p w:rsidR="00043F4A" w:rsidRDefault="00043F4A">
      <w:pPr>
        <w:spacing w:after="160" w:line="276" w:lineRule="auto"/>
        <w:jc w:val="both"/>
      </w:pPr>
      <w:r>
        <w:t>La matriz que se presenta en este documento no exige al estudiante reconstruir la génesis analítica completa de la derivada (la formalización del límite del cociente de diferencias ni el tránsito de la secante a la tangente). Su foco es la interpretación del valor de la derivada una vez obtenido, es decir, el tratamiento que el estudiante da a f'(a) más allá de su cálculo. Esta delimitación de alcance se fundamenta en evidencia específica sobre la población objeto de este estudio.</w:t>
      </w:r>
    </w:p>
    <w:p w:rsidR="00043F4A" w:rsidRDefault="00043F4A">
      <w:pPr>
        <w:spacing w:after="160" w:line="276" w:lineRule="auto"/>
        <w:jc w:val="both"/>
      </w:pPr>
      <w:proofErr w:type="spellStart"/>
      <w:r>
        <w:t>Bingolbali</w:t>
      </w:r>
      <w:proofErr w:type="spellEnd"/>
      <w:r>
        <w:t xml:space="preserve">, Monaghan y </w:t>
      </w:r>
      <w:proofErr w:type="spellStart"/>
      <w:r>
        <w:t>Roper</w:t>
      </w:r>
      <w:proofErr w:type="spellEnd"/>
      <w:r>
        <w:t xml:space="preserve"> (2007) encontraron que las concepciones y preferencias de estudiantes de ingeniería mecánica se orientan hacia los aspectos de razón de cambio de la derivada, mientras que las de estudiantes de matemáticas se orientan hacia los aspectos de tangente; los estudiantes de ingeniería tienden a concebir las matemáticas como una herramienta y a valorar los aspectos de aplicación en su formación. En evaluaciones posteriores a la instrucción, los estudiantes de ingeniería obtuvieron mejor desempeño específicamente en los ítems relacionados con razón de cambio.</w:t>
      </w:r>
    </w:p>
    <w:p w:rsidR="00043F4A" w:rsidRDefault="00043F4A">
      <w:pPr>
        <w:spacing w:after="160" w:line="276" w:lineRule="auto"/>
        <w:jc w:val="both"/>
      </w:pPr>
      <w:r>
        <w:t xml:space="preserve">De manera complementaria, </w:t>
      </w:r>
      <w:proofErr w:type="spellStart"/>
      <w:r>
        <w:t>Bezuidenhout</w:t>
      </w:r>
      <w:proofErr w:type="spellEnd"/>
      <w:r>
        <w:t xml:space="preserve"> (1998) documentó que estudiantes de primer año universitario presentaban dificultades sistemáticas para interpretar la razón de cambio en situaciones aplicadas, incluso cuando eran capaces de calcular derivadas de forma correcta. La distancia entre el desempeño procedimental y la capacidad de interpretación constituye uno de los focos de análisis de la presente matriz.</w:t>
      </w:r>
    </w:p>
    <w:p w:rsidR="00043F4A" w:rsidRDefault="00043F4A">
      <w:pPr>
        <w:spacing w:after="160" w:line="276" w:lineRule="auto"/>
        <w:jc w:val="both"/>
      </w:pPr>
      <w:r>
        <w:t xml:space="preserve">El marco propuesto por </w:t>
      </w:r>
      <w:proofErr w:type="spellStart"/>
      <w:r>
        <w:t>Zandieh</w:t>
      </w:r>
      <w:proofErr w:type="spellEnd"/>
      <w:r>
        <w:t xml:space="preserve"> (2000), incorporado en el marco teórico del proyecto, aporta el fundamento conceptual para tratar la interpretación como un constructo de varias capas: distingue capas de comprensión (razón, límite, función) y contextos de representación (gráfico, simbólico, verbal, físico, entre otros), lo que permite operacionalizar la coordinación de representaciones sin exigir la formalización analítica completa del concepto.</w:t>
      </w:r>
    </w:p>
    <w:p w:rsidR="00043F4A" w:rsidRDefault="00043F4A">
      <w:pPr>
        <w:spacing w:after="160" w:line="276" w:lineRule="auto"/>
        <w:jc w:val="both"/>
      </w:pPr>
      <w:r>
        <w:t xml:space="preserve">El trabajo de </w:t>
      </w:r>
      <w:proofErr w:type="spellStart"/>
      <w:r>
        <w:t>Mkhatshwa</w:t>
      </w:r>
      <w:proofErr w:type="spellEnd"/>
      <w:r>
        <w:t xml:space="preserve"> (2024), en el que se encuestó a diez instructores experimentados de cálculo sobre sus prácticas de enseñanza, documenta que estos priorizan de manera explícita el uso de contextos reales y de múltiples representaciones al enseñar el concepto de derivada. Este hallazgo respalda, desde la práctica docente, el énfasis que la presente matriz otorga a las dimensiones representacional y contextual. De manera complementaria, </w:t>
      </w:r>
      <w:proofErr w:type="spellStart"/>
      <w:r>
        <w:t>Mkhatshwa</w:t>
      </w:r>
      <w:proofErr w:type="spellEnd"/>
      <w:r>
        <w:t xml:space="preserve"> (2020) encontró que estudiantes de cálculo de alto desempeño recurren a diagramas y a la coordinación entre representaciones para razonar cuantitativamente al resolver problemas de razones de cambio relacionadas, lo cual evidencia, desde el lado del estudiante, la pertinencia de la coordinación representacional considerada entre las dimensiones del constructo.</w:t>
      </w:r>
    </w:p>
    <w:p w:rsidR="00043F4A" w:rsidRDefault="00043F4A">
      <w:pPr>
        <w:pStyle w:val="Ttulo2"/>
        <w:keepNext/>
        <w:spacing w:after="80" w:line="276" w:lineRule="auto"/>
      </w:pPr>
      <w:r>
        <w:t>1.2 Dificultades APOE documentadas en estudiantes de ingeniería</w:t>
      </w:r>
    </w:p>
    <w:p w:rsidR="00043F4A" w:rsidRDefault="00043F4A">
      <w:pPr>
        <w:spacing w:after="160" w:line="276" w:lineRule="auto"/>
        <w:jc w:val="both"/>
      </w:pPr>
      <w:r>
        <w:t xml:space="preserve">Fuentealba, Cárcamo, Badillo y Sánchez-Matamoros (2023) analizaron errores en tareas sobre el concepto de derivada desde la teoría APOE (Acción, Proceso, Objeto y Esquema) en una muestra de 103 estudiantes de primer año de ingeniería. Para ello, </w:t>
      </w:r>
      <w:r>
        <w:lastRenderedPageBreak/>
        <w:t>operacionalizaron los elementos matemáticos del concepto de derivada mediante 27 variables observables, derivadas de las construcciones mentales propuestas por la teoría. Este procedimiento constituye un antecedente metodológico relevante para la presente matriz, en tanto respalda la traducción de construcciones APOE en indicadores observables susceptibles de aplicarse al análisis de respuestas estudiantiles.</w:t>
      </w:r>
    </w:p>
    <w:p w:rsidR="00043F4A" w:rsidRDefault="00043F4A">
      <w:pPr>
        <w:spacing w:after="160" w:line="276" w:lineRule="auto"/>
        <w:jc w:val="both"/>
      </w:pPr>
      <w:r>
        <w:t>Las tareas empleadas por Fuentealba et al. (2023) se situaron en el contexto analítico-geométrico del concepto de derivada, sin incluir tareas de aplicación en contextos externos a la matemática. En consecuencia, dicho estudio fundamenta empíricamente las dificultades asociadas a la construcción del concepto de derivada en su dimensión analítica y gráfica, mientras que la matriz propuesta en este documento amplía el foco hacia la interpretación variacional, representacional y contextual de la derivada como razón de cambio instantánea. Ambos focos son complementarios: el primero da cuenta de la solidez de la construcción conceptual de base; el segundo, de la capacidad de interpretar y utilizar dicha construcción en situaciones aplicadas propias de la formación en ingeniería.</w:t>
      </w:r>
    </w:p>
    <w:p w:rsidR="00043F4A" w:rsidRDefault="00043F4A">
      <w:pPr>
        <w:spacing w:after="160" w:line="276" w:lineRule="auto"/>
        <w:jc w:val="both"/>
      </w:pPr>
      <w:r>
        <w:t xml:space="preserve">Entre las principales dificultades reportadas por Fuentealba et al. (2023) se encuentran: la comprensión de la derivada como límite del cociente incremental; la comprensión de la derivada como función; el establecimiento de relaciones entre el signo de la derivada y la monotonía de la función; el establecimiento de relaciones entre la primera y la segunda derivada; la </w:t>
      </w:r>
      <w:proofErr w:type="spellStart"/>
      <w:r>
        <w:t>graficación</w:t>
      </w:r>
      <w:proofErr w:type="spellEnd"/>
      <w:r>
        <w:t xml:space="preserve"> de una función a partir de información analítica; y la coordinación entre elementos puntuales y elementos globales del comportamiento de la función.</w:t>
      </w:r>
    </w:p>
    <w:p w:rsidR="00043F4A" w:rsidRDefault="00043F4A">
      <w:pPr>
        <w:spacing w:after="160" w:line="276" w:lineRule="auto"/>
        <w:jc w:val="both"/>
      </w:pPr>
      <w:r>
        <w:t>Estas dificultades se incorporan como fundamento empírico de varias dimensiones del constructo definidas en la sección 2, en particular: la distinción entre razón de cambio promedio e instantánea, la relación gráfica entre pendiente y tangente, la relación simbólica, la coordinación entre representaciones, la comparación entre tasas de cambio y la transferencia o uso contextual del valor de la derivada. Su incorporación se mantiene dentro del alcance interpretativo delimitado en la sección 1.1, centrado en la comprensión variacional, representacional y contextual de la derivada, y no en la teoría formal completa del concepto ni en la tematización de su esquema.</w:t>
      </w:r>
    </w:p>
    <w:p w:rsidR="00043F4A" w:rsidRDefault="00043F4A">
      <w:pPr>
        <w:pStyle w:val="Ttulo1"/>
        <w:keepNext/>
        <w:spacing w:before="280" w:line="276" w:lineRule="auto"/>
      </w:pPr>
      <w:r>
        <w:rPr>
          <w:color w:val="1F3864"/>
          <w:szCs w:val="30"/>
        </w:rPr>
        <w:t>2. Dimensiones del constructo</w:t>
      </w:r>
    </w:p>
    <w:p w:rsidR="00043F4A" w:rsidRDefault="00043F4A">
      <w:pPr>
        <w:spacing w:after="160" w:line="276" w:lineRule="auto"/>
        <w:jc w:val="both"/>
      </w:pPr>
      <w:r>
        <w:t>El constructo evaluado por la matriz se organiza en cuatro grupos de dimensiones: variacional, cuantitativo-interpretativa, representacional y aplicada o esquemática. Estas dimensiones se despliegan de manera diferenciada a lo largo de los cuatro niveles APOE presentados en la sección 4; el nivel Objeto, por ejemplo, integra las dimensiones de signo, magnitud, unidades y punto de interpretación, mientras que otros niveles movilizan predominantemente dimensiones variacionales o representacionales. La tabla siguiente describe cada dimensión.</w:t>
      </w:r>
    </w:p>
    <w:tbl>
      <w:tblPr>
        <w:tblW w:w="9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98"/>
        <w:gridCol w:w="2598"/>
        <w:gridCol w:w="4847"/>
      </w:tblGrid>
      <w:tr w:rsidR="00043F4A">
        <w:trPr>
          <w:cantSplit/>
          <w:tblHeader/>
          <w:jc w:val="center"/>
        </w:trPr>
        <w:tc>
          <w:tcPr>
            <w:tcW w:w="1898" w:type="dxa"/>
            <w:shd w:val="clear" w:color="auto" w:fill="1F3864"/>
            <w:tcMar>
              <w:top w:w="45" w:type="dxa"/>
              <w:left w:w="55" w:type="dxa"/>
              <w:bottom w:w="45" w:type="dxa"/>
              <w:right w:w="55" w:type="dxa"/>
            </w:tcMar>
          </w:tcPr>
          <w:p w:rsidR="00043F4A" w:rsidRDefault="00043F4A">
            <w:pPr>
              <w:spacing w:after="40"/>
            </w:pPr>
            <w:r>
              <w:rPr>
                <w:b/>
                <w:bCs/>
                <w:color w:val="FFFFFF"/>
                <w:sz w:val="18"/>
              </w:rPr>
              <w:t>Grupo</w:t>
            </w:r>
          </w:p>
        </w:tc>
        <w:tc>
          <w:tcPr>
            <w:tcW w:w="2598" w:type="dxa"/>
            <w:shd w:val="clear" w:color="auto" w:fill="1F3864"/>
            <w:tcMar>
              <w:top w:w="45" w:type="dxa"/>
              <w:left w:w="55" w:type="dxa"/>
              <w:bottom w:w="45" w:type="dxa"/>
              <w:right w:w="55" w:type="dxa"/>
            </w:tcMar>
          </w:tcPr>
          <w:p w:rsidR="00043F4A" w:rsidRDefault="00043F4A">
            <w:pPr>
              <w:spacing w:after="40"/>
            </w:pPr>
            <w:r>
              <w:rPr>
                <w:b/>
                <w:bCs/>
                <w:color w:val="FFFFFF"/>
                <w:sz w:val="18"/>
              </w:rPr>
              <w:t>Dimensión</w:t>
            </w:r>
          </w:p>
        </w:tc>
        <w:tc>
          <w:tcPr>
            <w:tcW w:w="4846" w:type="dxa"/>
            <w:shd w:val="clear" w:color="auto" w:fill="1F3864"/>
            <w:tcMar>
              <w:top w:w="45" w:type="dxa"/>
              <w:left w:w="55" w:type="dxa"/>
              <w:bottom w:w="45" w:type="dxa"/>
              <w:right w:w="55" w:type="dxa"/>
            </w:tcMar>
          </w:tcPr>
          <w:p w:rsidR="00043F4A" w:rsidRDefault="00043F4A">
            <w:pPr>
              <w:spacing w:after="40"/>
            </w:pPr>
            <w:r>
              <w:rPr>
                <w:b/>
                <w:bCs/>
                <w:color w:val="FFFFFF"/>
                <w:sz w:val="18"/>
              </w:rPr>
              <w:t>Descripción</w:t>
            </w:r>
          </w:p>
        </w:tc>
      </w:tr>
      <w:tr w:rsidR="00043F4A">
        <w:trPr>
          <w:cantSplit/>
          <w:jc w:val="center"/>
        </w:trPr>
        <w:tc>
          <w:tcPr>
            <w:tcW w:w="1898" w:type="dxa"/>
            <w:shd w:val="clear" w:color="auto" w:fill="DCE6F1"/>
            <w:tcMar>
              <w:top w:w="45" w:type="dxa"/>
              <w:left w:w="55" w:type="dxa"/>
              <w:bottom w:w="45" w:type="dxa"/>
              <w:right w:w="55" w:type="dxa"/>
            </w:tcMar>
          </w:tcPr>
          <w:p w:rsidR="00043F4A" w:rsidRDefault="00043F4A">
            <w:pPr>
              <w:spacing w:after="40"/>
            </w:pPr>
            <w:r>
              <w:rPr>
                <w:b/>
                <w:bCs/>
                <w:sz w:val="18"/>
              </w:rPr>
              <w:t>Variacional</w:t>
            </w:r>
          </w:p>
        </w:tc>
        <w:tc>
          <w:tcPr>
            <w:tcW w:w="2598" w:type="dxa"/>
            <w:tcMar>
              <w:top w:w="45" w:type="dxa"/>
              <w:left w:w="55" w:type="dxa"/>
              <w:bottom w:w="45" w:type="dxa"/>
              <w:right w:w="55" w:type="dxa"/>
            </w:tcMar>
          </w:tcPr>
          <w:p w:rsidR="00043F4A" w:rsidRDefault="00043F4A">
            <w:pPr>
              <w:spacing w:after="40"/>
            </w:pPr>
            <w:r>
              <w:rPr>
                <w:sz w:val="18"/>
              </w:rPr>
              <w:t>Razón de cambio instantánea</w:t>
            </w:r>
          </w:p>
        </w:tc>
        <w:tc>
          <w:tcPr>
            <w:tcW w:w="4846" w:type="dxa"/>
            <w:tcMar>
              <w:top w:w="45" w:type="dxa"/>
              <w:left w:w="55" w:type="dxa"/>
              <w:bottom w:w="45" w:type="dxa"/>
              <w:right w:w="55" w:type="dxa"/>
            </w:tcMar>
          </w:tcPr>
          <w:p w:rsidR="00043F4A" w:rsidRDefault="00043F4A">
            <w:pPr>
              <w:spacing w:after="40"/>
            </w:pPr>
            <w:r>
              <w:rPr>
                <w:sz w:val="18"/>
              </w:rPr>
              <w:t>Comprensión de f'(a) como tasa de variación en un punto, y no como un número aislado.</w:t>
            </w:r>
          </w:p>
        </w:tc>
      </w:tr>
      <w:tr w:rsidR="00043F4A">
        <w:trPr>
          <w:cantSplit/>
          <w:jc w:val="center"/>
        </w:trPr>
        <w:tc>
          <w:tcPr>
            <w:tcW w:w="1898" w:type="dxa"/>
            <w:tcMar>
              <w:top w:w="45" w:type="dxa"/>
              <w:left w:w="55" w:type="dxa"/>
              <w:bottom w:w="45" w:type="dxa"/>
              <w:right w:w="55" w:type="dxa"/>
            </w:tcMar>
          </w:tcPr>
          <w:p w:rsidR="00043F4A" w:rsidRDefault="00043F4A">
            <w:pPr>
              <w:spacing w:after="40"/>
            </w:pPr>
          </w:p>
        </w:tc>
        <w:tc>
          <w:tcPr>
            <w:tcW w:w="2598" w:type="dxa"/>
            <w:tcMar>
              <w:top w:w="45" w:type="dxa"/>
              <w:left w:w="55" w:type="dxa"/>
              <w:bottom w:w="45" w:type="dxa"/>
              <w:right w:w="55" w:type="dxa"/>
            </w:tcMar>
          </w:tcPr>
          <w:p w:rsidR="00043F4A" w:rsidRDefault="00043F4A">
            <w:pPr>
              <w:spacing w:after="40"/>
            </w:pPr>
            <w:r>
              <w:rPr>
                <w:sz w:val="18"/>
              </w:rPr>
              <w:t>Variación local</w:t>
            </w:r>
          </w:p>
        </w:tc>
        <w:tc>
          <w:tcPr>
            <w:tcW w:w="4846" w:type="dxa"/>
            <w:tcMar>
              <w:top w:w="45" w:type="dxa"/>
              <w:left w:w="55" w:type="dxa"/>
              <w:bottom w:w="45" w:type="dxa"/>
              <w:right w:w="55" w:type="dxa"/>
            </w:tcMar>
          </w:tcPr>
          <w:p w:rsidR="00043F4A" w:rsidRDefault="00043F4A">
            <w:pPr>
              <w:spacing w:after="40"/>
            </w:pPr>
            <w:r>
              <w:rPr>
                <w:sz w:val="18"/>
              </w:rPr>
              <w:t>Reconocimiento de que la cantidad cambia en un entorno del punto de interés.</w:t>
            </w:r>
          </w:p>
        </w:tc>
      </w:tr>
      <w:tr w:rsidR="00043F4A">
        <w:trPr>
          <w:cantSplit/>
          <w:jc w:val="center"/>
        </w:trPr>
        <w:tc>
          <w:tcPr>
            <w:tcW w:w="1898" w:type="dxa"/>
            <w:tcMar>
              <w:top w:w="45" w:type="dxa"/>
              <w:left w:w="55" w:type="dxa"/>
              <w:bottom w:w="45" w:type="dxa"/>
              <w:right w:w="55" w:type="dxa"/>
            </w:tcMar>
          </w:tcPr>
          <w:p w:rsidR="00043F4A" w:rsidRDefault="00043F4A">
            <w:pPr>
              <w:spacing w:after="40"/>
            </w:pPr>
          </w:p>
        </w:tc>
        <w:tc>
          <w:tcPr>
            <w:tcW w:w="2598" w:type="dxa"/>
            <w:tcMar>
              <w:top w:w="45" w:type="dxa"/>
              <w:left w:w="55" w:type="dxa"/>
              <w:bottom w:w="45" w:type="dxa"/>
              <w:right w:w="55" w:type="dxa"/>
            </w:tcMar>
          </w:tcPr>
          <w:p w:rsidR="00043F4A" w:rsidRDefault="00043F4A">
            <w:pPr>
              <w:spacing w:after="40"/>
            </w:pPr>
            <w:r>
              <w:rPr>
                <w:sz w:val="18"/>
              </w:rPr>
              <w:t>Razón promedio vs. instantánea</w:t>
            </w:r>
          </w:p>
        </w:tc>
        <w:tc>
          <w:tcPr>
            <w:tcW w:w="4846" w:type="dxa"/>
            <w:tcMar>
              <w:top w:w="45" w:type="dxa"/>
              <w:left w:w="55" w:type="dxa"/>
              <w:bottom w:w="45" w:type="dxa"/>
              <w:right w:w="55" w:type="dxa"/>
            </w:tcMar>
          </w:tcPr>
          <w:p w:rsidR="00043F4A" w:rsidRDefault="00043F4A">
            <w:pPr>
              <w:spacing w:after="40"/>
            </w:pPr>
            <w:r>
              <w:rPr>
                <w:sz w:val="18"/>
              </w:rPr>
              <w:t xml:space="preserve">Distinción entre </w:t>
            </w:r>
            <w:proofErr w:type="spellStart"/>
            <w:r>
              <w:rPr>
                <w:sz w:val="18"/>
              </w:rPr>
              <w:t>Δy</w:t>
            </w:r>
            <w:proofErr w:type="spellEnd"/>
            <w:r>
              <w:rPr>
                <w:sz w:val="18"/>
              </w:rPr>
              <w:t>/</w:t>
            </w:r>
            <w:proofErr w:type="spellStart"/>
            <w:r>
              <w:rPr>
                <w:sz w:val="18"/>
              </w:rPr>
              <w:t>Δx</w:t>
            </w:r>
            <w:proofErr w:type="spellEnd"/>
            <w:r>
              <w:rPr>
                <w:sz w:val="18"/>
              </w:rPr>
              <w:t xml:space="preserve"> en un intervalo y f'(a) como límite de esa razón cuando el intervalo se contrae.</w:t>
            </w:r>
          </w:p>
        </w:tc>
      </w:tr>
      <w:tr w:rsidR="00043F4A">
        <w:trPr>
          <w:cantSplit/>
          <w:jc w:val="center"/>
        </w:trPr>
        <w:tc>
          <w:tcPr>
            <w:tcW w:w="1898" w:type="dxa"/>
            <w:shd w:val="clear" w:color="auto" w:fill="DCE6F1"/>
            <w:tcMar>
              <w:top w:w="45" w:type="dxa"/>
              <w:left w:w="55" w:type="dxa"/>
              <w:bottom w:w="45" w:type="dxa"/>
              <w:right w:w="55" w:type="dxa"/>
            </w:tcMar>
          </w:tcPr>
          <w:p w:rsidR="00043F4A" w:rsidRDefault="00043F4A">
            <w:pPr>
              <w:spacing w:after="40"/>
            </w:pPr>
            <w:r>
              <w:rPr>
                <w:b/>
                <w:bCs/>
                <w:sz w:val="18"/>
              </w:rPr>
              <w:t>Cuantitativo-interpretativa</w:t>
            </w:r>
          </w:p>
        </w:tc>
        <w:tc>
          <w:tcPr>
            <w:tcW w:w="2598" w:type="dxa"/>
            <w:tcMar>
              <w:top w:w="45" w:type="dxa"/>
              <w:left w:w="55" w:type="dxa"/>
              <w:bottom w:w="45" w:type="dxa"/>
              <w:right w:w="55" w:type="dxa"/>
            </w:tcMar>
          </w:tcPr>
          <w:p w:rsidR="00043F4A" w:rsidRDefault="00043F4A">
            <w:pPr>
              <w:spacing w:after="40"/>
            </w:pPr>
            <w:r>
              <w:rPr>
                <w:sz w:val="18"/>
              </w:rPr>
              <w:t>Signo</w:t>
            </w:r>
          </w:p>
        </w:tc>
        <w:tc>
          <w:tcPr>
            <w:tcW w:w="4846" w:type="dxa"/>
            <w:tcMar>
              <w:top w:w="45" w:type="dxa"/>
              <w:left w:w="55" w:type="dxa"/>
              <w:bottom w:w="45" w:type="dxa"/>
              <w:right w:w="55" w:type="dxa"/>
            </w:tcMar>
          </w:tcPr>
          <w:p w:rsidR="00043F4A" w:rsidRDefault="00043F4A">
            <w:pPr>
              <w:spacing w:after="40"/>
            </w:pPr>
            <w:r>
              <w:rPr>
                <w:sz w:val="18"/>
              </w:rPr>
              <w:t>Dirección del cambio (aumenta o disminuye).</w:t>
            </w:r>
          </w:p>
        </w:tc>
      </w:tr>
      <w:tr w:rsidR="00043F4A">
        <w:trPr>
          <w:cantSplit/>
          <w:jc w:val="center"/>
        </w:trPr>
        <w:tc>
          <w:tcPr>
            <w:tcW w:w="1898" w:type="dxa"/>
            <w:tcMar>
              <w:top w:w="45" w:type="dxa"/>
              <w:left w:w="55" w:type="dxa"/>
              <w:bottom w:w="45" w:type="dxa"/>
              <w:right w:w="55" w:type="dxa"/>
            </w:tcMar>
          </w:tcPr>
          <w:p w:rsidR="00043F4A" w:rsidRDefault="00043F4A">
            <w:pPr>
              <w:spacing w:after="40"/>
            </w:pPr>
          </w:p>
        </w:tc>
        <w:tc>
          <w:tcPr>
            <w:tcW w:w="2598" w:type="dxa"/>
            <w:tcMar>
              <w:top w:w="45" w:type="dxa"/>
              <w:left w:w="55" w:type="dxa"/>
              <w:bottom w:w="45" w:type="dxa"/>
              <w:right w:w="55" w:type="dxa"/>
            </w:tcMar>
          </w:tcPr>
          <w:p w:rsidR="00043F4A" w:rsidRDefault="00043F4A">
            <w:pPr>
              <w:spacing w:after="40"/>
            </w:pPr>
            <w:r>
              <w:rPr>
                <w:sz w:val="18"/>
              </w:rPr>
              <w:t>Magnitud</w:t>
            </w:r>
          </w:p>
        </w:tc>
        <w:tc>
          <w:tcPr>
            <w:tcW w:w="4846" w:type="dxa"/>
            <w:tcMar>
              <w:top w:w="45" w:type="dxa"/>
              <w:left w:w="55" w:type="dxa"/>
              <w:bottom w:w="45" w:type="dxa"/>
              <w:right w:w="55" w:type="dxa"/>
            </w:tcMar>
          </w:tcPr>
          <w:p w:rsidR="00043F4A" w:rsidRDefault="00043F4A">
            <w:pPr>
              <w:spacing w:after="40"/>
            </w:pPr>
            <w:r>
              <w:rPr>
                <w:sz w:val="18"/>
              </w:rPr>
              <w:t>Cantidad de cambio de la variable dependiente por unidad de la variable independiente.</w:t>
            </w:r>
          </w:p>
        </w:tc>
      </w:tr>
      <w:tr w:rsidR="00043F4A">
        <w:trPr>
          <w:cantSplit/>
          <w:jc w:val="center"/>
        </w:trPr>
        <w:tc>
          <w:tcPr>
            <w:tcW w:w="1898" w:type="dxa"/>
            <w:tcMar>
              <w:top w:w="45" w:type="dxa"/>
              <w:left w:w="55" w:type="dxa"/>
              <w:bottom w:w="45" w:type="dxa"/>
              <w:right w:w="55" w:type="dxa"/>
            </w:tcMar>
          </w:tcPr>
          <w:p w:rsidR="00043F4A" w:rsidRDefault="00043F4A">
            <w:pPr>
              <w:spacing w:after="40"/>
            </w:pPr>
          </w:p>
        </w:tc>
        <w:tc>
          <w:tcPr>
            <w:tcW w:w="2598" w:type="dxa"/>
            <w:tcMar>
              <w:top w:w="45" w:type="dxa"/>
              <w:left w:w="55" w:type="dxa"/>
              <w:bottom w:w="45" w:type="dxa"/>
              <w:right w:w="55" w:type="dxa"/>
            </w:tcMar>
          </w:tcPr>
          <w:p w:rsidR="00043F4A" w:rsidRDefault="00043F4A">
            <w:pPr>
              <w:spacing w:after="40"/>
            </w:pPr>
            <w:r>
              <w:rPr>
                <w:sz w:val="18"/>
              </w:rPr>
              <w:t>Unidades</w:t>
            </w:r>
          </w:p>
        </w:tc>
        <w:tc>
          <w:tcPr>
            <w:tcW w:w="4846" w:type="dxa"/>
            <w:tcMar>
              <w:top w:w="45" w:type="dxa"/>
              <w:left w:w="55" w:type="dxa"/>
              <w:bottom w:w="45" w:type="dxa"/>
              <w:right w:w="55" w:type="dxa"/>
            </w:tcMar>
          </w:tcPr>
          <w:p w:rsidR="00043F4A" w:rsidRDefault="00043F4A">
            <w:pPr>
              <w:spacing w:after="40"/>
            </w:pPr>
            <w:r>
              <w:rPr>
                <w:sz w:val="18"/>
              </w:rPr>
              <w:t>Unidades del valor interpretado, coherentes con el contexto del fenómeno.</w:t>
            </w:r>
          </w:p>
        </w:tc>
      </w:tr>
      <w:tr w:rsidR="00043F4A">
        <w:trPr>
          <w:cantSplit/>
          <w:jc w:val="center"/>
        </w:trPr>
        <w:tc>
          <w:tcPr>
            <w:tcW w:w="1898" w:type="dxa"/>
            <w:tcMar>
              <w:top w:w="45" w:type="dxa"/>
              <w:left w:w="55" w:type="dxa"/>
              <w:bottom w:w="45" w:type="dxa"/>
              <w:right w:w="55" w:type="dxa"/>
            </w:tcMar>
          </w:tcPr>
          <w:p w:rsidR="00043F4A" w:rsidRDefault="00043F4A">
            <w:pPr>
              <w:spacing w:after="40"/>
            </w:pPr>
          </w:p>
        </w:tc>
        <w:tc>
          <w:tcPr>
            <w:tcW w:w="2598" w:type="dxa"/>
            <w:tcMar>
              <w:top w:w="45" w:type="dxa"/>
              <w:left w:w="55" w:type="dxa"/>
              <w:bottom w:w="45" w:type="dxa"/>
              <w:right w:w="55" w:type="dxa"/>
            </w:tcMar>
          </w:tcPr>
          <w:p w:rsidR="00043F4A" w:rsidRDefault="00043F4A">
            <w:pPr>
              <w:spacing w:after="40"/>
            </w:pPr>
            <w:r>
              <w:rPr>
                <w:sz w:val="18"/>
              </w:rPr>
              <w:t>Punto de interpretación</w:t>
            </w:r>
          </w:p>
        </w:tc>
        <w:tc>
          <w:tcPr>
            <w:tcW w:w="4846" w:type="dxa"/>
            <w:tcMar>
              <w:top w:w="45" w:type="dxa"/>
              <w:left w:w="55" w:type="dxa"/>
              <w:bottom w:w="45" w:type="dxa"/>
              <w:right w:w="55" w:type="dxa"/>
            </w:tcMar>
          </w:tcPr>
          <w:p w:rsidR="00043F4A" w:rsidRDefault="00043F4A">
            <w:pPr>
              <w:spacing w:after="40"/>
            </w:pPr>
            <w:r>
              <w:rPr>
                <w:sz w:val="18"/>
              </w:rPr>
              <w:t>Anclaje del valor de la derivada al punto específico en que se evalúa, y no a la función en general.</w:t>
            </w:r>
          </w:p>
        </w:tc>
      </w:tr>
      <w:tr w:rsidR="00043F4A">
        <w:trPr>
          <w:cantSplit/>
          <w:jc w:val="center"/>
        </w:trPr>
        <w:tc>
          <w:tcPr>
            <w:tcW w:w="1898" w:type="dxa"/>
            <w:shd w:val="clear" w:color="auto" w:fill="DCE6F1"/>
            <w:tcMar>
              <w:top w:w="45" w:type="dxa"/>
              <w:left w:w="55" w:type="dxa"/>
              <w:bottom w:w="45" w:type="dxa"/>
              <w:right w:w="55" w:type="dxa"/>
            </w:tcMar>
          </w:tcPr>
          <w:p w:rsidR="00043F4A" w:rsidRDefault="00043F4A">
            <w:pPr>
              <w:spacing w:after="40"/>
            </w:pPr>
            <w:r>
              <w:rPr>
                <w:b/>
                <w:bCs/>
                <w:sz w:val="18"/>
              </w:rPr>
              <w:t>Representacional</w:t>
            </w:r>
          </w:p>
        </w:tc>
        <w:tc>
          <w:tcPr>
            <w:tcW w:w="2598" w:type="dxa"/>
            <w:tcMar>
              <w:top w:w="45" w:type="dxa"/>
              <w:left w:w="55" w:type="dxa"/>
              <w:bottom w:w="45" w:type="dxa"/>
              <w:right w:w="55" w:type="dxa"/>
            </w:tcMar>
          </w:tcPr>
          <w:p w:rsidR="00043F4A" w:rsidRDefault="00043F4A">
            <w:pPr>
              <w:spacing w:after="40"/>
            </w:pPr>
            <w:r>
              <w:rPr>
                <w:sz w:val="18"/>
              </w:rPr>
              <w:t>Relación gráfica (pendiente / tangente)</w:t>
            </w:r>
          </w:p>
        </w:tc>
        <w:tc>
          <w:tcPr>
            <w:tcW w:w="4846" w:type="dxa"/>
            <w:tcMar>
              <w:top w:w="45" w:type="dxa"/>
              <w:left w:w="55" w:type="dxa"/>
              <w:bottom w:w="45" w:type="dxa"/>
              <w:right w:w="55" w:type="dxa"/>
            </w:tcMar>
          </w:tcPr>
          <w:p w:rsidR="00043F4A" w:rsidRDefault="00043F4A">
            <w:pPr>
              <w:spacing w:after="40"/>
            </w:pPr>
            <w:r>
              <w:rPr>
                <w:sz w:val="18"/>
              </w:rPr>
              <w:t>Vínculo entre f'(a) y la pendiente de la recta tangente a la gráfica de f en (a, f(a)).</w:t>
            </w:r>
          </w:p>
        </w:tc>
      </w:tr>
      <w:tr w:rsidR="00043F4A">
        <w:trPr>
          <w:cantSplit/>
          <w:jc w:val="center"/>
        </w:trPr>
        <w:tc>
          <w:tcPr>
            <w:tcW w:w="1898" w:type="dxa"/>
            <w:tcMar>
              <w:top w:w="45" w:type="dxa"/>
              <w:left w:w="55" w:type="dxa"/>
              <w:bottom w:w="45" w:type="dxa"/>
              <w:right w:w="55" w:type="dxa"/>
            </w:tcMar>
          </w:tcPr>
          <w:p w:rsidR="00043F4A" w:rsidRDefault="00043F4A">
            <w:pPr>
              <w:spacing w:after="40"/>
            </w:pPr>
          </w:p>
        </w:tc>
        <w:tc>
          <w:tcPr>
            <w:tcW w:w="2598" w:type="dxa"/>
            <w:tcMar>
              <w:top w:w="45" w:type="dxa"/>
              <w:left w:w="55" w:type="dxa"/>
              <w:bottom w:w="45" w:type="dxa"/>
              <w:right w:w="55" w:type="dxa"/>
            </w:tcMar>
          </w:tcPr>
          <w:p w:rsidR="00043F4A" w:rsidRDefault="00043F4A">
            <w:pPr>
              <w:spacing w:after="40"/>
            </w:pPr>
            <w:r>
              <w:rPr>
                <w:sz w:val="18"/>
              </w:rPr>
              <w:t>Relación simbólica</w:t>
            </w:r>
          </w:p>
        </w:tc>
        <w:tc>
          <w:tcPr>
            <w:tcW w:w="4846" w:type="dxa"/>
            <w:tcMar>
              <w:top w:w="45" w:type="dxa"/>
              <w:left w:w="55" w:type="dxa"/>
              <w:bottom w:w="45" w:type="dxa"/>
              <w:right w:w="55" w:type="dxa"/>
            </w:tcMar>
          </w:tcPr>
          <w:p w:rsidR="00043F4A" w:rsidRDefault="00043F4A">
            <w:pPr>
              <w:spacing w:after="40"/>
            </w:pPr>
            <w:r>
              <w:rPr>
                <w:sz w:val="18"/>
              </w:rPr>
              <w:t>Coherencia entre la expresión simbólica de f'(a) y su interpretación verbal o numérica.</w:t>
            </w:r>
          </w:p>
        </w:tc>
      </w:tr>
      <w:tr w:rsidR="00043F4A">
        <w:trPr>
          <w:cantSplit/>
          <w:jc w:val="center"/>
        </w:trPr>
        <w:tc>
          <w:tcPr>
            <w:tcW w:w="1898" w:type="dxa"/>
            <w:tcMar>
              <w:top w:w="45" w:type="dxa"/>
              <w:left w:w="55" w:type="dxa"/>
              <w:bottom w:w="45" w:type="dxa"/>
              <w:right w:w="55" w:type="dxa"/>
            </w:tcMar>
          </w:tcPr>
          <w:p w:rsidR="00043F4A" w:rsidRDefault="00043F4A">
            <w:pPr>
              <w:spacing w:after="40"/>
            </w:pPr>
          </w:p>
        </w:tc>
        <w:tc>
          <w:tcPr>
            <w:tcW w:w="2598" w:type="dxa"/>
            <w:tcMar>
              <w:top w:w="45" w:type="dxa"/>
              <w:left w:w="55" w:type="dxa"/>
              <w:bottom w:w="45" w:type="dxa"/>
              <w:right w:w="55" w:type="dxa"/>
            </w:tcMar>
          </w:tcPr>
          <w:p w:rsidR="00043F4A" w:rsidRDefault="00043F4A">
            <w:pPr>
              <w:spacing w:after="40"/>
            </w:pPr>
            <w:r>
              <w:rPr>
                <w:sz w:val="18"/>
              </w:rPr>
              <w:t>Lenguaje contextual</w:t>
            </w:r>
          </w:p>
        </w:tc>
        <w:tc>
          <w:tcPr>
            <w:tcW w:w="4846" w:type="dxa"/>
            <w:tcMar>
              <w:top w:w="45" w:type="dxa"/>
              <w:left w:w="55" w:type="dxa"/>
              <w:bottom w:w="45" w:type="dxa"/>
              <w:right w:w="55" w:type="dxa"/>
            </w:tcMar>
          </w:tcPr>
          <w:p w:rsidR="00043F4A" w:rsidRDefault="00043F4A">
            <w:pPr>
              <w:spacing w:after="40"/>
            </w:pPr>
            <w:r>
              <w:rPr>
                <w:sz w:val="18"/>
              </w:rPr>
              <w:t>Traducción del valor matemático a una afirmación verbal situada en el fenómeno estudiado.</w:t>
            </w:r>
          </w:p>
        </w:tc>
      </w:tr>
      <w:tr w:rsidR="00043F4A">
        <w:trPr>
          <w:cantSplit/>
          <w:jc w:val="center"/>
        </w:trPr>
        <w:tc>
          <w:tcPr>
            <w:tcW w:w="1898" w:type="dxa"/>
            <w:shd w:val="clear" w:color="auto" w:fill="DCE6F1"/>
            <w:tcMar>
              <w:top w:w="45" w:type="dxa"/>
              <w:left w:w="55" w:type="dxa"/>
              <w:bottom w:w="45" w:type="dxa"/>
              <w:right w:w="55" w:type="dxa"/>
            </w:tcMar>
          </w:tcPr>
          <w:p w:rsidR="00043F4A" w:rsidRDefault="00043F4A">
            <w:pPr>
              <w:spacing w:after="40"/>
            </w:pPr>
            <w:r>
              <w:rPr>
                <w:b/>
                <w:bCs/>
                <w:sz w:val="18"/>
              </w:rPr>
              <w:t>Aplicada / esquemática</w:t>
            </w:r>
          </w:p>
        </w:tc>
        <w:tc>
          <w:tcPr>
            <w:tcW w:w="2598" w:type="dxa"/>
            <w:tcMar>
              <w:top w:w="45" w:type="dxa"/>
              <w:left w:w="55" w:type="dxa"/>
              <w:bottom w:w="45" w:type="dxa"/>
              <w:right w:w="55" w:type="dxa"/>
            </w:tcMar>
          </w:tcPr>
          <w:p w:rsidR="00043F4A" w:rsidRDefault="00043F4A">
            <w:pPr>
              <w:spacing w:after="40"/>
            </w:pPr>
            <w:r>
              <w:rPr>
                <w:sz w:val="18"/>
              </w:rPr>
              <w:t>Comparación entre tasas de cambio</w:t>
            </w:r>
          </w:p>
        </w:tc>
        <w:tc>
          <w:tcPr>
            <w:tcW w:w="4846" w:type="dxa"/>
            <w:tcMar>
              <w:top w:w="45" w:type="dxa"/>
              <w:left w:w="55" w:type="dxa"/>
              <w:bottom w:w="45" w:type="dxa"/>
              <w:right w:w="55" w:type="dxa"/>
            </w:tcMar>
          </w:tcPr>
          <w:p w:rsidR="00043F4A" w:rsidRDefault="00043F4A">
            <w:pPr>
              <w:spacing w:after="40"/>
            </w:pPr>
            <w:r>
              <w:rPr>
                <w:sz w:val="18"/>
              </w:rPr>
              <w:t>Contraste entre la razón de cambio en distintos puntos o para distintas variables.</w:t>
            </w:r>
          </w:p>
        </w:tc>
      </w:tr>
      <w:tr w:rsidR="00043F4A">
        <w:trPr>
          <w:cantSplit/>
          <w:jc w:val="center"/>
        </w:trPr>
        <w:tc>
          <w:tcPr>
            <w:tcW w:w="1898" w:type="dxa"/>
            <w:tcMar>
              <w:top w:w="45" w:type="dxa"/>
              <w:left w:w="55" w:type="dxa"/>
              <w:bottom w:w="45" w:type="dxa"/>
              <w:right w:w="55" w:type="dxa"/>
            </w:tcMar>
          </w:tcPr>
          <w:p w:rsidR="00043F4A" w:rsidRDefault="00043F4A">
            <w:pPr>
              <w:spacing w:after="40"/>
            </w:pPr>
          </w:p>
        </w:tc>
        <w:tc>
          <w:tcPr>
            <w:tcW w:w="2598" w:type="dxa"/>
            <w:tcMar>
              <w:top w:w="45" w:type="dxa"/>
              <w:left w:w="55" w:type="dxa"/>
              <w:bottom w:w="45" w:type="dxa"/>
              <w:right w:w="55" w:type="dxa"/>
            </w:tcMar>
          </w:tcPr>
          <w:p w:rsidR="00043F4A" w:rsidRDefault="00043F4A">
            <w:pPr>
              <w:spacing w:after="40"/>
            </w:pPr>
            <w:r>
              <w:rPr>
                <w:sz w:val="18"/>
              </w:rPr>
              <w:t>Predicción</w:t>
            </w:r>
          </w:p>
        </w:tc>
        <w:tc>
          <w:tcPr>
            <w:tcW w:w="4846" w:type="dxa"/>
            <w:tcMar>
              <w:top w:w="45" w:type="dxa"/>
              <w:left w:w="55" w:type="dxa"/>
              <w:bottom w:w="45" w:type="dxa"/>
              <w:right w:w="55" w:type="dxa"/>
            </w:tcMar>
          </w:tcPr>
          <w:p w:rsidR="00043F4A" w:rsidRDefault="00043F4A">
            <w:pPr>
              <w:spacing w:after="40"/>
            </w:pPr>
            <w:r>
              <w:rPr>
                <w:sz w:val="18"/>
              </w:rPr>
              <w:t>Uso del valor interpretado para anticipar el comportamiento del fenómeno.</w:t>
            </w:r>
          </w:p>
        </w:tc>
      </w:tr>
      <w:tr w:rsidR="00043F4A">
        <w:trPr>
          <w:cantSplit/>
          <w:jc w:val="center"/>
        </w:trPr>
        <w:tc>
          <w:tcPr>
            <w:tcW w:w="1898" w:type="dxa"/>
            <w:tcMar>
              <w:top w:w="45" w:type="dxa"/>
              <w:left w:w="55" w:type="dxa"/>
              <w:bottom w:w="45" w:type="dxa"/>
              <w:right w:w="55" w:type="dxa"/>
            </w:tcMar>
          </w:tcPr>
          <w:p w:rsidR="00043F4A" w:rsidRDefault="00043F4A">
            <w:pPr>
              <w:spacing w:after="40"/>
            </w:pPr>
          </w:p>
        </w:tc>
        <w:tc>
          <w:tcPr>
            <w:tcW w:w="2598" w:type="dxa"/>
            <w:tcMar>
              <w:top w:w="45" w:type="dxa"/>
              <w:left w:w="55" w:type="dxa"/>
              <w:bottom w:w="45" w:type="dxa"/>
              <w:right w:w="55" w:type="dxa"/>
            </w:tcMar>
          </w:tcPr>
          <w:p w:rsidR="00043F4A" w:rsidRDefault="00043F4A">
            <w:pPr>
              <w:spacing w:after="40"/>
            </w:pPr>
            <w:r>
              <w:rPr>
                <w:sz w:val="18"/>
              </w:rPr>
              <w:t>Toma de decisiones</w:t>
            </w:r>
          </w:p>
        </w:tc>
        <w:tc>
          <w:tcPr>
            <w:tcW w:w="4846" w:type="dxa"/>
            <w:tcMar>
              <w:top w:w="45" w:type="dxa"/>
              <w:left w:w="55" w:type="dxa"/>
              <w:bottom w:w="45" w:type="dxa"/>
              <w:right w:w="55" w:type="dxa"/>
            </w:tcMar>
          </w:tcPr>
          <w:p w:rsidR="00043F4A" w:rsidRDefault="00043F4A">
            <w:pPr>
              <w:spacing w:after="40"/>
            </w:pPr>
            <w:r>
              <w:rPr>
                <w:sz w:val="18"/>
              </w:rPr>
              <w:t>Uso de la interpretación como criterio para decidir entre alternativas en el contexto aplicado.</w:t>
            </w:r>
          </w:p>
        </w:tc>
      </w:tr>
      <w:tr w:rsidR="00043F4A">
        <w:trPr>
          <w:cantSplit/>
          <w:jc w:val="center"/>
        </w:trPr>
        <w:tc>
          <w:tcPr>
            <w:tcW w:w="1898" w:type="dxa"/>
            <w:tcMar>
              <w:top w:w="45" w:type="dxa"/>
              <w:left w:w="55" w:type="dxa"/>
              <w:bottom w:w="45" w:type="dxa"/>
              <w:right w:w="55" w:type="dxa"/>
            </w:tcMar>
          </w:tcPr>
          <w:p w:rsidR="00043F4A" w:rsidRDefault="00043F4A">
            <w:pPr>
              <w:spacing w:after="40"/>
            </w:pPr>
          </w:p>
        </w:tc>
        <w:tc>
          <w:tcPr>
            <w:tcW w:w="2598" w:type="dxa"/>
            <w:tcMar>
              <w:top w:w="45" w:type="dxa"/>
              <w:left w:w="55" w:type="dxa"/>
              <w:bottom w:w="45" w:type="dxa"/>
              <w:right w:w="55" w:type="dxa"/>
            </w:tcMar>
          </w:tcPr>
          <w:p w:rsidR="00043F4A" w:rsidRDefault="00043F4A">
            <w:pPr>
              <w:spacing w:after="40"/>
            </w:pPr>
            <w:r>
              <w:rPr>
                <w:sz w:val="18"/>
              </w:rPr>
              <w:t>Transferencia</w:t>
            </w:r>
          </w:p>
        </w:tc>
        <w:tc>
          <w:tcPr>
            <w:tcW w:w="4846" w:type="dxa"/>
            <w:tcMar>
              <w:top w:w="45" w:type="dxa"/>
              <w:left w:w="55" w:type="dxa"/>
              <w:bottom w:w="45" w:type="dxa"/>
              <w:right w:w="55" w:type="dxa"/>
            </w:tcMar>
          </w:tcPr>
          <w:p w:rsidR="00043F4A" w:rsidRDefault="00043F4A">
            <w:pPr>
              <w:spacing w:after="40"/>
            </w:pPr>
            <w:r>
              <w:rPr>
                <w:sz w:val="18"/>
              </w:rPr>
              <w:t>Aplicación del razonamiento interpretativo a un contexto distinto al trabajado previamente.</w:t>
            </w:r>
          </w:p>
        </w:tc>
      </w:tr>
      <w:tr w:rsidR="00043F4A">
        <w:trPr>
          <w:cantSplit/>
          <w:jc w:val="center"/>
        </w:trPr>
        <w:tc>
          <w:tcPr>
            <w:tcW w:w="1898" w:type="dxa"/>
            <w:tcMar>
              <w:top w:w="45" w:type="dxa"/>
              <w:left w:w="55" w:type="dxa"/>
              <w:bottom w:w="45" w:type="dxa"/>
              <w:right w:w="55" w:type="dxa"/>
            </w:tcMar>
          </w:tcPr>
          <w:p w:rsidR="00043F4A" w:rsidRDefault="00043F4A">
            <w:pPr>
              <w:spacing w:after="40"/>
            </w:pPr>
          </w:p>
        </w:tc>
        <w:tc>
          <w:tcPr>
            <w:tcW w:w="2598" w:type="dxa"/>
            <w:tcMar>
              <w:top w:w="45" w:type="dxa"/>
              <w:left w:w="55" w:type="dxa"/>
              <w:bottom w:w="45" w:type="dxa"/>
              <w:right w:w="55" w:type="dxa"/>
            </w:tcMar>
          </w:tcPr>
          <w:p w:rsidR="00043F4A" w:rsidRDefault="00043F4A">
            <w:pPr>
              <w:spacing w:after="40"/>
            </w:pPr>
            <w:r>
              <w:rPr>
                <w:sz w:val="18"/>
              </w:rPr>
              <w:t>Coordinación entre elementos puntuales y globales</w:t>
            </w:r>
          </w:p>
        </w:tc>
        <w:tc>
          <w:tcPr>
            <w:tcW w:w="4846" w:type="dxa"/>
            <w:tcMar>
              <w:top w:w="45" w:type="dxa"/>
              <w:left w:w="55" w:type="dxa"/>
              <w:bottom w:w="45" w:type="dxa"/>
              <w:right w:w="55" w:type="dxa"/>
            </w:tcMar>
          </w:tcPr>
          <w:p w:rsidR="00043F4A" w:rsidRDefault="00043F4A">
            <w:pPr>
              <w:spacing w:after="40"/>
            </w:pPr>
            <w:r>
              <w:rPr>
                <w:sz w:val="18"/>
              </w:rPr>
              <w:t>Relación entre el comportamiento local de la derivada en un punto y el comportamiento global de la función, cuando la tarea lo permite.</w:t>
            </w:r>
          </w:p>
        </w:tc>
      </w:tr>
    </w:tbl>
    <w:p w:rsidR="00043F4A" w:rsidRDefault="00043F4A">
      <w:pPr>
        <w:spacing w:after="160" w:line="276" w:lineRule="auto"/>
        <w:jc w:val="both"/>
      </w:pPr>
      <w:r>
        <w:t>Las dificultades reportadas por Fuentealba et al. (2023), descritas en la sección 1.2, aportan fundamento empírico específico a varias de estas dimensiones. La dificultad asociada a la comprensión de la derivada como límite del cociente incremental respalda la inclusión de la distinción entre razón de cambio promedio e instantánea. Las dificultades para relacionar el signo de la derivada con la monotonía de la función y para graficar a partir de información analítica respaldan las dimensiones de relación simbólica, relación gráfica y coordinación representacional. Asimismo, las dificultades para establecer relaciones entre la primera y la segunda derivada, y para coordinar elementos puntuales y globales del comportamiento de la función, fundamentan la inclusión de la coordinación entre elementos puntuales y globales, especialmente en el nivel Esquema. Estas dificultades, documentadas en estudiantes de ingeniería, refuerzan la pertinencia de incluir dichas dimensiones en un instrumento dirigido a la misma población.</w:t>
      </w:r>
    </w:p>
    <w:p w:rsidR="00043F4A" w:rsidRDefault="00043F4A">
      <w:pPr>
        <w:spacing w:after="200"/>
      </w:pPr>
    </w:p>
    <w:p w:rsidR="00043F4A" w:rsidRDefault="00043F4A">
      <w:pPr>
        <w:pStyle w:val="Ttulo1"/>
        <w:keepNext/>
        <w:spacing w:before="280" w:line="276" w:lineRule="auto"/>
      </w:pPr>
      <w:r>
        <w:rPr>
          <w:color w:val="1F3864"/>
          <w:szCs w:val="30"/>
        </w:rPr>
        <w:t>3. Capa de prerrequisitos diagnosticables</w:t>
      </w:r>
    </w:p>
    <w:p w:rsidR="00043F4A" w:rsidRDefault="00043F4A">
      <w:pPr>
        <w:spacing w:after="160" w:line="276" w:lineRule="auto"/>
        <w:jc w:val="both"/>
      </w:pPr>
      <w:r>
        <w:t xml:space="preserve">Esta capa no constituye un nivel APOE de la derivada; corresponde a una condición previa. Su función es distinguir si una dificultad observada en la respuesta del estudiante proviene del concepto nuevo (la razón de cambio instantánea) o de una construcción matemática previa insuficientemente consolidada, lo cual resulta pertinente considerando </w:t>
      </w:r>
      <w:r>
        <w:lastRenderedPageBreak/>
        <w:t>las dificultades de base asociadas a la transición entre la educación media y la educación superior. Esta capa se diagnostica y no se enseña de manera exhaustiva dentro de la estrategia didáctica.</w:t>
      </w:r>
    </w:p>
    <w:tbl>
      <w:tblPr>
        <w:tblW w:w="9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97"/>
        <w:gridCol w:w="6146"/>
      </w:tblGrid>
      <w:tr w:rsidR="00043F4A">
        <w:trPr>
          <w:cantSplit/>
          <w:tblHeader/>
          <w:jc w:val="center"/>
        </w:trPr>
        <w:tc>
          <w:tcPr>
            <w:tcW w:w="3197" w:type="dxa"/>
            <w:shd w:val="clear" w:color="auto" w:fill="1F3864"/>
            <w:tcMar>
              <w:top w:w="45" w:type="dxa"/>
              <w:left w:w="55" w:type="dxa"/>
              <w:bottom w:w="45" w:type="dxa"/>
              <w:right w:w="55" w:type="dxa"/>
            </w:tcMar>
          </w:tcPr>
          <w:p w:rsidR="00043F4A" w:rsidRDefault="00043F4A">
            <w:pPr>
              <w:spacing w:after="40"/>
            </w:pPr>
            <w:r>
              <w:rPr>
                <w:b/>
                <w:bCs/>
                <w:color w:val="FFFFFF"/>
                <w:sz w:val="18"/>
              </w:rPr>
              <w:t>Prerrequisito</w:t>
            </w:r>
          </w:p>
        </w:tc>
        <w:tc>
          <w:tcPr>
            <w:tcW w:w="6145" w:type="dxa"/>
            <w:shd w:val="clear" w:color="auto" w:fill="1F3864"/>
            <w:tcMar>
              <w:top w:w="45" w:type="dxa"/>
              <w:left w:w="55" w:type="dxa"/>
              <w:bottom w:w="45" w:type="dxa"/>
              <w:right w:w="55" w:type="dxa"/>
            </w:tcMar>
          </w:tcPr>
          <w:p w:rsidR="00043F4A" w:rsidRDefault="00043F4A">
            <w:pPr>
              <w:spacing w:after="40"/>
            </w:pPr>
            <w:r>
              <w:rPr>
                <w:b/>
                <w:bCs/>
                <w:color w:val="FFFFFF"/>
                <w:sz w:val="18"/>
              </w:rPr>
              <w:t>Función diagnóstica</w:t>
            </w:r>
          </w:p>
        </w:tc>
      </w:tr>
      <w:tr w:rsidR="00043F4A">
        <w:trPr>
          <w:cantSplit/>
          <w:jc w:val="center"/>
        </w:trPr>
        <w:tc>
          <w:tcPr>
            <w:tcW w:w="3197" w:type="dxa"/>
            <w:shd w:val="clear" w:color="auto" w:fill="DCE6F1"/>
            <w:tcMar>
              <w:top w:w="45" w:type="dxa"/>
              <w:left w:w="55" w:type="dxa"/>
              <w:bottom w:w="45" w:type="dxa"/>
              <w:right w:w="55" w:type="dxa"/>
            </w:tcMar>
          </w:tcPr>
          <w:p w:rsidR="00043F4A" w:rsidRDefault="00043F4A">
            <w:pPr>
              <w:spacing w:after="40"/>
            </w:pPr>
            <w:r>
              <w:rPr>
                <w:b/>
                <w:bCs/>
                <w:sz w:val="18"/>
              </w:rPr>
              <w:t>Concepto de función</w:t>
            </w:r>
          </w:p>
        </w:tc>
        <w:tc>
          <w:tcPr>
            <w:tcW w:w="6145" w:type="dxa"/>
            <w:tcMar>
              <w:top w:w="45" w:type="dxa"/>
              <w:left w:w="55" w:type="dxa"/>
              <w:bottom w:w="45" w:type="dxa"/>
              <w:right w:w="55" w:type="dxa"/>
            </w:tcMar>
          </w:tcPr>
          <w:p w:rsidR="00043F4A" w:rsidRDefault="00043F4A">
            <w:pPr>
              <w:spacing w:after="40"/>
            </w:pPr>
            <w:r>
              <w:rPr>
                <w:sz w:val="18"/>
              </w:rPr>
              <w:t>Verificar si el estudiante comprende la dependencia entre variables y no únicamente la sustitución de valores.</w:t>
            </w:r>
          </w:p>
        </w:tc>
      </w:tr>
      <w:tr w:rsidR="00043F4A">
        <w:trPr>
          <w:cantSplit/>
          <w:jc w:val="center"/>
        </w:trPr>
        <w:tc>
          <w:tcPr>
            <w:tcW w:w="3197" w:type="dxa"/>
            <w:shd w:val="clear" w:color="auto" w:fill="DCE6F1"/>
            <w:tcMar>
              <w:top w:w="45" w:type="dxa"/>
              <w:left w:w="55" w:type="dxa"/>
              <w:bottom w:w="45" w:type="dxa"/>
              <w:right w:w="55" w:type="dxa"/>
            </w:tcMar>
          </w:tcPr>
          <w:p w:rsidR="00043F4A" w:rsidRDefault="00043F4A">
            <w:pPr>
              <w:spacing w:after="40"/>
            </w:pPr>
            <w:r>
              <w:rPr>
                <w:b/>
                <w:bCs/>
                <w:sz w:val="18"/>
              </w:rPr>
              <w:t>Pendiente de una recta</w:t>
            </w:r>
          </w:p>
        </w:tc>
        <w:tc>
          <w:tcPr>
            <w:tcW w:w="6145" w:type="dxa"/>
            <w:tcMar>
              <w:top w:w="45" w:type="dxa"/>
              <w:left w:w="55" w:type="dxa"/>
              <w:bottom w:w="45" w:type="dxa"/>
              <w:right w:w="55" w:type="dxa"/>
            </w:tcMar>
          </w:tcPr>
          <w:p w:rsidR="00043F4A" w:rsidRDefault="00043F4A">
            <w:pPr>
              <w:spacing w:after="40"/>
            </w:pPr>
            <w:r>
              <w:rPr>
                <w:sz w:val="18"/>
              </w:rPr>
              <w:t>Verificar si interpreta la pendiente como razón entre cambios, base geométrica de la interpretación de f'(a).</w:t>
            </w:r>
          </w:p>
        </w:tc>
      </w:tr>
      <w:tr w:rsidR="00043F4A">
        <w:trPr>
          <w:cantSplit/>
          <w:jc w:val="center"/>
        </w:trPr>
        <w:tc>
          <w:tcPr>
            <w:tcW w:w="3197" w:type="dxa"/>
            <w:shd w:val="clear" w:color="auto" w:fill="DCE6F1"/>
            <w:tcMar>
              <w:top w:w="45" w:type="dxa"/>
              <w:left w:w="55" w:type="dxa"/>
              <w:bottom w:w="45" w:type="dxa"/>
              <w:right w:w="55" w:type="dxa"/>
            </w:tcMar>
          </w:tcPr>
          <w:p w:rsidR="00043F4A" w:rsidRDefault="00043F4A">
            <w:pPr>
              <w:spacing w:after="40"/>
            </w:pPr>
            <w:r>
              <w:rPr>
                <w:b/>
                <w:bCs/>
                <w:sz w:val="18"/>
              </w:rPr>
              <w:t>Razón de cambio promedio</w:t>
            </w:r>
          </w:p>
        </w:tc>
        <w:tc>
          <w:tcPr>
            <w:tcW w:w="6145" w:type="dxa"/>
            <w:tcMar>
              <w:top w:w="45" w:type="dxa"/>
              <w:left w:w="55" w:type="dxa"/>
              <w:bottom w:w="45" w:type="dxa"/>
              <w:right w:w="55" w:type="dxa"/>
            </w:tcMar>
          </w:tcPr>
          <w:p w:rsidR="00043F4A" w:rsidRDefault="00043F4A">
            <w:pPr>
              <w:spacing w:after="40"/>
            </w:pPr>
            <w:r>
              <w:rPr>
                <w:sz w:val="18"/>
              </w:rPr>
              <w:t xml:space="preserve">Establecer si calcula e interpreta </w:t>
            </w:r>
            <w:proofErr w:type="spellStart"/>
            <w:r>
              <w:rPr>
                <w:sz w:val="18"/>
              </w:rPr>
              <w:t>Δy</w:t>
            </w:r>
            <w:proofErr w:type="spellEnd"/>
            <w:r>
              <w:rPr>
                <w:sz w:val="18"/>
              </w:rPr>
              <w:t>/</w:t>
            </w:r>
            <w:proofErr w:type="spellStart"/>
            <w:r>
              <w:rPr>
                <w:sz w:val="18"/>
              </w:rPr>
              <w:t>Δx</w:t>
            </w:r>
            <w:proofErr w:type="spellEnd"/>
            <w:r>
              <w:rPr>
                <w:sz w:val="18"/>
              </w:rPr>
              <w:t xml:space="preserve"> antes de abordar la razón de cambio instantánea.</w:t>
            </w:r>
          </w:p>
        </w:tc>
      </w:tr>
      <w:tr w:rsidR="00043F4A">
        <w:trPr>
          <w:cantSplit/>
          <w:jc w:val="center"/>
        </w:trPr>
        <w:tc>
          <w:tcPr>
            <w:tcW w:w="3197" w:type="dxa"/>
            <w:shd w:val="clear" w:color="auto" w:fill="DCE6F1"/>
            <w:tcMar>
              <w:top w:w="45" w:type="dxa"/>
              <w:left w:w="55" w:type="dxa"/>
              <w:bottom w:w="45" w:type="dxa"/>
              <w:right w:w="55" w:type="dxa"/>
            </w:tcMar>
          </w:tcPr>
          <w:p w:rsidR="00043F4A" w:rsidRDefault="00043F4A">
            <w:pPr>
              <w:spacing w:after="40"/>
            </w:pPr>
            <w:r>
              <w:rPr>
                <w:b/>
                <w:bCs/>
                <w:sz w:val="18"/>
              </w:rPr>
              <w:t>Unidades y análisis dimensional</w:t>
            </w:r>
          </w:p>
        </w:tc>
        <w:tc>
          <w:tcPr>
            <w:tcW w:w="6145" w:type="dxa"/>
            <w:tcMar>
              <w:top w:w="45" w:type="dxa"/>
              <w:left w:w="55" w:type="dxa"/>
              <w:bottom w:w="45" w:type="dxa"/>
              <w:right w:w="55" w:type="dxa"/>
            </w:tcMar>
          </w:tcPr>
          <w:p w:rsidR="00043F4A" w:rsidRDefault="00043F4A">
            <w:pPr>
              <w:spacing w:after="40"/>
            </w:pPr>
            <w:r>
              <w:rPr>
                <w:sz w:val="18"/>
              </w:rPr>
              <w:t>Verificar si maneja unidades compuestas (unidad de salida por unidad de entrada) con coherencia.</w:t>
            </w:r>
          </w:p>
        </w:tc>
      </w:tr>
      <w:tr w:rsidR="00043F4A">
        <w:trPr>
          <w:cantSplit/>
          <w:jc w:val="center"/>
        </w:trPr>
        <w:tc>
          <w:tcPr>
            <w:tcW w:w="3197" w:type="dxa"/>
            <w:shd w:val="clear" w:color="auto" w:fill="DCE6F1"/>
            <w:tcMar>
              <w:top w:w="45" w:type="dxa"/>
              <w:left w:w="55" w:type="dxa"/>
              <w:bottom w:w="45" w:type="dxa"/>
              <w:right w:w="55" w:type="dxa"/>
            </w:tcMar>
          </w:tcPr>
          <w:p w:rsidR="00043F4A" w:rsidRDefault="00043F4A">
            <w:pPr>
              <w:spacing w:after="40"/>
            </w:pPr>
            <w:r>
              <w:rPr>
                <w:b/>
                <w:bCs/>
                <w:sz w:val="18"/>
              </w:rPr>
              <w:t>Álgebra básica</w:t>
            </w:r>
          </w:p>
        </w:tc>
        <w:tc>
          <w:tcPr>
            <w:tcW w:w="6145" w:type="dxa"/>
            <w:tcMar>
              <w:top w:w="45" w:type="dxa"/>
              <w:left w:w="55" w:type="dxa"/>
              <w:bottom w:w="45" w:type="dxa"/>
              <w:right w:w="55" w:type="dxa"/>
            </w:tcMar>
          </w:tcPr>
          <w:p w:rsidR="00043F4A" w:rsidRDefault="00043F4A">
            <w:pPr>
              <w:spacing w:after="40"/>
            </w:pPr>
            <w:r>
              <w:rPr>
                <w:sz w:val="18"/>
              </w:rPr>
              <w:t>Distinguir si un error en el cálculo de f'(a) es de naturaleza operativa (factorización, simplificación de cocientes) y no conceptual.</w:t>
            </w:r>
          </w:p>
        </w:tc>
      </w:tr>
      <w:tr w:rsidR="00043F4A">
        <w:trPr>
          <w:cantSplit/>
          <w:jc w:val="center"/>
        </w:trPr>
        <w:tc>
          <w:tcPr>
            <w:tcW w:w="3197" w:type="dxa"/>
            <w:shd w:val="clear" w:color="auto" w:fill="DCE6F1"/>
            <w:tcMar>
              <w:top w:w="45" w:type="dxa"/>
              <w:left w:w="55" w:type="dxa"/>
              <w:bottom w:w="45" w:type="dxa"/>
              <w:right w:w="55" w:type="dxa"/>
            </w:tcMar>
          </w:tcPr>
          <w:p w:rsidR="00043F4A" w:rsidRDefault="00043F4A">
            <w:pPr>
              <w:spacing w:after="40"/>
            </w:pPr>
            <w:r>
              <w:rPr>
                <w:b/>
                <w:bCs/>
                <w:sz w:val="18"/>
              </w:rPr>
              <w:t>Lectura e interpretación de gráficas</w:t>
            </w:r>
          </w:p>
        </w:tc>
        <w:tc>
          <w:tcPr>
            <w:tcW w:w="6145" w:type="dxa"/>
            <w:tcMar>
              <w:top w:w="45" w:type="dxa"/>
              <w:left w:w="55" w:type="dxa"/>
              <w:bottom w:w="45" w:type="dxa"/>
              <w:right w:w="55" w:type="dxa"/>
            </w:tcMar>
          </w:tcPr>
          <w:p w:rsidR="00043F4A" w:rsidRDefault="00043F4A">
            <w:pPr>
              <w:spacing w:after="40"/>
            </w:pPr>
            <w:r>
              <w:rPr>
                <w:sz w:val="18"/>
              </w:rPr>
              <w:t>Verificar si el estudiante extrae información cualitativa de una gráfica (crecimiento, decrecimiento, concavidad básica) antes de vincularla con la derivada.</w:t>
            </w:r>
          </w:p>
        </w:tc>
      </w:tr>
      <w:tr w:rsidR="00043F4A">
        <w:trPr>
          <w:cantSplit/>
          <w:jc w:val="center"/>
        </w:trPr>
        <w:tc>
          <w:tcPr>
            <w:tcW w:w="3197" w:type="dxa"/>
            <w:shd w:val="clear" w:color="auto" w:fill="DCE6F1"/>
            <w:tcMar>
              <w:top w:w="45" w:type="dxa"/>
              <w:left w:w="55" w:type="dxa"/>
              <w:bottom w:w="45" w:type="dxa"/>
              <w:right w:w="55" w:type="dxa"/>
            </w:tcMar>
          </w:tcPr>
          <w:p w:rsidR="00043F4A" w:rsidRDefault="00043F4A">
            <w:pPr>
              <w:spacing w:after="40"/>
            </w:pPr>
            <w:r>
              <w:rPr>
                <w:b/>
                <w:bCs/>
                <w:sz w:val="18"/>
              </w:rPr>
              <w:t>Lenguaje contextual</w:t>
            </w:r>
          </w:p>
        </w:tc>
        <w:tc>
          <w:tcPr>
            <w:tcW w:w="6145" w:type="dxa"/>
            <w:tcMar>
              <w:top w:w="45" w:type="dxa"/>
              <w:left w:w="55" w:type="dxa"/>
              <w:bottom w:w="45" w:type="dxa"/>
              <w:right w:w="55" w:type="dxa"/>
            </w:tcMar>
          </w:tcPr>
          <w:p w:rsidR="00043F4A" w:rsidRDefault="00043F4A">
            <w:pPr>
              <w:spacing w:after="40"/>
            </w:pPr>
            <w:r>
              <w:rPr>
                <w:sz w:val="18"/>
              </w:rPr>
              <w:t>Verificar la comprensión lectora del enunciado aplicado, de manera independiente al manejo matemático.</w:t>
            </w:r>
          </w:p>
        </w:tc>
      </w:tr>
    </w:tbl>
    <w:p w:rsidR="00043F4A" w:rsidRDefault="00043F4A">
      <w:pPr>
        <w:spacing w:after="200"/>
      </w:pPr>
    </w:p>
    <w:p w:rsidR="00043F4A" w:rsidRDefault="00043F4A">
      <w:pPr>
        <w:pStyle w:val="Ttulo1"/>
        <w:keepNext/>
        <w:spacing w:before="280" w:line="276" w:lineRule="auto"/>
      </w:pPr>
      <w:r>
        <w:rPr>
          <w:color w:val="1F3864"/>
          <w:szCs w:val="30"/>
        </w:rPr>
        <w:t>4. Matriz APOE propuesta: núcleo clasificable</w:t>
      </w:r>
    </w:p>
    <w:p w:rsidR="00043F4A" w:rsidRDefault="00043F4A">
      <w:pPr>
        <w:spacing w:after="160" w:line="276" w:lineRule="auto"/>
        <w:jc w:val="both"/>
      </w:pPr>
      <w:r>
        <w:t>Este apartado presenta el instrumento propuesto para someterse a validación de contenido por juicio de expertos. Cada nivel se define mediante la construcción mental esperada, las dimensiones del constructo que moviliza (sección 2), los indicadores observables que permiten clasificar una respuesta, la regla general de clasificación y las evidencias esperadas. Se trata de una propuesta preliminar, sujeta a los ajustes que resulten del proceso de validación.</w:t>
      </w:r>
    </w:p>
    <w:p w:rsidR="00043F4A" w:rsidRDefault="00043F4A">
      <w:pPr>
        <w:spacing w:after="160" w:line="276" w:lineRule="auto"/>
        <w:jc w:val="both"/>
      </w:pPr>
      <w:r>
        <w:t>El alcance de la matriz corresponde a la comprensión variacional, representacional y contextual de la derivada como razón de cambio instantánea, y no a la totalidad de la teoría formal de la derivada ni a la tematización completa del esquema de derivada descrita en estudios como Fuentealba et al. (2023). Los elementos incorporados a partir de dicho estudio, en particular la coordinación entre elementos puntuales y globales en el nivel Esquema, se integran en la medida en que resultan pertinentes para ese alcance.</w:t>
      </w:r>
    </w:p>
    <w:tbl>
      <w:tblPr>
        <w:tblW w:w="9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1"/>
        <w:gridCol w:w="1579"/>
        <w:gridCol w:w="1580"/>
        <w:gridCol w:w="1761"/>
        <w:gridCol w:w="1761"/>
        <w:gridCol w:w="1761"/>
      </w:tblGrid>
      <w:tr w:rsidR="00043F4A">
        <w:trPr>
          <w:cantSplit/>
          <w:tblHeader/>
          <w:jc w:val="center"/>
        </w:trPr>
        <w:tc>
          <w:tcPr>
            <w:tcW w:w="902" w:type="dxa"/>
            <w:shd w:val="clear" w:color="auto" w:fill="1F3864"/>
            <w:tcMar>
              <w:top w:w="45" w:type="dxa"/>
              <w:left w:w="55" w:type="dxa"/>
              <w:bottom w:w="45" w:type="dxa"/>
              <w:right w:w="55" w:type="dxa"/>
            </w:tcMar>
          </w:tcPr>
          <w:p w:rsidR="00043F4A" w:rsidRDefault="00043F4A">
            <w:pPr>
              <w:spacing w:after="40"/>
            </w:pPr>
            <w:r>
              <w:rPr>
                <w:b/>
                <w:bCs/>
                <w:color w:val="FFFFFF"/>
                <w:sz w:val="19"/>
              </w:rPr>
              <w:lastRenderedPageBreak/>
              <w:t>Nivel</w:t>
            </w:r>
          </w:p>
        </w:tc>
        <w:tc>
          <w:tcPr>
            <w:tcW w:w="1579" w:type="dxa"/>
            <w:shd w:val="clear" w:color="auto" w:fill="1F3864"/>
            <w:tcMar>
              <w:top w:w="45" w:type="dxa"/>
              <w:left w:w="55" w:type="dxa"/>
              <w:bottom w:w="45" w:type="dxa"/>
              <w:right w:w="55" w:type="dxa"/>
            </w:tcMar>
          </w:tcPr>
          <w:p w:rsidR="00043F4A" w:rsidRDefault="00043F4A">
            <w:pPr>
              <w:spacing w:after="40"/>
            </w:pPr>
            <w:r>
              <w:rPr>
                <w:b/>
                <w:bCs/>
                <w:color w:val="FFFFFF"/>
                <w:sz w:val="19"/>
              </w:rPr>
              <w:t>Construcción mental esperada</w:t>
            </w:r>
          </w:p>
        </w:tc>
        <w:tc>
          <w:tcPr>
            <w:tcW w:w="1579" w:type="dxa"/>
            <w:shd w:val="clear" w:color="auto" w:fill="1F3864"/>
            <w:tcMar>
              <w:top w:w="45" w:type="dxa"/>
              <w:left w:w="55" w:type="dxa"/>
              <w:bottom w:w="45" w:type="dxa"/>
              <w:right w:w="55" w:type="dxa"/>
            </w:tcMar>
          </w:tcPr>
          <w:p w:rsidR="00043F4A" w:rsidRDefault="00043F4A">
            <w:pPr>
              <w:spacing w:after="40"/>
            </w:pPr>
            <w:r>
              <w:rPr>
                <w:b/>
                <w:bCs/>
                <w:color w:val="FFFFFF"/>
                <w:sz w:val="19"/>
              </w:rPr>
              <w:t>Dimensiones que moviliza</w:t>
            </w:r>
          </w:p>
        </w:tc>
        <w:tc>
          <w:tcPr>
            <w:tcW w:w="1760" w:type="dxa"/>
            <w:shd w:val="clear" w:color="auto" w:fill="1F3864"/>
            <w:tcMar>
              <w:top w:w="45" w:type="dxa"/>
              <w:left w:w="55" w:type="dxa"/>
              <w:bottom w:w="45" w:type="dxa"/>
              <w:right w:w="55" w:type="dxa"/>
            </w:tcMar>
          </w:tcPr>
          <w:p w:rsidR="00043F4A" w:rsidRDefault="00043F4A">
            <w:pPr>
              <w:spacing w:after="40"/>
            </w:pPr>
            <w:r>
              <w:rPr>
                <w:b/>
                <w:bCs/>
                <w:color w:val="FFFFFF"/>
                <w:sz w:val="19"/>
              </w:rPr>
              <w:t>Indicadores observables</w:t>
            </w:r>
          </w:p>
        </w:tc>
        <w:tc>
          <w:tcPr>
            <w:tcW w:w="1760" w:type="dxa"/>
            <w:shd w:val="clear" w:color="auto" w:fill="1F3864"/>
            <w:tcMar>
              <w:top w:w="45" w:type="dxa"/>
              <w:left w:w="55" w:type="dxa"/>
              <w:bottom w:w="45" w:type="dxa"/>
              <w:right w:w="55" w:type="dxa"/>
            </w:tcMar>
          </w:tcPr>
          <w:p w:rsidR="00043F4A" w:rsidRDefault="00043F4A">
            <w:pPr>
              <w:spacing w:after="40"/>
            </w:pPr>
            <w:r>
              <w:rPr>
                <w:b/>
                <w:bCs/>
                <w:color w:val="FFFFFF"/>
                <w:sz w:val="19"/>
              </w:rPr>
              <w:t>Regla general de clasificación</w:t>
            </w:r>
          </w:p>
        </w:tc>
        <w:tc>
          <w:tcPr>
            <w:tcW w:w="1760" w:type="dxa"/>
            <w:shd w:val="clear" w:color="auto" w:fill="1F3864"/>
            <w:tcMar>
              <w:top w:w="45" w:type="dxa"/>
              <w:left w:w="55" w:type="dxa"/>
              <w:bottom w:w="45" w:type="dxa"/>
              <w:right w:w="55" w:type="dxa"/>
            </w:tcMar>
          </w:tcPr>
          <w:p w:rsidR="00043F4A" w:rsidRDefault="00043F4A">
            <w:pPr>
              <w:spacing w:after="40"/>
            </w:pPr>
            <w:r>
              <w:rPr>
                <w:b/>
                <w:bCs/>
                <w:color w:val="FFFFFF"/>
                <w:sz w:val="19"/>
              </w:rPr>
              <w:t>Evidencias esperadas en la respuesta</w:t>
            </w:r>
          </w:p>
        </w:tc>
      </w:tr>
      <w:tr w:rsidR="00043F4A">
        <w:trPr>
          <w:cantSplit/>
          <w:jc w:val="center"/>
        </w:trPr>
        <w:tc>
          <w:tcPr>
            <w:tcW w:w="902" w:type="dxa"/>
            <w:shd w:val="clear" w:color="auto" w:fill="9DC3E6"/>
            <w:tcMar>
              <w:top w:w="45" w:type="dxa"/>
              <w:left w:w="55" w:type="dxa"/>
              <w:bottom w:w="45" w:type="dxa"/>
              <w:right w:w="55" w:type="dxa"/>
            </w:tcMar>
          </w:tcPr>
          <w:p w:rsidR="00043F4A" w:rsidRDefault="00043F4A">
            <w:pPr>
              <w:spacing w:after="40"/>
            </w:pPr>
            <w:r>
              <w:rPr>
                <w:b/>
                <w:bCs/>
                <w:sz w:val="18"/>
              </w:rPr>
              <w:t>Acción</w:t>
            </w:r>
          </w:p>
        </w:tc>
        <w:tc>
          <w:tcPr>
            <w:tcW w:w="1579" w:type="dxa"/>
            <w:tcMar>
              <w:top w:w="45" w:type="dxa"/>
              <w:left w:w="55" w:type="dxa"/>
              <w:bottom w:w="45" w:type="dxa"/>
              <w:right w:w="55" w:type="dxa"/>
            </w:tcMar>
          </w:tcPr>
          <w:p w:rsidR="00043F4A" w:rsidRDefault="00043F4A">
            <w:pPr>
              <w:spacing w:after="40"/>
            </w:pPr>
            <w:r>
              <w:rPr>
                <w:sz w:val="18"/>
              </w:rPr>
              <w:t>Calcula f'(a) aplicando reglas de derivación o identifica un valor, sin conectar el resultado con la variación de una cantidad en un contexto.</w:t>
            </w:r>
          </w:p>
        </w:tc>
        <w:tc>
          <w:tcPr>
            <w:tcW w:w="1579" w:type="dxa"/>
            <w:tcMar>
              <w:top w:w="45" w:type="dxa"/>
              <w:left w:w="55" w:type="dxa"/>
              <w:bottom w:w="45" w:type="dxa"/>
              <w:right w:w="55" w:type="dxa"/>
            </w:tcMar>
          </w:tcPr>
          <w:p w:rsidR="00043F4A" w:rsidRDefault="00043F4A">
            <w:pPr>
              <w:spacing w:after="40"/>
            </w:pPr>
            <w:r>
              <w:rPr>
                <w:sz w:val="18"/>
              </w:rPr>
              <w:t>Ninguna dimensión interpretativa movilizada de forma explícita</w:t>
            </w:r>
          </w:p>
          <w:p w:rsidR="00043F4A" w:rsidRDefault="00043F4A">
            <w:pPr>
              <w:spacing w:after="40"/>
            </w:pPr>
            <w:r>
              <w:rPr>
                <w:sz w:val="18"/>
              </w:rPr>
              <w:t>Relación simbólica presente únicamente como manipulación</w:t>
            </w:r>
          </w:p>
        </w:tc>
        <w:tc>
          <w:tcPr>
            <w:tcW w:w="1760" w:type="dxa"/>
            <w:tcMar>
              <w:top w:w="45" w:type="dxa"/>
              <w:left w:w="55" w:type="dxa"/>
              <w:bottom w:w="45" w:type="dxa"/>
              <w:right w:w="55" w:type="dxa"/>
            </w:tcMar>
          </w:tcPr>
          <w:p w:rsidR="00043F4A" w:rsidRDefault="00043F4A">
            <w:pPr>
              <w:spacing w:after="40"/>
            </w:pPr>
            <w:r>
              <w:rPr>
                <w:sz w:val="18"/>
              </w:rPr>
              <w:t>Reproduce el procedimiento de derivación o el valor numérico</w:t>
            </w:r>
          </w:p>
          <w:p w:rsidR="00043F4A" w:rsidRDefault="00043F4A">
            <w:pPr>
              <w:spacing w:after="40"/>
            </w:pPr>
            <w:r>
              <w:rPr>
                <w:sz w:val="18"/>
              </w:rPr>
              <w:t>No menciona qué cantidad cambia ni respecto a qué</w:t>
            </w:r>
          </w:p>
          <w:p w:rsidR="00043F4A" w:rsidRDefault="00043F4A">
            <w:pPr>
              <w:spacing w:after="40"/>
            </w:pPr>
            <w:r>
              <w:rPr>
                <w:sz w:val="18"/>
              </w:rPr>
              <w:t>No distingue el punto de evaluación como relevante</w:t>
            </w:r>
          </w:p>
        </w:tc>
        <w:tc>
          <w:tcPr>
            <w:tcW w:w="1760" w:type="dxa"/>
            <w:tcMar>
              <w:top w:w="45" w:type="dxa"/>
              <w:left w:w="55" w:type="dxa"/>
              <w:bottom w:w="45" w:type="dxa"/>
              <w:right w:w="55" w:type="dxa"/>
            </w:tcMar>
          </w:tcPr>
          <w:p w:rsidR="00043F4A" w:rsidRDefault="00043F4A">
            <w:pPr>
              <w:spacing w:after="40"/>
            </w:pPr>
            <w:r>
              <w:rPr>
                <w:sz w:val="18"/>
              </w:rPr>
              <w:t>Clasificar como Acción si la respuesta se limita al procedimiento o al valor, sin ningún intento de interpretación variacional, gráfica o contextual.</w:t>
            </w:r>
          </w:p>
        </w:tc>
        <w:tc>
          <w:tcPr>
            <w:tcW w:w="1760" w:type="dxa"/>
            <w:tcMar>
              <w:top w:w="45" w:type="dxa"/>
              <w:left w:w="55" w:type="dxa"/>
              <w:bottom w:w="45" w:type="dxa"/>
              <w:right w:w="55" w:type="dxa"/>
            </w:tcMar>
          </w:tcPr>
          <w:p w:rsidR="00043F4A" w:rsidRDefault="00043F4A">
            <w:pPr>
              <w:spacing w:after="40"/>
            </w:pPr>
            <w:r>
              <w:rPr>
                <w:sz w:val="18"/>
              </w:rPr>
              <w:t>Presencia del cálculo o de la regla de derivación</w:t>
            </w:r>
          </w:p>
          <w:p w:rsidR="00043F4A" w:rsidRDefault="00043F4A">
            <w:pPr>
              <w:spacing w:after="40"/>
            </w:pPr>
            <w:r>
              <w:rPr>
                <w:sz w:val="18"/>
              </w:rPr>
              <w:t>Ausencia de lenguaje de variación, signo, magnitud o unidades</w:t>
            </w:r>
          </w:p>
          <w:p w:rsidR="00043F4A" w:rsidRDefault="00043F4A">
            <w:pPr>
              <w:spacing w:after="40"/>
            </w:pPr>
            <w:r>
              <w:rPr>
                <w:sz w:val="18"/>
              </w:rPr>
              <w:t>Ausencia de referencia al fenómeno o al punto de evaluación</w:t>
            </w:r>
          </w:p>
        </w:tc>
      </w:tr>
      <w:tr w:rsidR="00043F4A">
        <w:trPr>
          <w:cantSplit/>
          <w:jc w:val="center"/>
        </w:trPr>
        <w:tc>
          <w:tcPr>
            <w:tcW w:w="902" w:type="dxa"/>
            <w:shd w:val="clear" w:color="auto" w:fill="9DC3E6"/>
            <w:tcMar>
              <w:top w:w="45" w:type="dxa"/>
              <w:left w:w="55" w:type="dxa"/>
              <w:bottom w:w="45" w:type="dxa"/>
              <w:right w:w="55" w:type="dxa"/>
            </w:tcMar>
          </w:tcPr>
          <w:p w:rsidR="00043F4A" w:rsidRDefault="00043F4A">
            <w:pPr>
              <w:spacing w:after="40"/>
            </w:pPr>
            <w:r>
              <w:rPr>
                <w:b/>
                <w:bCs/>
                <w:sz w:val="18"/>
              </w:rPr>
              <w:t>Proceso</w:t>
            </w:r>
          </w:p>
        </w:tc>
        <w:tc>
          <w:tcPr>
            <w:tcW w:w="1579" w:type="dxa"/>
            <w:tcMar>
              <w:top w:w="45" w:type="dxa"/>
              <w:left w:w="55" w:type="dxa"/>
              <w:bottom w:w="45" w:type="dxa"/>
              <w:right w:w="55" w:type="dxa"/>
            </w:tcMar>
          </w:tcPr>
          <w:p w:rsidR="00043F4A" w:rsidRDefault="00043F4A">
            <w:pPr>
              <w:spacing w:after="40"/>
            </w:pPr>
            <w:r>
              <w:rPr>
                <w:sz w:val="18"/>
              </w:rPr>
              <w:t>Reconoce que hay variación local y describe verbalmente la relación entre las cantidades que cambian. Puede identificar dirección de cambio o crecimiento/decrecimiento, pero aún no articula de manera estable signo, magnitud, unidades, punto de interpretación y diferencia entre razón promedio e instantánea.</w:t>
            </w:r>
          </w:p>
        </w:tc>
        <w:tc>
          <w:tcPr>
            <w:tcW w:w="1579" w:type="dxa"/>
            <w:tcMar>
              <w:top w:w="45" w:type="dxa"/>
              <w:left w:w="55" w:type="dxa"/>
              <w:bottom w:w="45" w:type="dxa"/>
              <w:right w:w="55" w:type="dxa"/>
            </w:tcMar>
          </w:tcPr>
          <w:p w:rsidR="00043F4A" w:rsidRDefault="00043F4A">
            <w:pPr>
              <w:spacing w:after="40"/>
            </w:pPr>
            <w:r>
              <w:rPr>
                <w:sz w:val="18"/>
              </w:rPr>
              <w:t>Variación local</w:t>
            </w:r>
          </w:p>
          <w:p w:rsidR="00043F4A" w:rsidRDefault="00043F4A">
            <w:pPr>
              <w:spacing w:after="40"/>
            </w:pPr>
            <w:r>
              <w:rPr>
                <w:sz w:val="18"/>
              </w:rPr>
              <w:t>Razón de cambio instantánea (de forma incipiente)</w:t>
            </w:r>
          </w:p>
          <w:p w:rsidR="00043F4A" w:rsidRDefault="00043F4A">
            <w:pPr>
              <w:spacing w:after="40"/>
            </w:pPr>
            <w:r>
              <w:rPr>
                <w:sz w:val="18"/>
              </w:rPr>
              <w:t>Razón promedio vs. instantánea (identificación aún inestable)</w:t>
            </w:r>
          </w:p>
          <w:p w:rsidR="00043F4A" w:rsidRDefault="00043F4A">
            <w:pPr>
              <w:spacing w:after="40"/>
            </w:pPr>
            <w:r>
              <w:rPr>
                <w:sz w:val="18"/>
              </w:rPr>
              <w:t>Lenguaje contextual (de carácter cualitativo)</w:t>
            </w:r>
          </w:p>
        </w:tc>
        <w:tc>
          <w:tcPr>
            <w:tcW w:w="1760" w:type="dxa"/>
            <w:tcMar>
              <w:top w:w="45" w:type="dxa"/>
              <w:left w:w="55" w:type="dxa"/>
              <w:bottom w:w="45" w:type="dxa"/>
              <w:right w:w="55" w:type="dxa"/>
            </w:tcMar>
          </w:tcPr>
          <w:p w:rsidR="00043F4A" w:rsidRDefault="00043F4A">
            <w:pPr>
              <w:spacing w:after="40"/>
            </w:pPr>
            <w:r>
              <w:rPr>
                <w:sz w:val="18"/>
              </w:rPr>
              <w:t>Usa lenguaje de variación (aumenta, disminuye, cambia)</w:t>
            </w:r>
          </w:p>
          <w:p w:rsidR="00043F4A" w:rsidRDefault="00043F4A">
            <w:pPr>
              <w:spacing w:after="40"/>
            </w:pPr>
            <w:r>
              <w:rPr>
                <w:sz w:val="18"/>
              </w:rPr>
              <w:t>Identifica una dirección de cambio sin cuantificarla con precisión</w:t>
            </w:r>
          </w:p>
          <w:p w:rsidR="00043F4A" w:rsidRDefault="00043F4A">
            <w:pPr>
              <w:spacing w:after="40"/>
            </w:pPr>
            <w:r>
              <w:rPr>
                <w:sz w:val="18"/>
              </w:rPr>
              <w:t>Puede referirse a razón promedio e instantánea sin diferenciarlas de manera consistente</w:t>
            </w:r>
          </w:p>
          <w:p w:rsidR="00043F4A" w:rsidRDefault="00043F4A">
            <w:pPr>
              <w:spacing w:after="40"/>
            </w:pPr>
            <w:r>
              <w:rPr>
                <w:sz w:val="18"/>
              </w:rPr>
              <w:t>Relaciona de forma general la gráfica con el crecimiento o decrecimiento, sin vincularla aún a la pendiente en un punto</w:t>
            </w:r>
          </w:p>
        </w:tc>
        <w:tc>
          <w:tcPr>
            <w:tcW w:w="1760" w:type="dxa"/>
            <w:tcMar>
              <w:top w:w="45" w:type="dxa"/>
              <w:left w:w="55" w:type="dxa"/>
              <w:bottom w:w="45" w:type="dxa"/>
              <w:right w:w="55" w:type="dxa"/>
            </w:tcMar>
          </w:tcPr>
          <w:p w:rsidR="00043F4A" w:rsidRDefault="00043F4A">
            <w:pPr>
              <w:spacing w:after="40"/>
            </w:pPr>
            <w:r>
              <w:rPr>
                <w:sz w:val="18"/>
              </w:rPr>
              <w:t>Clasificar como Proceso si la respuesta describe la variación de la cantidad de forma cualitativa, sin articular de manera estable y conjunta signo, magnitud, unidades y la distinción entre razón instantánea y razón promedio.</w:t>
            </w:r>
          </w:p>
        </w:tc>
        <w:tc>
          <w:tcPr>
            <w:tcW w:w="1760" w:type="dxa"/>
            <w:tcMar>
              <w:top w:w="45" w:type="dxa"/>
              <w:left w:w="55" w:type="dxa"/>
              <w:bottom w:w="45" w:type="dxa"/>
              <w:right w:w="55" w:type="dxa"/>
            </w:tcMar>
          </w:tcPr>
          <w:p w:rsidR="00043F4A" w:rsidRDefault="00043F4A">
            <w:pPr>
              <w:spacing w:after="40"/>
            </w:pPr>
            <w:r>
              <w:rPr>
                <w:sz w:val="18"/>
              </w:rPr>
              <w:t>Mención explícita de que la cantidad varía y de un sentido de cambio</w:t>
            </w:r>
          </w:p>
          <w:p w:rsidR="00043F4A" w:rsidRDefault="00043F4A">
            <w:pPr>
              <w:spacing w:after="40"/>
            </w:pPr>
            <w:r>
              <w:rPr>
                <w:sz w:val="18"/>
              </w:rPr>
              <w:t>Cuantificación parcial o ausente de magnitud y unidades</w:t>
            </w:r>
          </w:p>
          <w:p w:rsidR="00043F4A" w:rsidRDefault="00043F4A">
            <w:pPr>
              <w:spacing w:after="40"/>
            </w:pPr>
            <w:r>
              <w:rPr>
                <w:sz w:val="18"/>
              </w:rPr>
              <w:t>Tratamiento inestable de la diferencia entre razón promedio e instantánea</w:t>
            </w:r>
          </w:p>
        </w:tc>
      </w:tr>
      <w:tr w:rsidR="00043F4A">
        <w:trPr>
          <w:cantSplit/>
          <w:jc w:val="center"/>
        </w:trPr>
        <w:tc>
          <w:tcPr>
            <w:tcW w:w="902" w:type="dxa"/>
            <w:shd w:val="clear" w:color="auto" w:fill="9DC3E6"/>
            <w:tcMar>
              <w:top w:w="45" w:type="dxa"/>
              <w:left w:w="55" w:type="dxa"/>
              <w:bottom w:w="45" w:type="dxa"/>
              <w:right w:w="55" w:type="dxa"/>
            </w:tcMar>
          </w:tcPr>
          <w:p w:rsidR="00043F4A" w:rsidRDefault="00043F4A">
            <w:pPr>
              <w:spacing w:after="40"/>
            </w:pPr>
            <w:r>
              <w:rPr>
                <w:b/>
                <w:bCs/>
                <w:sz w:val="18"/>
              </w:rPr>
              <w:t>Objeto</w:t>
            </w:r>
          </w:p>
        </w:tc>
        <w:tc>
          <w:tcPr>
            <w:tcW w:w="1579" w:type="dxa"/>
            <w:tcMar>
              <w:top w:w="45" w:type="dxa"/>
              <w:left w:w="55" w:type="dxa"/>
              <w:bottom w:w="45" w:type="dxa"/>
              <w:right w:w="55" w:type="dxa"/>
            </w:tcMar>
          </w:tcPr>
          <w:p w:rsidR="00043F4A" w:rsidRDefault="00043F4A">
            <w:pPr>
              <w:spacing w:after="40"/>
            </w:pPr>
            <w:r>
              <w:rPr>
                <w:sz w:val="18"/>
              </w:rPr>
              <w:t>Interpreta f'(a) como razón de cambio instantánea en el punto a, articulando signo, magnitud, unidades y sentido contextual. Cuando la tarea lo demanda, distingue la razón de cambio instantánea de la razón de cambio promedio; y cuando se ofrecen varias representaciones, coordina de forma coherente la representación simbólica, gráfica o verbal.</w:t>
            </w:r>
          </w:p>
        </w:tc>
        <w:tc>
          <w:tcPr>
            <w:tcW w:w="1579" w:type="dxa"/>
            <w:tcMar>
              <w:top w:w="45" w:type="dxa"/>
              <w:left w:w="55" w:type="dxa"/>
              <w:bottom w:w="45" w:type="dxa"/>
              <w:right w:w="55" w:type="dxa"/>
            </w:tcMar>
          </w:tcPr>
          <w:p w:rsidR="00043F4A" w:rsidRDefault="00043F4A">
            <w:pPr>
              <w:spacing w:after="40"/>
            </w:pPr>
            <w:r>
              <w:rPr>
                <w:sz w:val="18"/>
              </w:rPr>
              <w:t>Signo</w:t>
            </w:r>
          </w:p>
          <w:p w:rsidR="00043F4A" w:rsidRDefault="00043F4A">
            <w:pPr>
              <w:spacing w:after="40"/>
            </w:pPr>
            <w:r>
              <w:rPr>
                <w:sz w:val="18"/>
              </w:rPr>
              <w:t>Magnitud</w:t>
            </w:r>
          </w:p>
          <w:p w:rsidR="00043F4A" w:rsidRDefault="00043F4A">
            <w:pPr>
              <w:spacing w:after="40"/>
            </w:pPr>
            <w:r>
              <w:rPr>
                <w:sz w:val="18"/>
              </w:rPr>
              <w:t>Unidades</w:t>
            </w:r>
          </w:p>
          <w:p w:rsidR="00043F4A" w:rsidRDefault="00043F4A">
            <w:pPr>
              <w:spacing w:after="40"/>
            </w:pPr>
            <w:r>
              <w:rPr>
                <w:sz w:val="18"/>
              </w:rPr>
              <w:t>Punto de interpretación</w:t>
            </w:r>
          </w:p>
          <w:p w:rsidR="00043F4A" w:rsidRDefault="00043F4A">
            <w:pPr>
              <w:spacing w:after="40"/>
            </w:pPr>
            <w:r>
              <w:rPr>
                <w:sz w:val="18"/>
              </w:rPr>
              <w:t>Razón promedio vs. instantánea (cuando la tarea lo requiere)</w:t>
            </w:r>
          </w:p>
          <w:p w:rsidR="00043F4A" w:rsidRDefault="00043F4A">
            <w:pPr>
              <w:spacing w:after="40"/>
            </w:pPr>
            <w:r>
              <w:rPr>
                <w:sz w:val="18"/>
              </w:rPr>
              <w:t>Relación gráfica (pendiente/tangente), cuando la representación gráfica está disponible</w:t>
            </w:r>
          </w:p>
          <w:p w:rsidR="00043F4A" w:rsidRDefault="00043F4A">
            <w:pPr>
              <w:spacing w:after="40"/>
            </w:pPr>
            <w:r>
              <w:rPr>
                <w:sz w:val="18"/>
              </w:rPr>
              <w:t>Relación simbólica</w:t>
            </w:r>
          </w:p>
          <w:p w:rsidR="00043F4A" w:rsidRDefault="00043F4A">
            <w:pPr>
              <w:spacing w:after="40"/>
            </w:pPr>
            <w:r>
              <w:rPr>
                <w:sz w:val="18"/>
              </w:rPr>
              <w:t>Lenguaje contextual</w:t>
            </w:r>
          </w:p>
        </w:tc>
        <w:tc>
          <w:tcPr>
            <w:tcW w:w="1760" w:type="dxa"/>
            <w:tcMar>
              <w:top w:w="45" w:type="dxa"/>
              <w:left w:w="55" w:type="dxa"/>
              <w:bottom w:w="45" w:type="dxa"/>
              <w:right w:w="55" w:type="dxa"/>
            </w:tcMar>
          </w:tcPr>
          <w:p w:rsidR="00043F4A" w:rsidRDefault="00043F4A">
            <w:pPr>
              <w:spacing w:after="40"/>
            </w:pPr>
            <w:r>
              <w:rPr>
                <w:sz w:val="18"/>
              </w:rPr>
              <w:t>Interpreta el signo como dirección del cambio en el fenómeno</w:t>
            </w:r>
          </w:p>
          <w:p w:rsidR="00043F4A" w:rsidRDefault="00043F4A">
            <w:pPr>
              <w:spacing w:after="40"/>
            </w:pPr>
            <w:r>
              <w:rPr>
                <w:sz w:val="18"/>
              </w:rPr>
              <w:t>Cuantifica la magnitud con las unidades correspondientes</w:t>
            </w:r>
          </w:p>
          <w:p w:rsidR="00043F4A" w:rsidRDefault="00043F4A">
            <w:pPr>
              <w:spacing w:after="40"/>
            </w:pPr>
            <w:r>
              <w:rPr>
                <w:sz w:val="18"/>
              </w:rPr>
              <w:t>Ancla la interpretación al punto a, y no a la función en general</w:t>
            </w:r>
          </w:p>
          <w:p w:rsidR="00043F4A" w:rsidRDefault="00043F4A">
            <w:pPr>
              <w:spacing w:after="40"/>
            </w:pPr>
            <w:r>
              <w:rPr>
                <w:sz w:val="18"/>
              </w:rPr>
              <w:t>Distingue y justifica la diferencia entre razón promedio e instantánea cuando la tarea lo requiere</w:t>
            </w:r>
          </w:p>
          <w:p w:rsidR="00043F4A" w:rsidRDefault="00043F4A">
            <w:pPr>
              <w:spacing w:after="40"/>
            </w:pPr>
            <w:r>
              <w:rPr>
                <w:sz w:val="18"/>
              </w:rPr>
              <w:t>Vincula el valor con la pendiente de la recta tangente en (a, f(a)) cuando la representación gráfica está disponible</w:t>
            </w:r>
          </w:p>
        </w:tc>
        <w:tc>
          <w:tcPr>
            <w:tcW w:w="1760" w:type="dxa"/>
            <w:tcMar>
              <w:top w:w="45" w:type="dxa"/>
              <w:left w:w="55" w:type="dxa"/>
              <w:bottom w:w="45" w:type="dxa"/>
              <w:right w:w="55" w:type="dxa"/>
            </w:tcMar>
          </w:tcPr>
          <w:p w:rsidR="00043F4A" w:rsidRDefault="00043F4A">
            <w:pPr>
              <w:spacing w:after="40"/>
            </w:pPr>
            <w:r>
              <w:rPr>
                <w:sz w:val="18"/>
              </w:rPr>
              <w:t>Clasificar como Objeto si la respuesta interpreta el valor de la derivada con signo, magnitud, unidades y anclaje al punto, y coordina otras dimensiones representacionales o comparativas cuando la tarea las requiere.</w:t>
            </w:r>
          </w:p>
        </w:tc>
        <w:tc>
          <w:tcPr>
            <w:tcW w:w="1760" w:type="dxa"/>
            <w:tcMar>
              <w:top w:w="45" w:type="dxa"/>
              <w:left w:w="55" w:type="dxa"/>
              <w:bottom w:w="45" w:type="dxa"/>
              <w:right w:w="55" w:type="dxa"/>
            </w:tcMar>
          </w:tcPr>
          <w:p w:rsidR="00043F4A" w:rsidRDefault="00043F4A">
            <w:pPr>
              <w:spacing w:after="40"/>
            </w:pPr>
            <w:r>
              <w:rPr>
                <w:sz w:val="18"/>
              </w:rPr>
              <w:t>Interpretación completa del valor en el contexto, con sentido, cantidad y unidades</w:t>
            </w:r>
          </w:p>
          <w:p w:rsidR="00043F4A" w:rsidRDefault="00043F4A">
            <w:pPr>
              <w:spacing w:after="40"/>
            </w:pPr>
            <w:r>
              <w:rPr>
                <w:sz w:val="18"/>
              </w:rPr>
              <w:t>Coherencia entre la representación simbólica y la gráfica o verbal, cuando estas están disponibles</w:t>
            </w:r>
          </w:p>
          <w:p w:rsidR="00043F4A" w:rsidRDefault="00043F4A">
            <w:pPr>
              <w:spacing w:after="40"/>
            </w:pPr>
            <w:r>
              <w:rPr>
                <w:sz w:val="18"/>
              </w:rPr>
              <w:t>Referencia explícita al punto de evaluación</w:t>
            </w:r>
          </w:p>
        </w:tc>
      </w:tr>
      <w:tr w:rsidR="00043F4A">
        <w:trPr>
          <w:cantSplit/>
          <w:jc w:val="center"/>
        </w:trPr>
        <w:tc>
          <w:tcPr>
            <w:tcW w:w="902" w:type="dxa"/>
            <w:shd w:val="clear" w:color="auto" w:fill="9DC3E6"/>
            <w:tcMar>
              <w:top w:w="45" w:type="dxa"/>
              <w:left w:w="55" w:type="dxa"/>
              <w:bottom w:w="45" w:type="dxa"/>
              <w:right w:w="55" w:type="dxa"/>
            </w:tcMar>
          </w:tcPr>
          <w:p w:rsidR="00043F4A" w:rsidRDefault="00043F4A">
            <w:pPr>
              <w:spacing w:after="40"/>
            </w:pPr>
            <w:r>
              <w:rPr>
                <w:b/>
                <w:bCs/>
                <w:sz w:val="18"/>
              </w:rPr>
              <w:lastRenderedPageBreak/>
              <w:t>Esquema</w:t>
            </w:r>
          </w:p>
        </w:tc>
        <w:tc>
          <w:tcPr>
            <w:tcW w:w="1579" w:type="dxa"/>
            <w:tcMar>
              <w:top w:w="45" w:type="dxa"/>
              <w:left w:w="55" w:type="dxa"/>
              <w:bottom w:w="45" w:type="dxa"/>
              <w:right w:w="55" w:type="dxa"/>
            </w:tcMar>
          </w:tcPr>
          <w:p w:rsidR="00043F4A" w:rsidRDefault="00043F4A">
            <w:pPr>
              <w:spacing w:after="40"/>
            </w:pPr>
            <w:r>
              <w:rPr>
                <w:sz w:val="18"/>
              </w:rPr>
              <w:t>Utiliza la interpretación de la derivada de forma integrada para comparar tasas de cambio, predecir comportamiento, tomar decisiones o transferir el razonamiento a un contexto nuevo, coordinando representaciones de manera flexible. Cuando la tarea lo permite, relaciona el comportamiento local de la derivada en un punto con el comportamiento global de la función.</w:t>
            </w:r>
          </w:p>
        </w:tc>
        <w:tc>
          <w:tcPr>
            <w:tcW w:w="1579" w:type="dxa"/>
            <w:tcMar>
              <w:top w:w="45" w:type="dxa"/>
              <w:left w:w="55" w:type="dxa"/>
              <w:bottom w:w="45" w:type="dxa"/>
              <w:right w:w="55" w:type="dxa"/>
            </w:tcMar>
          </w:tcPr>
          <w:p w:rsidR="00043F4A" w:rsidRDefault="00043F4A">
            <w:pPr>
              <w:spacing w:after="40"/>
            </w:pPr>
            <w:r>
              <w:rPr>
                <w:sz w:val="18"/>
              </w:rPr>
              <w:t>Comparación entre tasas de cambio</w:t>
            </w:r>
          </w:p>
          <w:p w:rsidR="00043F4A" w:rsidRDefault="00043F4A">
            <w:pPr>
              <w:spacing w:after="40"/>
            </w:pPr>
            <w:r>
              <w:rPr>
                <w:sz w:val="18"/>
              </w:rPr>
              <w:t>Predicción</w:t>
            </w:r>
          </w:p>
          <w:p w:rsidR="00043F4A" w:rsidRDefault="00043F4A">
            <w:pPr>
              <w:spacing w:after="40"/>
            </w:pPr>
            <w:r>
              <w:rPr>
                <w:sz w:val="18"/>
              </w:rPr>
              <w:t>Toma de decisiones</w:t>
            </w:r>
          </w:p>
          <w:p w:rsidR="00043F4A" w:rsidRDefault="00043F4A">
            <w:pPr>
              <w:spacing w:after="40"/>
            </w:pPr>
            <w:r>
              <w:rPr>
                <w:sz w:val="18"/>
              </w:rPr>
              <w:t>Transferencia</w:t>
            </w:r>
          </w:p>
          <w:p w:rsidR="00043F4A" w:rsidRDefault="00043F4A">
            <w:pPr>
              <w:spacing w:after="40"/>
            </w:pPr>
            <w:r>
              <w:rPr>
                <w:sz w:val="18"/>
              </w:rPr>
              <w:t>Coordinación flexible de representaciones simbólica, gráfica y verbal</w:t>
            </w:r>
          </w:p>
          <w:p w:rsidR="00043F4A" w:rsidRDefault="00043F4A">
            <w:pPr>
              <w:spacing w:after="40"/>
            </w:pPr>
            <w:r>
              <w:rPr>
                <w:sz w:val="18"/>
              </w:rPr>
              <w:t>Coordinación entre elementos puntuales y globales (cuando la tarea lo permite)</w:t>
            </w:r>
          </w:p>
        </w:tc>
        <w:tc>
          <w:tcPr>
            <w:tcW w:w="1760" w:type="dxa"/>
            <w:tcMar>
              <w:top w:w="45" w:type="dxa"/>
              <w:left w:w="55" w:type="dxa"/>
              <w:bottom w:w="45" w:type="dxa"/>
              <w:right w:w="55" w:type="dxa"/>
            </w:tcMar>
          </w:tcPr>
          <w:p w:rsidR="00043F4A" w:rsidRDefault="00043F4A">
            <w:pPr>
              <w:spacing w:after="40"/>
            </w:pPr>
            <w:r>
              <w:rPr>
                <w:sz w:val="18"/>
              </w:rPr>
              <w:t>Compara la razón de cambio en distintos puntos o para distintas variables y justifica la comparación</w:t>
            </w:r>
          </w:p>
          <w:p w:rsidR="00043F4A" w:rsidRDefault="00043F4A">
            <w:pPr>
              <w:spacing w:after="40"/>
            </w:pPr>
            <w:r>
              <w:rPr>
                <w:sz w:val="18"/>
              </w:rPr>
              <w:t>Anticipa el comportamiento del fenómeno a partir del valor interpretado</w:t>
            </w:r>
          </w:p>
          <w:p w:rsidR="00043F4A" w:rsidRDefault="00043F4A">
            <w:pPr>
              <w:spacing w:after="40"/>
            </w:pPr>
            <w:r>
              <w:rPr>
                <w:sz w:val="18"/>
              </w:rPr>
              <w:t>Utiliza el valor como criterio explícito para decidir entre alternativas</w:t>
            </w:r>
          </w:p>
          <w:p w:rsidR="00043F4A" w:rsidRDefault="00043F4A">
            <w:pPr>
              <w:spacing w:after="40"/>
            </w:pPr>
            <w:r>
              <w:rPr>
                <w:sz w:val="18"/>
              </w:rPr>
              <w:t>Traslada el razonamiento interpretativo a un contexto distinto al trabajado, incluyendo valores negativos o poco familiares</w:t>
            </w:r>
          </w:p>
          <w:p w:rsidR="00043F4A" w:rsidRDefault="00043F4A">
            <w:pPr>
              <w:spacing w:after="40"/>
            </w:pPr>
            <w:r>
              <w:rPr>
                <w:sz w:val="18"/>
              </w:rPr>
              <w:t>Relaciona el signo o la magnitud de la derivada en un punto con una tendencia global del fenómeno, cuando la tarea ofrece esa posibilidad</w:t>
            </w:r>
          </w:p>
        </w:tc>
        <w:tc>
          <w:tcPr>
            <w:tcW w:w="1760" w:type="dxa"/>
            <w:tcMar>
              <w:top w:w="45" w:type="dxa"/>
              <w:left w:w="55" w:type="dxa"/>
              <w:bottom w:w="45" w:type="dxa"/>
              <w:right w:w="55" w:type="dxa"/>
            </w:tcMar>
          </w:tcPr>
          <w:p w:rsidR="00043F4A" w:rsidRDefault="00043F4A">
            <w:pPr>
              <w:spacing w:after="40"/>
            </w:pPr>
            <w:r>
              <w:rPr>
                <w:sz w:val="18"/>
              </w:rPr>
              <w:t>Clasificar como Esquema si la respuesta moviliza la interpretación para una tarea de orden superior (comparar, predecir, decidir, transferir o relacionar lo puntual con lo global), y no únicamente para describir el valor en su contexto original.</w:t>
            </w:r>
          </w:p>
        </w:tc>
        <w:tc>
          <w:tcPr>
            <w:tcW w:w="1760" w:type="dxa"/>
            <w:tcMar>
              <w:top w:w="45" w:type="dxa"/>
              <w:left w:w="55" w:type="dxa"/>
              <w:bottom w:w="45" w:type="dxa"/>
              <w:right w:w="55" w:type="dxa"/>
            </w:tcMar>
          </w:tcPr>
          <w:p w:rsidR="00043F4A" w:rsidRDefault="00043F4A">
            <w:pPr>
              <w:spacing w:after="40"/>
            </w:pPr>
            <w:r>
              <w:rPr>
                <w:sz w:val="18"/>
              </w:rPr>
              <w:t>Razonamiento que articula comparación, predicción, decisión o transferencia de forma explícita</w:t>
            </w:r>
          </w:p>
          <w:p w:rsidR="00043F4A" w:rsidRDefault="00043F4A">
            <w:pPr>
              <w:spacing w:after="40"/>
            </w:pPr>
            <w:r>
              <w:rPr>
                <w:sz w:val="18"/>
              </w:rPr>
              <w:t>Coherencia y justificación del razonamiento, y no solo de la conclusión</w:t>
            </w:r>
          </w:p>
          <w:p w:rsidR="00043F4A" w:rsidRDefault="00043F4A">
            <w:pPr>
              <w:spacing w:after="40"/>
            </w:pPr>
            <w:r>
              <w:rPr>
                <w:sz w:val="18"/>
              </w:rPr>
              <w:t>Evidencia de que la interpretación se sostiene en un contexto nuevo o poco familiar</w:t>
            </w:r>
          </w:p>
          <w:p w:rsidR="00043F4A" w:rsidRDefault="00043F4A">
            <w:pPr>
              <w:spacing w:after="40"/>
            </w:pPr>
            <w:r>
              <w:rPr>
                <w:sz w:val="18"/>
              </w:rPr>
              <w:t>Cuando la tarea lo permite, articulación explícita entre el valor puntual de la derivada y una tendencia global del fenómeno</w:t>
            </w:r>
          </w:p>
        </w:tc>
      </w:tr>
    </w:tbl>
    <w:p w:rsidR="00043F4A" w:rsidRDefault="00043F4A">
      <w:pPr>
        <w:spacing w:after="160"/>
      </w:pPr>
    </w:p>
    <w:tbl>
      <w:tblPr>
        <w:tblW w:w="9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43"/>
      </w:tblGrid>
      <w:tr w:rsidR="00043F4A">
        <w:trPr>
          <w:cantSplit/>
          <w:jc w:val="center"/>
        </w:trPr>
        <w:tc>
          <w:tcPr>
            <w:tcW w:w="9343" w:type="dxa"/>
            <w:shd w:val="clear" w:color="auto" w:fill="F2F2F2"/>
            <w:tcMar>
              <w:top w:w="45" w:type="dxa"/>
              <w:left w:w="55" w:type="dxa"/>
              <w:bottom w:w="45" w:type="dxa"/>
              <w:right w:w="55" w:type="dxa"/>
            </w:tcMar>
          </w:tcPr>
          <w:p w:rsidR="00043F4A" w:rsidRDefault="00043F4A">
            <w:pPr>
              <w:spacing w:after="40"/>
            </w:pPr>
            <w:r>
              <w:rPr>
                <w:b/>
                <w:bCs/>
                <w:sz w:val="18"/>
              </w:rPr>
              <w:t>Categoría metodológica adicional: Sin evidencia clasificable</w:t>
            </w:r>
          </w:p>
          <w:p w:rsidR="00043F4A" w:rsidRDefault="00043F4A">
            <w:pPr>
              <w:spacing w:after="40"/>
            </w:pPr>
            <w:r>
              <w:rPr>
                <w:szCs w:val="23"/>
              </w:rPr>
              <w:t>Esta categoría no constituye un nivel APOE. Se utilizará cuando la respuesta esté en blanco, sea irrelevante, incoherente, copie el enunciado sin transformación matemática, o no ofrezca información suficiente para inferir una construcción mental sobre la derivada. Su inclusión evita forzar respuestas sin evidencia dentro del nivel Acción y protege la validez de la clasificación.</w:t>
            </w:r>
          </w:p>
        </w:tc>
      </w:tr>
    </w:tbl>
    <w:p w:rsidR="00043F4A" w:rsidRDefault="00043F4A">
      <w:pPr>
        <w:spacing w:after="200"/>
      </w:pPr>
    </w:p>
    <w:p w:rsidR="00043F4A" w:rsidRDefault="00043F4A">
      <w:pPr>
        <w:pStyle w:val="Ttulo1"/>
        <w:keepNext/>
        <w:spacing w:before="280" w:line="276" w:lineRule="auto"/>
      </w:pPr>
      <w:r>
        <w:rPr>
          <w:color w:val="1F3864"/>
          <w:szCs w:val="30"/>
        </w:rPr>
        <w:t>5. Nota metodológica sobre el alcance, dirigida al panel de expertos</w:t>
      </w:r>
    </w:p>
    <w:p w:rsidR="00043F4A" w:rsidRDefault="00043F4A">
      <w:pPr>
        <w:spacing w:after="160" w:line="276" w:lineRule="auto"/>
        <w:jc w:val="both"/>
      </w:pPr>
      <w:r>
        <w:t>La matriz opera como una lente interpretativa fundamentada en APOE, y no como exigencia de que el estudiante reconstruya la génesis analítica completa de la derivada. Esta delimitación de alcance está documentada en la literatura APOE: Huang (2011) empleó APOE como marco analítico sin formular una descomposición genética nueva. El presente proyecto adopta una lógica metodológica equivalente, delimitando el foco de evaluación a la interpretación del valor de la derivada.</w:t>
      </w:r>
    </w:p>
    <w:p w:rsidR="00043F4A" w:rsidRDefault="00043F4A">
      <w:pPr>
        <w:spacing w:after="160" w:line="276" w:lineRule="auto"/>
        <w:jc w:val="both"/>
      </w:pPr>
      <w:r>
        <w:t xml:space="preserve">En consecuencia, se solicita al panel de expertos evaluar la pertinencia, la claridad y la suficiencia de los indicadores en relación con este alcance delimitado, y no la fidelidad de la matriz respecto de la ruta analítica completa propuesta por </w:t>
      </w:r>
      <w:proofErr w:type="spellStart"/>
      <w:r>
        <w:t>Asiala</w:t>
      </w:r>
      <w:proofErr w:type="spellEnd"/>
      <w:r>
        <w:t xml:space="preserve"> et al. (1997), la cual </w:t>
      </w:r>
      <w:r>
        <w:lastRenderedPageBreak/>
        <w:t xml:space="preserve">constituye fundamento teórico del </w:t>
      </w:r>
      <w:proofErr w:type="spellStart"/>
      <w:r>
        <w:t>constructo</w:t>
      </w:r>
      <w:proofErr w:type="spellEnd"/>
      <w:r>
        <w:t xml:space="preserve"> y no un criterio de clasificación de las respuestas estudiantiles.</w:t>
      </w:r>
    </w:p>
    <w:p w:rsidR="00043F4A" w:rsidRDefault="00043F4A">
      <w:pPr>
        <w:pStyle w:val="Ttulo1"/>
        <w:keepNext/>
        <w:spacing w:before="280" w:line="276" w:lineRule="auto"/>
      </w:pPr>
      <w:r>
        <w:rPr>
          <w:color w:val="1F3864"/>
          <w:szCs w:val="30"/>
        </w:rPr>
        <w:t>6. Fase siguiente: validación de contenido</w:t>
      </w:r>
    </w:p>
    <w:p w:rsidR="00043F4A" w:rsidRDefault="00043F4A">
      <w:pPr>
        <w:spacing w:after="160" w:line="276" w:lineRule="auto"/>
        <w:jc w:val="both"/>
      </w:pPr>
      <w:r>
        <w:t xml:space="preserve">A partir de esta matriz núcleo se construirá una ficha de validación de contenido dirigida a un panel de expertos en educación matemática o en teoría APOE, compuesto por un mínimo de tres a cinco especialistas. Cada indicador será evaluado en términos de pertinencia, claridad y suficiencia, mediante el coeficiente V de Aiken. Los ajustes derivados de este proceso se incorporarán a la matriz antes de su pilotaje con respuestas reales del curso. La construcción de los </w:t>
      </w:r>
      <w:proofErr w:type="spellStart"/>
      <w:r>
        <w:t>prompts</w:t>
      </w:r>
      <w:proofErr w:type="spellEnd"/>
      <w:r>
        <w:t xml:space="preserve"> para la inteligencia artificial generativa, así como el diseño de la retroalimentación formativa, se abordarán en una fase posterior, una vez validado el contenido de la matriz.</w:t>
      </w:r>
    </w:p>
    <w:p w:rsidR="00E718A3" w:rsidRDefault="00CE1D24">
      <w:pPr>
        <w:pageBreakBefore/>
        <w:spacing w:after="120"/>
        <w:jc w:val="center"/>
      </w:pPr>
      <w:r>
        <w:rPr>
          <w:b/>
          <w:color w:val="1F4E78"/>
        </w:rPr>
        <w:lastRenderedPageBreak/>
        <w:t>ANEXO B. ESPECIFICACIÓN PRELIMINAR PARA EL DISEÑO DE LOS CICLOS DE SEGUIMIENTO FORMATIVO</w:t>
      </w:r>
    </w:p>
    <w:p w:rsidR="00E718A3" w:rsidRDefault="00CE1D24">
      <w:pPr>
        <w:spacing w:after="40"/>
        <w:jc w:val="center"/>
      </w:pPr>
      <w:r>
        <w:rPr>
          <w:b/>
          <w:color w:val="202020"/>
        </w:rPr>
        <w:t>Estrategia didáctica adaptativa fundamentada en APOE con apoyo delimitado de i</w:t>
      </w:r>
      <w:r>
        <w:rPr>
          <w:b/>
          <w:color w:val="202020"/>
        </w:rPr>
        <w:t>nteligencia artificial generativa</w:t>
      </w:r>
    </w:p>
    <w:p w:rsidR="00E718A3" w:rsidRDefault="00CE1D24">
      <w:pPr>
        <w:spacing w:after="160"/>
        <w:jc w:val="center"/>
      </w:pPr>
      <w:r>
        <w:rPr>
          <w:i/>
          <w:color w:val="666666"/>
          <w:sz w:val="21"/>
        </w:rPr>
        <w:t>Curso de Cálculo Diferencial · Estudiantes de Ingeniería · 2026</w:t>
      </w:r>
    </w:p>
    <w:p w:rsidR="00E718A3" w:rsidRDefault="00CE1D24">
      <w:pPr>
        <w:pStyle w:val="Ttulo2"/>
        <w:keepNext/>
      </w:pPr>
      <w:r>
        <w:rPr>
          <w:color w:val="1F4E78"/>
        </w:rPr>
        <w:t>Ficha de control del documento</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232"/>
        <w:gridCol w:w="8136"/>
      </w:tblGrid>
      <w:tr w:rsidR="00E718A3">
        <w:trPr>
          <w:cantSplit/>
          <w:tblHeader/>
          <w:jc w:val="center"/>
        </w:trPr>
        <w:tc>
          <w:tcPr>
            <w:tcW w:w="2232"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8"/>
              </w:rPr>
              <w:t>Campo</w:t>
            </w:r>
          </w:p>
        </w:tc>
        <w:tc>
          <w:tcPr>
            <w:tcW w:w="813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8"/>
              </w:rPr>
              <w:t>Contenido</w:t>
            </w:r>
          </w:p>
        </w:tc>
      </w:tr>
      <w:tr w:rsidR="00E718A3">
        <w:trPr>
          <w:cantSplit/>
          <w:jc w:val="center"/>
        </w:trPr>
        <w:tc>
          <w:tcPr>
            <w:tcW w:w="223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8"/>
              </w:rPr>
              <w:t>Nombre</w:t>
            </w:r>
          </w:p>
        </w:tc>
        <w:tc>
          <w:tcPr>
            <w:tcW w:w="813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8"/>
              </w:rPr>
              <w:t>Especificación preliminar para el diseño de los ciclos de seguimiento formativo</w:t>
            </w:r>
          </w:p>
        </w:tc>
      </w:tr>
      <w:tr w:rsidR="00E718A3">
        <w:trPr>
          <w:cantSplit/>
          <w:jc w:val="center"/>
        </w:trPr>
        <w:tc>
          <w:tcPr>
            <w:tcW w:w="223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8"/>
              </w:rPr>
              <w:t>Curso</w:t>
            </w:r>
          </w:p>
        </w:tc>
        <w:tc>
          <w:tcPr>
            <w:tcW w:w="813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8"/>
              </w:rPr>
              <w:t xml:space="preserve">Cálculo </w:t>
            </w:r>
            <w:r>
              <w:rPr>
                <w:color w:val="202020"/>
                <w:sz w:val="18"/>
              </w:rPr>
              <w:t>Diferencial</w:t>
            </w:r>
          </w:p>
        </w:tc>
      </w:tr>
      <w:tr w:rsidR="00E718A3">
        <w:trPr>
          <w:cantSplit/>
          <w:jc w:val="center"/>
        </w:trPr>
        <w:tc>
          <w:tcPr>
            <w:tcW w:w="223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8"/>
              </w:rPr>
              <w:t>Constructo</w:t>
            </w:r>
          </w:p>
        </w:tc>
        <w:tc>
          <w:tcPr>
            <w:tcW w:w="813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8"/>
              </w:rPr>
              <w:t>Comprensión variacional, cuantitativo-interpretativa, representacional y contextual de la derivada como razón de cambio instantánea</w:t>
            </w:r>
          </w:p>
        </w:tc>
      </w:tr>
      <w:tr w:rsidR="00E718A3">
        <w:trPr>
          <w:cantSplit/>
          <w:jc w:val="center"/>
        </w:trPr>
        <w:tc>
          <w:tcPr>
            <w:tcW w:w="223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8"/>
              </w:rPr>
              <w:t>Versión</w:t>
            </w:r>
          </w:p>
        </w:tc>
        <w:tc>
          <w:tcPr>
            <w:tcW w:w="813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8"/>
              </w:rPr>
              <w:t>1.0 · arquitectura actualizada</w:t>
            </w:r>
          </w:p>
        </w:tc>
      </w:tr>
      <w:tr w:rsidR="00E718A3">
        <w:trPr>
          <w:cantSplit/>
          <w:jc w:val="center"/>
        </w:trPr>
        <w:tc>
          <w:tcPr>
            <w:tcW w:w="223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8"/>
              </w:rPr>
              <w:t>Finalidad</w:t>
            </w:r>
          </w:p>
        </w:tc>
        <w:tc>
          <w:tcPr>
            <w:tcW w:w="813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8"/>
              </w:rPr>
              <w:t xml:space="preserve">Traducir la matriz APOE y la arquitectura </w:t>
            </w:r>
            <w:r>
              <w:rPr>
                <w:color w:val="202020"/>
                <w:sz w:val="18"/>
              </w:rPr>
              <w:t>metodológica del proyecto en actividades comunes, análisis individual, retroalimentación individual, agregación grupal y ajuste didáctico entre ciclos.</w:t>
            </w:r>
          </w:p>
        </w:tc>
      </w:tr>
      <w:tr w:rsidR="00E718A3">
        <w:trPr>
          <w:cantSplit/>
          <w:jc w:val="center"/>
        </w:trPr>
        <w:tc>
          <w:tcPr>
            <w:tcW w:w="223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8"/>
              </w:rPr>
              <w:t>Estado</w:t>
            </w:r>
          </w:p>
        </w:tc>
        <w:tc>
          <w:tcPr>
            <w:tcW w:w="813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8"/>
              </w:rPr>
              <w:t>Documento preliminar de diseño. Las tareas, prompts, criterios y registros deberán pilotarse ant</w:t>
            </w:r>
            <w:r>
              <w:rPr>
                <w:color w:val="202020"/>
                <w:sz w:val="18"/>
              </w:rPr>
              <w:t>es de la implementación definitiva.</w:t>
            </w:r>
          </w:p>
        </w:tc>
      </w:tr>
    </w:tbl>
    <w:p w:rsidR="00E718A3" w:rsidRDefault="00CE1D24">
      <w:pPr>
        <w:pStyle w:val="Ttulo2"/>
        <w:keepNext/>
      </w:pPr>
      <w:r>
        <w:rPr>
          <w:color w:val="1F4E78"/>
        </w:rPr>
        <w:t>Resumen ejecutivo</w:t>
      </w:r>
    </w:p>
    <w:p w:rsidR="00E718A3" w:rsidRDefault="00CE1D24">
      <w:pPr>
        <w:spacing w:after="100" w:line="259" w:lineRule="auto"/>
        <w:jc w:val="both"/>
      </w:pPr>
      <w:r>
        <w:rPr>
          <w:color w:val="202020"/>
        </w:rPr>
        <w:t xml:space="preserve">Este anexo presenta la especificación preliminar de los ciclos de seguimiento formativo que orientarán la segunda fase del proyecto. La estrategia no asigna rutas de actividades diferentes a cada </w:t>
      </w:r>
      <w:r>
        <w:rPr>
          <w:color w:val="202020"/>
        </w:rPr>
        <w:t>estudiante. Todos los participantes desarrollan una actividad común en cada ciclo; las respuestas se analizan individualmente mediante los indicadores de la matriz APOE y originan retroalimentaciones ajustadas a las evidencias observadas. Posteriormente, l</w:t>
      </w:r>
      <w:r>
        <w:rPr>
          <w:color w:val="202020"/>
        </w:rPr>
        <w:t>os resultados individuales se agregan para identificar patrones de comprensión y dificultades predominantes del grupo, los cuales orientan el ajuste de la actividad común del ciclo siguiente.</w:t>
      </w:r>
    </w:p>
    <w:p w:rsidR="00E718A3" w:rsidRDefault="00CE1D24">
      <w:pPr>
        <w:spacing w:after="100" w:line="259" w:lineRule="auto"/>
        <w:jc w:val="both"/>
      </w:pPr>
      <w:r>
        <w:rPr>
          <w:color w:val="202020"/>
        </w:rPr>
        <w:t>El documento conserva la lógica de evidencia situada de la matri</w:t>
      </w:r>
      <w:r>
        <w:rPr>
          <w:color w:val="202020"/>
        </w:rPr>
        <w:t>z: una tarea solo puede aportar evidencia de las construcciones y dimensiones que su demanda hace observables. La inteligencia artificial generativa se incorpora de manera delimitada para apoyar el análisis estructurado de respuestas abiertas, proponer ret</w:t>
      </w:r>
      <w:r>
        <w:rPr>
          <w:color w:val="202020"/>
        </w:rPr>
        <w:t>roalimentación individual y sintetizar patrones grupales. Las tareas, criterios matemáticos, indicadores, prompts, formatos de salida y reglas de funcionamiento se definirán y pilotarán antes de la implementación.</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1F4E78"/>
          <w:insideV w:val="single" w:sz="4" w:space="0" w:color="1F4E78"/>
        </w:tblBorders>
        <w:tblLayout w:type="fixed"/>
        <w:tblLook w:val="04A0" w:firstRow="1" w:lastRow="0" w:firstColumn="1" w:lastColumn="0" w:noHBand="0" w:noVBand="1"/>
      </w:tblPr>
      <w:tblGrid>
        <w:gridCol w:w="9026"/>
      </w:tblGrid>
      <w:tr w:rsidR="00E718A3">
        <w:trPr>
          <w:cantSplit/>
          <w:jc w:val="center"/>
        </w:trPr>
        <w:tc>
          <w:tcPr>
            <w:tcW w:w="9026" w:type="dxa"/>
            <w:shd w:val="clear" w:color="auto" w:fill="1F4E78"/>
            <w:tcMar>
              <w:top w:w="75" w:type="dxa"/>
              <w:left w:w="120" w:type="dxa"/>
              <w:bottom w:w="75" w:type="dxa"/>
              <w:right w:w="120" w:type="dxa"/>
            </w:tcMar>
          </w:tcPr>
          <w:p w:rsidR="00E718A3" w:rsidRDefault="00CE1D24">
            <w:r>
              <w:rPr>
                <w:b/>
                <w:color w:val="FFFFFF"/>
                <w:sz w:val="19"/>
              </w:rPr>
              <w:t>Decisión metodológica central</w:t>
            </w:r>
          </w:p>
        </w:tc>
      </w:tr>
      <w:tr w:rsidR="00E718A3">
        <w:trPr>
          <w:cantSplit/>
          <w:jc w:val="center"/>
        </w:trPr>
        <w:tc>
          <w:tcPr>
            <w:tcW w:w="9026" w:type="dxa"/>
            <w:shd w:val="clear" w:color="auto" w:fill="FFF4CC"/>
            <w:tcMar>
              <w:top w:w="75" w:type="dxa"/>
              <w:left w:w="120" w:type="dxa"/>
              <w:bottom w:w="75" w:type="dxa"/>
              <w:right w:w="120" w:type="dxa"/>
            </w:tcMar>
          </w:tcPr>
          <w:p w:rsidR="00E718A3" w:rsidRDefault="00CE1D24">
            <w:r>
              <w:rPr>
                <w:color w:val="202020"/>
                <w:sz w:val="19"/>
              </w:rPr>
              <w:t>La adaptaci</w:t>
            </w:r>
            <w:r>
              <w:rPr>
                <w:color w:val="202020"/>
                <w:sz w:val="19"/>
              </w:rPr>
              <w:t>ón opera en dos niveles: individualmente, mediante retroalimentación asociada a la respuesta producida por cada estudiante; y grupalmente, mediante el ajuste de la actividad común del ciclo siguiente a partir del análisis agregado de las evidencias. La cla</w:t>
            </w:r>
            <w:r>
              <w:rPr>
                <w:color w:val="202020"/>
                <w:sz w:val="19"/>
              </w:rPr>
              <w:t>sificación APOE se aplica a respuestas situadas, no como una etiqueta permanente del estudiante.</w:t>
            </w:r>
          </w:p>
        </w:tc>
      </w:tr>
    </w:tbl>
    <w:p w:rsidR="00E718A3" w:rsidRDefault="00CE1D24">
      <w:pPr>
        <w:pStyle w:val="Ttulo2"/>
        <w:keepNext/>
      </w:pPr>
      <w:r>
        <w:rPr>
          <w:color w:val="1F4E78"/>
        </w:rPr>
        <w:t>1. Principios de diseño de los ciclos</w:t>
      </w:r>
    </w:p>
    <w:p w:rsidR="00E718A3" w:rsidRDefault="00CE1D24">
      <w:pPr>
        <w:spacing w:after="40" w:line="252" w:lineRule="auto"/>
        <w:ind w:left="360" w:hanging="216"/>
      </w:pPr>
      <w:r>
        <w:rPr>
          <w:color w:val="1F4E78"/>
        </w:rPr>
        <w:t xml:space="preserve">• </w:t>
      </w:r>
      <w:r>
        <w:rPr>
          <w:color w:val="202020"/>
        </w:rPr>
        <w:t xml:space="preserve">Actividad común y comparabilidad: en cada ciclo, los 28 estudiantes desarrollarán las mismas tareas o una misma forma </w:t>
      </w:r>
      <w:r>
        <w:rPr>
          <w:color w:val="202020"/>
        </w:rPr>
        <w:t>previamente revisada, de modo que las evidencias sean comparables dentro del grupo.</w:t>
      </w:r>
    </w:p>
    <w:p w:rsidR="00E718A3" w:rsidRDefault="00CE1D24">
      <w:pPr>
        <w:spacing w:after="40" w:line="252" w:lineRule="auto"/>
        <w:ind w:left="360" w:hanging="216"/>
      </w:pPr>
      <w:r>
        <w:rPr>
          <w:color w:val="1F4E78"/>
        </w:rPr>
        <w:t xml:space="preserve">• </w:t>
      </w:r>
      <w:r>
        <w:rPr>
          <w:color w:val="202020"/>
        </w:rPr>
        <w:t>Evidencia situada: la interpretación se realizará sobre respuestas concretas frente a tareas determinadas; no se asignará al estudiante una categoría APOE permanente.</w:t>
      </w:r>
    </w:p>
    <w:p w:rsidR="00E718A3" w:rsidRDefault="00CE1D24">
      <w:pPr>
        <w:spacing w:after="40" w:line="252" w:lineRule="auto"/>
        <w:ind w:left="360" w:hanging="216"/>
      </w:pPr>
      <w:r>
        <w:rPr>
          <w:color w:val="1F4E78"/>
        </w:rPr>
        <w:lastRenderedPageBreak/>
        <w:t xml:space="preserve">• </w:t>
      </w:r>
      <w:r>
        <w:rPr>
          <w:color w:val="202020"/>
        </w:rPr>
        <w:t>D</w:t>
      </w:r>
      <w:r>
        <w:rPr>
          <w:color w:val="202020"/>
        </w:rPr>
        <w:t>emanda explícita de la tarea: cada actividad definirá qué dimensiones e indicadores puede hacer observables y cuál es la construcción APOE máxima que razonablemente puede evidenciar.</w:t>
      </w:r>
    </w:p>
    <w:p w:rsidR="00E718A3" w:rsidRDefault="00CE1D24">
      <w:pPr>
        <w:spacing w:after="40" w:line="252" w:lineRule="auto"/>
        <w:ind w:left="360" w:hanging="216"/>
      </w:pPr>
      <w:r>
        <w:rPr>
          <w:color w:val="1F4E78"/>
        </w:rPr>
        <w:t xml:space="preserve">• </w:t>
      </w:r>
      <w:r>
        <w:rPr>
          <w:color w:val="202020"/>
        </w:rPr>
        <w:t xml:space="preserve">Retroalimentación individual: cada respuesta abierta podrá recibir una </w:t>
      </w:r>
      <w:r>
        <w:rPr>
          <w:color w:val="202020"/>
        </w:rPr>
        <w:t>orientación vinculada con las evidencias presentes, ausentes o inconsistentes identificadas mediante la matriz.</w:t>
      </w:r>
    </w:p>
    <w:p w:rsidR="00E718A3" w:rsidRDefault="00CE1D24">
      <w:pPr>
        <w:spacing w:after="40" w:line="252" w:lineRule="auto"/>
        <w:ind w:left="360" w:hanging="216"/>
      </w:pPr>
      <w:r>
        <w:rPr>
          <w:color w:val="1F4E78"/>
        </w:rPr>
        <w:t xml:space="preserve">• </w:t>
      </w:r>
      <w:r>
        <w:rPr>
          <w:color w:val="202020"/>
        </w:rPr>
        <w:t>Adaptación grupal entre ciclos: los patrones agregados del grupo orientarán cambios en el énfasis conceptual, las representaciones, la complej</w:t>
      </w:r>
      <w:r>
        <w:rPr>
          <w:color w:val="202020"/>
        </w:rPr>
        <w:t>idad o la formulación de la actividad común siguiente.</w:t>
      </w:r>
    </w:p>
    <w:p w:rsidR="00E718A3" w:rsidRDefault="00CE1D24">
      <w:pPr>
        <w:spacing w:after="40" w:line="252" w:lineRule="auto"/>
        <w:ind w:left="360" w:hanging="216"/>
      </w:pPr>
      <w:r>
        <w:rPr>
          <w:color w:val="1F4E78"/>
        </w:rPr>
        <w:t xml:space="preserve">• </w:t>
      </w:r>
      <w:r>
        <w:rPr>
          <w:color w:val="202020"/>
        </w:rPr>
        <w:t>Registro sin sobrescritura: se conservarán por separado la respuesta original, el análisis, la retroalimentación generada y las decisiones de ajuste del ciclo.</w:t>
      </w:r>
    </w:p>
    <w:p w:rsidR="00E718A3" w:rsidRDefault="00CE1D24">
      <w:pPr>
        <w:spacing w:after="40" w:line="252" w:lineRule="auto"/>
        <w:ind w:left="360" w:hanging="216"/>
      </w:pPr>
      <w:r>
        <w:rPr>
          <w:color w:val="1F4E78"/>
        </w:rPr>
        <w:t xml:space="preserve">• </w:t>
      </w:r>
      <w:r>
        <w:rPr>
          <w:color w:val="202020"/>
        </w:rPr>
        <w:t>Delimitación del componente generativ</w:t>
      </w:r>
      <w:r>
        <w:rPr>
          <w:color w:val="202020"/>
        </w:rPr>
        <w:t>o: la IA no definirá libremente tareas, criterios matemáticos ni rutas individuales; operará dentro de prompts, indicadores y formatos previamente establecidos.</w:t>
      </w:r>
    </w:p>
    <w:p w:rsidR="00E718A3" w:rsidRDefault="00CE1D24">
      <w:pPr>
        <w:spacing w:after="40" w:line="252" w:lineRule="auto"/>
        <w:ind w:left="360" w:hanging="216"/>
      </w:pPr>
      <w:r>
        <w:rPr>
          <w:color w:val="1F4E78"/>
        </w:rPr>
        <w:t xml:space="preserve">• </w:t>
      </w:r>
      <w:r>
        <w:rPr>
          <w:color w:val="202020"/>
        </w:rPr>
        <w:t>Prerrequisitos como información contextual: los resultados del INS-PRERR-A se utilizarán como</w:t>
      </w:r>
      <w:r>
        <w:rPr>
          <w:color w:val="202020"/>
        </w:rPr>
        <w:t xml:space="preserve"> antecedente del grupo y no se repetirán como un bloque de clasificación APOE dentro de cada ciclo.</w:t>
      </w:r>
    </w:p>
    <w:p w:rsidR="00E718A3" w:rsidRDefault="00CE1D24">
      <w:pPr>
        <w:pStyle w:val="Ttulo2"/>
        <w:keepNext/>
      </w:pPr>
      <w:r>
        <w:rPr>
          <w:color w:val="1F4E78"/>
        </w:rPr>
        <w:t>2. Estructura general de un ciclo de seguimiento formativo</w:t>
      </w:r>
    </w:p>
    <w:p w:rsidR="00E718A3" w:rsidRDefault="00CE1D24">
      <w:pPr>
        <w:spacing w:after="100" w:line="259" w:lineRule="auto"/>
        <w:jc w:val="both"/>
      </w:pPr>
      <w:r>
        <w:rPr>
          <w:color w:val="202020"/>
        </w:rPr>
        <w:t xml:space="preserve">Cada ciclo se organiza mediante seis componentes articulados. La Tabla B1 resume su función y el </w:t>
      </w:r>
      <w:r>
        <w:rPr>
          <w:color w:val="202020"/>
        </w:rPr>
        <w:t>tipo de evidencia que produce.</w:t>
      </w:r>
    </w:p>
    <w:p w:rsidR="00E718A3" w:rsidRDefault="00CE1D24">
      <w:pPr>
        <w:keepNext/>
        <w:spacing w:before="140" w:after="20"/>
      </w:pPr>
      <w:r>
        <w:rPr>
          <w:b/>
          <w:color w:val="1F4E78"/>
          <w:sz w:val="21"/>
        </w:rPr>
        <w:t>Tabla B1</w:t>
      </w:r>
    </w:p>
    <w:p w:rsidR="00E718A3" w:rsidRDefault="00CE1D24">
      <w:pPr>
        <w:keepNext/>
        <w:spacing w:after="60"/>
      </w:pPr>
      <w:r>
        <w:rPr>
          <w:i/>
          <w:color w:val="202020"/>
        </w:rPr>
        <w:t>Componentes de un ciclo de seguimiento formativo</w:t>
      </w:r>
    </w:p>
    <w:p w:rsidR="00E718A3" w:rsidRDefault="00CE1D24">
      <w:pPr>
        <w:spacing w:after="120"/>
      </w:pPr>
      <w:r>
        <w:rPr>
          <w:i/>
          <w:color w:val="666666"/>
          <w:sz w:val="19"/>
        </w:rPr>
        <w:t>Nota.</w:t>
      </w:r>
      <w:r>
        <w:rPr>
          <w:color w:val="666666"/>
          <w:sz w:val="19"/>
        </w:rPr>
        <w:t xml:space="preserve"> Elaboración propia. La secuencia se repite en al menos tres ciclos y el ajuste grupal de un ciclo orienta la actividad común del siguiente.</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088"/>
        <w:gridCol w:w="4824"/>
        <w:gridCol w:w="3456"/>
      </w:tblGrid>
      <w:tr w:rsidR="00E718A3">
        <w:trPr>
          <w:cantSplit/>
          <w:tblHeader/>
          <w:jc w:val="center"/>
        </w:trPr>
        <w:tc>
          <w:tcPr>
            <w:tcW w:w="2088"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Componente</w:t>
            </w:r>
          </w:p>
        </w:tc>
        <w:tc>
          <w:tcPr>
            <w:tcW w:w="4824"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Función</w:t>
            </w:r>
          </w:p>
        </w:tc>
        <w:tc>
          <w:tcPr>
            <w:tcW w:w="345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Producto principal</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1. Actividad común</w:t>
            </w:r>
          </w:p>
        </w:tc>
        <w:tc>
          <w:tcPr>
            <w:tcW w:w="4824"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Producir evidencias comparables de comprensión mediante tareas compartidas por el grupo.</w:t>
            </w:r>
          </w:p>
        </w:tc>
        <w:tc>
          <w:tcPr>
            <w:tcW w:w="345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Respuestas, procedimientos y explicaciones.</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2. Análisis individual</w:t>
            </w:r>
          </w:p>
        </w:tc>
        <w:tc>
          <w:tcPr>
            <w:tcW w:w="4824"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 xml:space="preserve">Interpretar cada respuesta con los indicadores de la matriz </w:t>
            </w:r>
            <w:r>
              <w:rPr>
                <w:color w:val="202020"/>
                <w:sz w:val="17"/>
              </w:rPr>
              <w:t>APOE aplicables a la tarea.</w:t>
            </w:r>
          </w:p>
        </w:tc>
        <w:tc>
          <w:tcPr>
            <w:tcW w:w="345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Indicadores, evidencia textual y construcción sugerida.</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3. Retroalimentación individual</w:t>
            </w:r>
          </w:p>
        </w:tc>
        <w:tc>
          <w:tcPr>
            <w:tcW w:w="4824"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Orientar al estudiante a partir de la evidencia identificada en su propia respuesta.</w:t>
            </w:r>
          </w:p>
        </w:tc>
        <w:tc>
          <w:tcPr>
            <w:tcW w:w="345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Retroalimentación vinculada con la producción.</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 xml:space="preserve">4. </w:t>
            </w:r>
            <w:r>
              <w:rPr>
                <w:b/>
                <w:color w:val="1F4E78"/>
                <w:sz w:val="17"/>
              </w:rPr>
              <w:t>Agregación grupal</w:t>
            </w:r>
          </w:p>
        </w:tc>
        <w:tc>
          <w:tcPr>
            <w:tcW w:w="4824"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Integrar resultados individuales sin perder la trazabilidad de cada respuesta.</w:t>
            </w:r>
          </w:p>
        </w:tc>
        <w:tc>
          <w:tcPr>
            <w:tcW w:w="345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Frecuencias, porcentajes y distribución de dificultades.</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5. Análisis de patrones</w:t>
            </w:r>
          </w:p>
        </w:tc>
        <w:tc>
          <w:tcPr>
            <w:tcW w:w="4824"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Identificar recurrencias y aspectos conceptuales prioritarios en el grupo.</w:t>
            </w:r>
          </w:p>
        </w:tc>
        <w:tc>
          <w:tcPr>
            <w:tcW w:w="345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Síntesis interpretativa del ciclo.</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6. Ajuste didáctico</w:t>
            </w:r>
          </w:p>
        </w:tc>
        <w:tc>
          <w:tcPr>
            <w:tcW w:w="4824"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Modificar la actividad común siguiente según los patrones observados.</w:t>
            </w:r>
          </w:p>
        </w:tc>
        <w:tc>
          <w:tcPr>
            <w:tcW w:w="345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Decisión de diseño documentada para el ciclo posterior.</w:t>
            </w:r>
          </w:p>
        </w:tc>
      </w:tr>
    </w:tbl>
    <w:p w:rsidR="00E718A3" w:rsidRDefault="00CE1D24">
      <w:pPr>
        <w:pStyle w:val="Ttulo3"/>
        <w:keepNext/>
        <w:spacing w:before="200" w:after="100"/>
      </w:pPr>
      <w:r>
        <w:rPr>
          <w:color w:val="1F4E78"/>
        </w:rPr>
        <w:t>2.1 Secuencia prevista de los tres ciclos</w:t>
      </w:r>
    </w:p>
    <w:p w:rsidR="00E718A3" w:rsidRDefault="00CE1D24">
      <w:pPr>
        <w:keepNext/>
        <w:spacing w:before="140" w:after="20"/>
      </w:pPr>
      <w:r>
        <w:rPr>
          <w:b/>
          <w:color w:val="1F4E78"/>
          <w:sz w:val="21"/>
        </w:rPr>
        <w:t>Tabla B2</w:t>
      </w:r>
    </w:p>
    <w:p w:rsidR="00E718A3" w:rsidRDefault="00CE1D24">
      <w:pPr>
        <w:keepNext/>
        <w:spacing w:after="60"/>
      </w:pPr>
      <w:r>
        <w:rPr>
          <w:i/>
          <w:color w:val="202020"/>
        </w:rPr>
        <w:t xml:space="preserve">Lógica de progresión </w:t>
      </w:r>
      <w:r>
        <w:rPr>
          <w:i/>
          <w:color w:val="202020"/>
        </w:rPr>
        <w:t>entre los ciclos</w:t>
      </w:r>
    </w:p>
    <w:p w:rsidR="00E718A3" w:rsidRDefault="00CE1D24">
      <w:pPr>
        <w:spacing w:after="120"/>
      </w:pPr>
      <w:r>
        <w:rPr>
          <w:i/>
          <w:color w:val="666666"/>
          <w:sz w:val="19"/>
        </w:rPr>
        <w:t>Nota.</w:t>
      </w:r>
      <w:r>
        <w:rPr>
          <w:color w:val="666666"/>
          <w:sz w:val="19"/>
        </w:rPr>
        <w:t xml:space="preserve"> El contenido específico de los ciclos 2 y 3 se ajustará a partir de las evidencias agregadas del ciclo inmediatamente anterior; por ello, las tareas definitivas no se fijan de manera rígida en esta propuesta.</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1584"/>
        <w:gridCol w:w="5328"/>
        <w:gridCol w:w="3456"/>
      </w:tblGrid>
      <w:tr w:rsidR="00E718A3">
        <w:trPr>
          <w:cantSplit/>
          <w:tblHeader/>
          <w:jc w:val="center"/>
        </w:trPr>
        <w:tc>
          <w:tcPr>
            <w:tcW w:w="1584"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Ciclo</w:t>
            </w:r>
          </w:p>
        </w:tc>
        <w:tc>
          <w:tcPr>
            <w:tcW w:w="5328"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Propósito prelimin</w:t>
            </w:r>
            <w:r>
              <w:rPr>
                <w:b/>
                <w:color w:val="FFFFFF"/>
                <w:sz w:val="17"/>
              </w:rPr>
              <w:t>ar</w:t>
            </w:r>
          </w:p>
        </w:tc>
        <w:tc>
          <w:tcPr>
            <w:tcW w:w="345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Criterio de ajuste para el ciclo siguiente</w:t>
            </w:r>
          </w:p>
        </w:tc>
      </w:tr>
      <w:tr w:rsidR="00E718A3">
        <w:trPr>
          <w:cantSplit/>
          <w:jc w:val="center"/>
        </w:trPr>
        <w:tc>
          <w:tcPr>
            <w:tcW w:w="1584"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Ciclo 1</w:t>
            </w:r>
          </w:p>
        </w:tc>
        <w:tc>
          <w:tcPr>
            <w:tcW w:w="5328"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Obtener una primera evidencia común sobre interpretación de la derivada como razón de cambio, cantidad frente a tasa, promedio frente a instantánea y coordinación representacional.</w:t>
            </w:r>
          </w:p>
        </w:tc>
        <w:tc>
          <w:tcPr>
            <w:tcW w:w="345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 xml:space="preserve">Patrones y </w:t>
            </w:r>
            <w:r>
              <w:rPr>
                <w:color w:val="202020"/>
                <w:sz w:val="17"/>
              </w:rPr>
              <w:t>dificultades predominantes identificados en las respuestas del grupo.</w:t>
            </w:r>
          </w:p>
        </w:tc>
      </w:tr>
      <w:tr w:rsidR="00E718A3">
        <w:trPr>
          <w:cantSplit/>
          <w:jc w:val="center"/>
        </w:trPr>
        <w:tc>
          <w:tcPr>
            <w:tcW w:w="1584"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lastRenderedPageBreak/>
              <w:t>Ciclo 2</w:t>
            </w:r>
          </w:p>
        </w:tc>
        <w:tc>
          <w:tcPr>
            <w:tcW w:w="5328"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Profundizar en los aspectos priorizados después del Ciclo 1 mediante una nueva actividad común.</w:t>
            </w:r>
          </w:p>
        </w:tc>
        <w:tc>
          <w:tcPr>
            <w:tcW w:w="345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 xml:space="preserve">Persistencia, reducción o aparición de nuevas dificultades; necesidad de variar </w:t>
            </w:r>
            <w:r>
              <w:rPr>
                <w:color w:val="202020"/>
                <w:sz w:val="17"/>
              </w:rPr>
              <w:t>representaciones o complejidad.</w:t>
            </w:r>
          </w:p>
        </w:tc>
      </w:tr>
      <w:tr w:rsidR="00E718A3">
        <w:trPr>
          <w:cantSplit/>
          <w:jc w:val="center"/>
        </w:trPr>
        <w:tc>
          <w:tcPr>
            <w:tcW w:w="1584"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Ciclo 3</w:t>
            </w:r>
          </w:p>
        </w:tc>
        <w:tc>
          <w:tcPr>
            <w:tcW w:w="5328"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Integrar interpretación, comparación, predicción, decisión o transferencia en una actividad común de mayor articulación conceptual.</w:t>
            </w:r>
          </w:p>
        </w:tc>
        <w:tc>
          <w:tcPr>
            <w:tcW w:w="345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Valoración final del funcionamiento de la estrategia y de los ajustes realizados en</w:t>
            </w:r>
            <w:r>
              <w:rPr>
                <w:color w:val="202020"/>
                <w:sz w:val="17"/>
              </w:rPr>
              <w:t>tre ciclos.</w:t>
            </w:r>
          </w:p>
        </w:tc>
      </w:tr>
    </w:tbl>
    <w:p w:rsidR="00E718A3" w:rsidRDefault="00CE1D24">
      <w:pPr>
        <w:pStyle w:val="Ttulo2"/>
        <w:keepNext/>
      </w:pPr>
      <w:r>
        <w:rPr>
          <w:color w:val="1F4E78"/>
        </w:rPr>
        <w:t>3. Actividad común preliminar del Ciclo 1</w:t>
      </w:r>
    </w:p>
    <w:p w:rsidR="00E718A3" w:rsidRDefault="00CE1D24">
      <w:pPr>
        <w:spacing w:after="100" w:line="259" w:lineRule="auto"/>
        <w:jc w:val="both"/>
      </w:pPr>
      <w:r>
        <w:rPr>
          <w:color w:val="202020"/>
        </w:rPr>
        <w:t>El ejemplo del tanque de agua se conserva como escenario preliminar porque permite producir evidencias sobre varios componentes de la comprensión de la derivada como razón de cambio. A diferencia de la</w:t>
      </w:r>
      <w:r>
        <w:rPr>
          <w:color w:val="202020"/>
        </w:rPr>
        <w:t xml:space="preserve"> versión anterior del prototipo, todas las tareas de esta actividad serán comunes a los participantes y no conducirán a rutas diferenciadas.</w:t>
      </w:r>
    </w:p>
    <w:p w:rsidR="00E718A3" w:rsidRDefault="00CE1D24">
      <w:pPr>
        <w:pStyle w:val="Ttulo3"/>
        <w:keepNext/>
        <w:spacing w:before="200" w:after="100"/>
      </w:pPr>
      <w:r>
        <w:rPr>
          <w:color w:val="1F4E78"/>
        </w:rPr>
        <w:t>3.1 Situación general: monitoreo del tanque de agua del campus</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1F4E78"/>
          <w:insideV w:val="single" w:sz="4" w:space="0" w:color="1F4E78"/>
        </w:tblBorders>
        <w:tblLayout w:type="fixed"/>
        <w:tblLook w:val="04A0" w:firstRow="1" w:lastRow="0" w:firstColumn="1" w:lastColumn="0" w:noHBand="0" w:noVBand="1"/>
      </w:tblPr>
      <w:tblGrid>
        <w:gridCol w:w="9026"/>
      </w:tblGrid>
      <w:tr w:rsidR="00E718A3">
        <w:trPr>
          <w:cantSplit/>
          <w:jc w:val="center"/>
        </w:trPr>
        <w:tc>
          <w:tcPr>
            <w:tcW w:w="9026" w:type="dxa"/>
            <w:shd w:val="clear" w:color="auto" w:fill="1F4E78"/>
            <w:tcMar>
              <w:top w:w="75" w:type="dxa"/>
              <w:left w:w="120" w:type="dxa"/>
              <w:bottom w:w="75" w:type="dxa"/>
              <w:right w:w="120" w:type="dxa"/>
            </w:tcMar>
          </w:tcPr>
          <w:p w:rsidR="00E718A3" w:rsidRDefault="00CE1D24">
            <w:r>
              <w:rPr>
                <w:b/>
                <w:color w:val="FFFFFF"/>
                <w:sz w:val="19"/>
              </w:rPr>
              <w:t>Situación</w:t>
            </w:r>
          </w:p>
        </w:tc>
      </w:tr>
      <w:tr w:rsidR="00E718A3">
        <w:trPr>
          <w:cantSplit/>
          <w:jc w:val="center"/>
        </w:trPr>
        <w:tc>
          <w:tcPr>
            <w:tcW w:w="9026" w:type="dxa"/>
            <w:shd w:val="clear" w:color="auto" w:fill="FFF4CC"/>
            <w:tcMar>
              <w:top w:w="75" w:type="dxa"/>
              <w:left w:w="120" w:type="dxa"/>
              <w:bottom w:w="75" w:type="dxa"/>
              <w:right w:w="120" w:type="dxa"/>
            </w:tcMar>
          </w:tcPr>
          <w:p w:rsidR="00E718A3" w:rsidRDefault="00CE1D24">
            <w:r>
              <w:rPr>
                <w:color w:val="202020"/>
                <w:sz w:val="19"/>
              </w:rPr>
              <w:t xml:space="preserve">El laboratorio de ingeniería de una </w:t>
            </w:r>
            <w:r>
              <w:rPr>
                <w:color w:val="202020"/>
                <w:sz w:val="19"/>
              </w:rPr>
              <w:t>universidad utiliza un tanque para alimentar un sistema de enfriamiento. Después de abrir una válvula, un sensor registra el volumen de agua V(t), medido en litros, donde t representa el tiempo transcurrido en minutos. En el minuto 6, el panel informa: V(6</w:t>
            </w:r>
            <w:r>
              <w:rPr>
                <w:color w:val="202020"/>
                <w:sz w:val="19"/>
              </w:rPr>
              <w:t>) = 120 litros y V′(6) = −8 litros/minuto.</w:t>
            </w:r>
          </w:p>
        </w:tc>
      </w:tr>
    </w:tbl>
    <w:p w:rsidR="00E718A3" w:rsidRDefault="00CE1D24">
      <w:pPr>
        <w:pStyle w:val="Ttulo3"/>
        <w:keepNext/>
        <w:spacing w:before="200" w:after="100"/>
      </w:pPr>
      <w:r>
        <w:rPr>
          <w:color w:val="1F4E78"/>
        </w:rPr>
        <w:t>3.2 Tareas comunes del Ciclo 1</w:t>
      </w:r>
    </w:p>
    <w:p w:rsidR="00E718A3" w:rsidRDefault="00CE1D24">
      <w:pPr>
        <w:keepNext/>
        <w:spacing w:before="120" w:after="40"/>
      </w:pPr>
      <w:r>
        <w:rPr>
          <w:b/>
          <w:color w:val="1F4E78"/>
        </w:rPr>
        <w:t>C1-T1. Interpretación contextual del dato instantáneo</w:t>
      </w:r>
    </w:p>
    <w:p w:rsidR="00E718A3" w:rsidRDefault="00CE1D24">
      <w:pPr>
        <w:spacing w:after="60" w:line="252" w:lineRule="auto"/>
        <w:jc w:val="both"/>
      </w:pPr>
      <w:r>
        <w:rPr>
          <w:color w:val="202020"/>
        </w:rPr>
        <w:t xml:space="preserve">Explica con tus propias palabras qué significa V′(6) = −8 litros/minuto en la situación del tanque. Incluye la información que </w:t>
      </w:r>
      <w:r>
        <w:rPr>
          <w:color w:val="202020"/>
        </w:rPr>
        <w:t>consideres necesaria para que una persona que no conoce cálculo comprenda el dato.</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592"/>
        <w:gridCol w:w="7776"/>
      </w:tblGrid>
      <w:tr w:rsidR="00E718A3">
        <w:trPr>
          <w:cantSplit/>
          <w:tblHeader/>
          <w:jc w:val="center"/>
        </w:trPr>
        <w:tc>
          <w:tcPr>
            <w:tcW w:w="2592"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Elemento</w:t>
            </w:r>
          </w:p>
        </w:tc>
        <w:tc>
          <w:tcPr>
            <w:tcW w:w="777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Especificación</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Tipo de respuesta</w:t>
            </w:r>
          </w:p>
        </w:tc>
        <w:tc>
          <w:tcPr>
            <w:tcW w:w="777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Respuesta abierta extensa.</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Respuesta o actuación esperada</w:t>
            </w:r>
          </w:p>
        </w:tc>
        <w:tc>
          <w:tcPr>
            <w:tcW w:w="777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 xml:space="preserve">Una interpretación completa indica que cerca del minuto 6 el volumen </w:t>
            </w:r>
            <w:r>
              <w:rPr>
                <w:color w:val="202020"/>
                <w:sz w:val="17"/>
              </w:rPr>
              <w:t>disminuye aproximadamente a una razón de 8 litros por minuto. Respuestas parciales pueden mencionar solo el valor, la dirección del cambio o las unidades.</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Indicadores movilizados</w:t>
            </w:r>
          </w:p>
        </w:tc>
        <w:tc>
          <w:tcPr>
            <w:tcW w:w="777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 xml:space="preserve">Razón de cambio instantánea; variación local; signo; magnitud; unidades; </w:t>
            </w:r>
            <w:r>
              <w:rPr>
                <w:color w:val="202020"/>
                <w:sz w:val="17"/>
              </w:rPr>
              <w:t>punto de evaluación; relación simbólica; lenguaje contextual.</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Demanda máxima de la tarea</w:t>
            </w:r>
          </w:p>
        </w:tc>
        <w:tc>
          <w:tcPr>
            <w:tcW w:w="777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Objeto.</w:t>
            </w:r>
          </w:p>
        </w:tc>
      </w:tr>
    </w:tbl>
    <w:p w:rsidR="00E718A3" w:rsidRDefault="00CE1D24">
      <w:pPr>
        <w:keepNext/>
        <w:spacing w:before="120" w:after="40"/>
      </w:pPr>
      <w:r>
        <w:rPr>
          <w:b/>
          <w:color w:val="1F4E78"/>
        </w:rPr>
        <w:t>C1-T2. Cantidad frente a razón de cambio</w:t>
      </w:r>
    </w:p>
    <w:p w:rsidR="00E718A3" w:rsidRDefault="00CE1D24">
      <w:pPr>
        <w:spacing w:after="60" w:line="252" w:lineRule="auto"/>
        <w:jc w:val="both"/>
      </w:pPr>
      <w:r>
        <w:rPr>
          <w:color w:val="202020"/>
        </w:rPr>
        <w:t xml:space="preserve">Explica la diferencia entre la información proporcionada por V(6) = 120 litros y la información proporcionada por </w:t>
      </w:r>
      <w:r>
        <w:rPr>
          <w:color w:val="202020"/>
        </w:rPr>
        <w:t>V′(6) = −8 litros/minuto.</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592"/>
        <w:gridCol w:w="7776"/>
      </w:tblGrid>
      <w:tr w:rsidR="00E718A3">
        <w:trPr>
          <w:cantSplit/>
          <w:tblHeader/>
          <w:jc w:val="center"/>
        </w:trPr>
        <w:tc>
          <w:tcPr>
            <w:tcW w:w="2592"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Elemento</w:t>
            </w:r>
          </w:p>
        </w:tc>
        <w:tc>
          <w:tcPr>
            <w:tcW w:w="777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Especificación</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Tipo de respuesta</w:t>
            </w:r>
          </w:p>
        </w:tc>
        <w:tc>
          <w:tcPr>
            <w:tcW w:w="777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Respuesta comparativa abierta.</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Respuesta o actuación esperada</w:t>
            </w:r>
          </w:p>
        </w:tc>
        <w:tc>
          <w:tcPr>
            <w:tcW w:w="777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Distingue la cantidad de agua presente en el minuto 6 de la rapidez con que el volumen está cambiando cerca de ese instante.</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Indicadores movilizados</w:t>
            </w:r>
          </w:p>
        </w:tc>
        <w:tc>
          <w:tcPr>
            <w:tcW w:w="777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Cantidad frente a tasa; signo; magnitud; unidades; punto de evaluación; relación simbólica y verbal.</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Demanda máxima de la tarea</w:t>
            </w:r>
          </w:p>
        </w:tc>
        <w:tc>
          <w:tcPr>
            <w:tcW w:w="777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Objeto.</w:t>
            </w:r>
          </w:p>
        </w:tc>
      </w:tr>
    </w:tbl>
    <w:p w:rsidR="00E718A3" w:rsidRDefault="00CE1D24">
      <w:pPr>
        <w:keepNext/>
        <w:spacing w:before="120" w:after="40"/>
      </w:pPr>
      <w:r>
        <w:rPr>
          <w:b/>
          <w:color w:val="1F4E78"/>
        </w:rPr>
        <w:t>C1-T3. Razón promedio frente a razón instantánea</w:t>
      </w:r>
    </w:p>
    <w:p w:rsidR="00E718A3" w:rsidRDefault="00CE1D24">
      <w:pPr>
        <w:spacing w:after="60" w:line="252" w:lineRule="auto"/>
        <w:jc w:val="both"/>
      </w:pPr>
      <w:r>
        <w:rPr>
          <w:color w:val="202020"/>
        </w:rPr>
        <w:t xml:space="preserve">Entre los minutos 6 y 7, el volumen cambia </w:t>
      </w:r>
      <w:r>
        <w:rPr>
          <w:color w:val="202020"/>
        </w:rPr>
        <w:t>de 120 a 111 litros, por lo que la razón de cambio promedio en ese intervalo es −9 litros por minuto. Explica qué diferencia existe entre ese valor y V′(6) = −8 litros/minuto y qué representa cada uno.</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592"/>
        <w:gridCol w:w="7776"/>
      </w:tblGrid>
      <w:tr w:rsidR="00E718A3">
        <w:trPr>
          <w:cantSplit/>
          <w:tblHeader/>
          <w:jc w:val="center"/>
        </w:trPr>
        <w:tc>
          <w:tcPr>
            <w:tcW w:w="2592"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lastRenderedPageBreak/>
              <w:t>Elemento</w:t>
            </w:r>
          </w:p>
        </w:tc>
        <w:tc>
          <w:tcPr>
            <w:tcW w:w="777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Especificación</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Tipo de respuesta</w:t>
            </w:r>
          </w:p>
        </w:tc>
        <w:tc>
          <w:tcPr>
            <w:tcW w:w="777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 xml:space="preserve">Respuesta </w:t>
            </w:r>
            <w:r>
              <w:rPr>
                <w:color w:val="202020"/>
                <w:sz w:val="17"/>
              </w:rPr>
              <w:t>comparativa abierta.</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Respuesta o actuación esperada</w:t>
            </w:r>
          </w:p>
        </w:tc>
        <w:tc>
          <w:tcPr>
            <w:tcW w:w="777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Reconoce que −9 representa el cambio promedio durante el intervalo de 6 a 7 minutos, mientras que −8 representa la razón de cambio instantánea en el minuto 6 o cerca de ese instante.</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 xml:space="preserve">Indicadores </w:t>
            </w:r>
            <w:r>
              <w:rPr>
                <w:b/>
                <w:color w:val="1F4E78"/>
                <w:sz w:val="17"/>
              </w:rPr>
              <w:t>movilizados</w:t>
            </w:r>
          </w:p>
        </w:tc>
        <w:tc>
          <w:tcPr>
            <w:tcW w:w="777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Razón promedio e instantánea; intervalo frente a punto; variación local; lenguaje contextual.</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Demanda máxima de la tarea</w:t>
            </w:r>
          </w:p>
        </w:tc>
        <w:tc>
          <w:tcPr>
            <w:tcW w:w="777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Objeto.</w:t>
            </w:r>
          </w:p>
        </w:tc>
      </w:tr>
    </w:tbl>
    <w:p w:rsidR="00E718A3" w:rsidRDefault="00CE1D24">
      <w:pPr>
        <w:keepNext/>
        <w:spacing w:before="120" w:after="40"/>
      </w:pPr>
      <w:r>
        <w:rPr>
          <w:b/>
          <w:color w:val="1F4E78"/>
        </w:rPr>
        <w:t>C1-T4. Interpretación gráfica de la rapidez de cambio</w:t>
      </w:r>
    </w:p>
    <w:p w:rsidR="00E718A3" w:rsidRDefault="00CE1D24">
      <w:pPr>
        <w:spacing w:after="60" w:line="252" w:lineRule="auto"/>
        <w:jc w:val="both"/>
      </w:pPr>
      <w:r>
        <w:rPr>
          <w:color w:val="202020"/>
        </w:rPr>
        <w:t xml:space="preserve">A partir de una gráfica con tres puntos señalados y sus </w:t>
      </w:r>
      <w:r>
        <w:rPr>
          <w:color w:val="202020"/>
        </w:rPr>
        <w:t>rectas tangentes, identifica en cuál de ellos la cantidad cambia más rápidamente y explica cómo utilizaste la inclinación de las tangentes para decidir.</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592"/>
        <w:gridCol w:w="7776"/>
      </w:tblGrid>
      <w:tr w:rsidR="00E718A3">
        <w:trPr>
          <w:cantSplit/>
          <w:tblHeader/>
          <w:jc w:val="center"/>
        </w:trPr>
        <w:tc>
          <w:tcPr>
            <w:tcW w:w="2592"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Elemento</w:t>
            </w:r>
          </w:p>
        </w:tc>
        <w:tc>
          <w:tcPr>
            <w:tcW w:w="777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Especificación</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Tipo de respuesta</w:t>
            </w:r>
          </w:p>
        </w:tc>
        <w:tc>
          <w:tcPr>
            <w:tcW w:w="777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Selección de punto y justificación gráfica.</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 xml:space="preserve">Respuesta o </w:t>
            </w:r>
            <w:r>
              <w:rPr>
                <w:b/>
                <w:color w:val="1F4E78"/>
                <w:sz w:val="17"/>
              </w:rPr>
              <w:t>actuación esperada</w:t>
            </w:r>
          </w:p>
        </w:tc>
        <w:tc>
          <w:tcPr>
            <w:tcW w:w="777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Compara pendientes y relaciona la inclinación de la recta tangente con el signo y la magnitud relativa de la razón de cambio.</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Indicadores movilizados</w:t>
            </w:r>
          </w:p>
        </w:tc>
        <w:tc>
          <w:tcPr>
            <w:tcW w:w="777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Relación gráfica pendiente/tangente; signo; magnitud; comparación de tasas.</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 xml:space="preserve">Demanda </w:t>
            </w:r>
            <w:r>
              <w:rPr>
                <w:b/>
                <w:color w:val="1F4E78"/>
                <w:sz w:val="17"/>
              </w:rPr>
              <w:t>máxima de la tarea</w:t>
            </w:r>
          </w:p>
        </w:tc>
        <w:tc>
          <w:tcPr>
            <w:tcW w:w="777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Objeto; puede aportar evidencia parcial para Esquema si la justificación integra comparación y transferencia.</w:t>
            </w:r>
          </w:p>
        </w:tc>
      </w:tr>
    </w:tbl>
    <w:p w:rsidR="00E718A3" w:rsidRDefault="00CE1D24">
      <w:pPr>
        <w:keepNext/>
        <w:spacing w:before="120" w:after="40"/>
      </w:pPr>
      <w:r>
        <w:rPr>
          <w:b/>
          <w:color w:val="1F4E78"/>
        </w:rPr>
        <w:t>C1-T5. Estimación y decisión a partir de una tasa local</w:t>
      </w:r>
    </w:p>
    <w:p w:rsidR="00E718A3" w:rsidRDefault="00CE1D24">
      <w:pPr>
        <w:spacing w:after="60" w:line="252" w:lineRule="auto"/>
        <w:jc w:val="both"/>
      </w:pPr>
      <w:r>
        <w:rPr>
          <w:color w:val="202020"/>
        </w:rPr>
        <w:t>Si durante los siguientes 15 segundos la razón de cambio permanece apr</w:t>
      </w:r>
      <w:r>
        <w:rPr>
          <w:color w:val="202020"/>
        </w:rPr>
        <w:t>oximadamente cercana a −8 litros/minuto, estima cuánto cambiaría el volumen y explica por qué el resultado debe interpretarse como una aproximación. Luego indica qué decisión tomarías si el sistema activa una alarma al acercarse a un nivel crítico.</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592"/>
        <w:gridCol w:w="7776"/>
      </w:tblGrid>
      <w:tr w:rsidR="00E718A3">
        <w:trPr>
          <w:cantSplit/>
          <w:tblHeader/>
          <w:jc w:val="center"/>
        </w:trPr>
        <w:tc>
          <w:tcPr>
            <w:tcW w:w="2592"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Element</w:t>
            </w:r>
            <w:r>
              <w:rPr>
                <w:b/>
                <w:color w:val="FFFFFF"/>
                <w:sz w:val="17"/>
              </w:rPr>
              <w:t>o</w:t>
            </w:r>
          </w:p>
        </w:tc>
        <w:tc>
          <w:tcPr>
            <w:tcW w:w="777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Especificación</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Tipo de respuesta</w:t>
            </w:r>
          </w:p>
        </w:tc>
        <w:tc>
          <w:tcPr>
            <w:tcW w:w="777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Cálculo breve y justificación contextual.</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Respuesta o actuación esperada</w:t>
            </w:r>
          </w:p>
        </w:tc>
        <w:tc>
          <w:tcPr>
            <w:tcW w:w="777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Convierte 15 segundos en 0,25 minutos, estima un cambio aproximado de −2 litros y reconoce que la tasa local puede variar al alejarse del instante</w:t>
            </w:r>
            <w:r>
              <w:rPr>
                <w:color w:val="202020"/>
                <w:sz w:val="17"/>
              </w:rPr>
              <w:t xml:space="preserve"> de referencia; utiliza esa interpretación para justificar una decisión.</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Indicadores movilizados</w:t>
            </w:r>
          </w:p>
        </w:tc>
        <w:tc>
          <w:tcPr>
            <w:tcW w:w="777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Predicción; unidades; variación local; aproximación; toma de decisiones; lenguaje contextual.</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Demanda máxima de la tarea</w:t>
            </w:r>
          </w:p>
        </w:tc>
        <w:tc>
          <w:tcPr>
            <w:tcW w:w="777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Esquema, si la respuesta moviliza la</w:t>
            </w:r>
            <w:r>
              <w:rPr>
                <w:color w:val="202020"/>
                <w:sz w:val="17"/>
              </w:rPr>
              <w:t xml:space="preserve"> interpretación para predecir y justificar.</w:t>
            </w:r>
          </w:p>
        </w:tc>
      </w:tr>
    </w:tbl>
    <w:p w:rsidR="00E718A3" w:rsidRDefault="00CE1D24">
      <w:pPr>
        <w:pStyle w:val="Ttulo2"/>
        <w:keepNext/>
      </w:pPr>
      <w:r>
        <w:rPr>
          <w:color w:val="1F4E78"/>
        </w:rPr>
        <w:t>4. Análisis individual de las respuestas mediante la matriz APOE</w:t>
      </w:r>
    </w:p>
    <w:p w:rsidR="00E718A3" w:rsidRDefault="00CE1D24">
      <w:pPr>
        <w:spacing w:after="100" w:line="259" w:lineRule="auto"/>
        <w:jc w:val="both"/>
      </w:pPr>
      <w:r>
        <w:rPr>
          <w:color w:val="202020"/>
        </w:rPr>
        <w:t>Cada respuesta se analizará únicamente con los indicadores que la tarea permita observar. La lectura no se realizará mediante una suma mecánica de</w:t>
      </w:r>
      <w:r>
        <w:rPr>
          <w:color w:val="202020"/>
        </w:rPr>
        <w:t xml:space="preserve"> indicadores. El sistema deberá conservar la evidencia textual o procedimental que sustente cada interpretación y distinguir entre indicador ausente e indicador no aplicable.</w:t>
      </w:r>
    </w:p>
    <w:p w:rsidR="00E718A3" w:rsidRDefault="00CE1D24">
      <w:pPr>
        <w:keepNext/>
        <w:spacing w:before="140" w:after="20"/>
      </w:pPr>
      <w:r>
        <w:rPr>
          <w:b/>
          <w:color w:val="1F4E78"/>
          <w:sz w:val="21"/>
        </w:rPr>
        <w:t>Tabla B3</w:t>
      </w:r>
    </w:p>
    <w:p w:rsidR="00E718A3" w:rsidRDefault="00CE1D24">
      <w:pPr>
        <w:keepNext/>
        <w:spacing w:after="60"/>
      </w:pPr>
      <w:r>
        <w:rPr>
          <w:i/>
          <w:color w:val="202020"/>
        </w:rPr>
        <w:t>Salida estructurada prevista para el análisis individual</w:t>
      </w:r>
    </w:p>
    <w:p w:rsidR="00E718A3" w:rsidRDefault="00CE1D24">
      <w:pPr>
        <w:spacing w:after="120"/>
      </w:pPr>
      <w:r>
        <w:rPr>
          <w:i/>
          <w:color w:val="666666"/>
          <w:sz w:val="19"/>
        </w:rPr>
        <w:t>Nota.</w:t>
      </w:r>
      <w:r>
        <w:rPr>
          <w:color w:val="666666"/>
          <w:sz w:val="19"/>
        </w:rPr>
        <w:t xml:space="preserve"> La constr</w:t>
      </w:r>
      <w:r>
        <w:rPr>
          <w:color w:val="666666"/>
          <w:sz w:val="19"/>
        </w:rPr>
        <w:t>ucción APOE sugerida resume la evidencia de la respuesta; no constituye una etiqueta permanente del estudiante.</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592"/>
        <w:gridCol w:w="5040"/>
        <w:gridCol w:w="2736"/>
      </w:tblGrid>
      <w:tr w:rsidR="00E718A3">
        <w:trPr>
          <w:cantSplit/>
          <w:tblHeader/>
          <w:jc w:val="center"/>
        </w:trPr>
        <w:tc>
          <w:tcPr>
            <w:tcW w:w="2592"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Campo</w:t>
            </w:r>
          </w:p>
        </w:tc>
        <w:tc>
          <w:tcPr>
            <w:tcW w:w="5040"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Descripción</w:t>
            </w:r>
          </w:p>
        </w:tc>
        <w:tc>
          <w:tcPr>
            <w:tcW w:w="273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Ejemplo</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respuesta_id</w:t>
            </w:r>
          </w:p>
        </w:tc>
        <w:tc>
          <w:tcPr>
            <w:tcW w:w="5040"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Identificador de la producción analizada.</w:t>
            </w:r>
          </w:p>
        </w:tc>
        <w:tc>
          <w:tcPr>
            <w:tcW w:w="273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r_E07_C1_T1</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indicadores_aplicables</w:t>
            </w:r>
          </w:p>
        </w:tc>
        <w:tc>
          <w:tcPr>
            <w:tcW w:w="5040"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 xml:space="preserve">Indicadores que la tarea </w:t>
            </w:r>
            <w:r>
              <w:rPr>
                <w:color w:val="202020"/>
                <w:sz w:val="17"/>
              </w:rPr>
              <w:t>permite observar.</w:t>
            </w:r>
          </w:p>
        </w:tc>
        <w:tc>
          <w:tcPr>
            <w:tcW w:w="273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signo; magnitud; unidades; punto; localidad</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indicadores_presentes</w:t>
            </w:r>
          </w:p>
        </w:tc>
        <w:tc>
          <w:tcPr>
            <w:tcW w:w="5040"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Indicadores sustentados por la respuesta.</w:t>
            </w:r>
          </w:p>
        </w:tc>
        <w:tc>
          <w:tcPr>
            <w:tcW w:w="273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signo; punto</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lastRenderedPageBreak/>
              <w:t>indicadores_ausentes</w:t>
            </w:r>
          </w:p>
        </w:tc>
        <w:tc>
          <w:tcPr>
            <w:tcW w:w="5040"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Indicadores exigidos por la tarea que no aparecen o son inconsistentes.</w:t>
            </w:r>
          </w:p>
        </w:tc>
        <w:tc>
          <w:tcPr>
            <w:tcW w:w="273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 xml:space="preserve">magnitud; unidades; </w:t>
            </w:r>
            <w:r>
              <w:rPr>
                <w:color w:val="202020"/>
                <w:sz w:val="17"/>
              </w:rPr>
              <w:t>localidad</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evidencia_textual</w:t>
            </w:r>
          </w:p>
        </w:tc>
        <w:tc>
          <w:tcPr>
            <w:tcW w:w="5040"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Fragmento o elemento de la respuesta que sustenta la lectura.</w:t>
            </w:r>
          </w:p>
        </w:tc>
        <w:tc>
          <w:tcPr>
            <w:tcW w:w="273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“el volumen está disminuyendo en el minuto 6”</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construccion_apoe_sugerida</w:t>
            </w:r>
          </w:p>
        </w:tc>
        <w:tc>
          <w:tcPr>
            <w:tcW w:w="5040"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Acción, Proceso, Objeto, Esquema o sin evidencia clasificable.</w:t>
            </w:r>
          </w:p>
        </w:tc>
        <w:tc>
          <w:tcPr>
            <w:tcW w:w="273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Proceso</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dificultad_identificada</w:t>
            </w:r>
          </w:p>
        </w:tc>
        <w:tc>
          <w:tcPr>
            <w:tcW w:w="5040"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Aspecto conceptual prioritario para la retroalimentación.</w:t>
            </w:r>
          </w:p>
        </w:tc>
        <w:tc>
          <w:tcPr>
            <w:tcW w:w="273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magnitud y unidades</w:t>
            </w:r>
          </w:p>
        </w:tc>
      </w:tr>
      <w:tr w:rsidR="00E718A3">
        <w:trPr>
          <w:cantSplit/>
          <w:jc w:val="center"/>
        </w:trPr>
        <w:tc>
          <w:tcPr>
            <w:tcW w:w="259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confianza_salida</w:t>
            </w:r>
          </w:p>
        </w:tc>
        <w:tc>
          <w:tcPr>
            <w:tcW w:w="5040"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Valor o categoría de confianza definida durante el pilotaje.</w:t>
            </w:r>
          </w:p>
        </w:tc>
        <w:tc>
          <w:tcPr>
            <w:tcW w:w="273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alta / media / baja</w:t>
            </w:r>
          </w:p>
        </w:tc>
      </w:tr>
    </w:tbl>
    <w:p w:rsidR="00E718A3" w:rsidRDefault="00CE1D24">
      <w:pPr>
        <w:pStyle w:val="Ttulo2"/>
        <w:keepNext/>
      </w:pPr>
      <w:r>
        <w:rPr>
          <w:color w:val="1F4E78"/>
        </w:rPr>
        <w:t>5. Retroalimentación individual</w:t>
      </w:r>
    </w:p>
    <w:p w:rsidR="00E718A3" w:rsidRDefault="00CE1D24">
      <w:pPr>
        <w:spacing w:after="100" w:line="259" w:lineRule="auto"/>
        <w:jc w:val="both"/>
      </w:pPr>
      <w:r>
        <w:rPr>
          <w:color w:val="202020"/>
        </w:rPr>
        <w:t xml:space="preserve">La retroalimentación </w:t>
      </w:r>
      <w:r>
        <w:rPr>
          <w:color w:val="202020"/>
        </w:rPr>
        <w:t>se generará después de registrar la respuesta original y se vinculará con las evidencias identificadas en esa producción. Su función será señalar el aspecto conceptual que requiere elaboración y orientar una revisión de la interpretación, sin asignar al es</w:t>
      </w:r>
      <w:r>
        <w:rPr>
          <w:color w:val="202020"/>
        </w:rPr>
        <w:t>tudiante una actividad distinta ni modificar la tarea común ya realizada.</w:t>
      </w:r>
    </w:p>
    <w:p w:rsidR="00E718A3" w:rsidRDefault="00CE1D24">
      <w:pPr>
        <w:keepNext/>
        <w:spacing w:before="140" w:after="20"/>
      </w:pPr>
      <w:r>
        <w:rPr>
          <w:b/>
          <w:color w:val="1F4E78"/>
          <w:sz w:val="21"/>
        </w:rPr>
        <w:t>Tabla B4</w:t>
      </w:r>
    </w:p>
    <w:p w:rsidR="00E718A3" w:rsidRDefault="00CE1D24">
      <w:pPr>
        <w:keepNext/>
        <w:spacing w:after="60"/>
      </w:pPr>
      <w:r>
        <w:rPr>
          <w:i/>
          <w:color w:val="202020"/>
        </w:rPr>
        <w:t>Tipos preliminares de retroalimentación según la evidencia observada</w:t>
      </w:r>
    </w:p>
    <w:p w:rsidR="00E718A3" w:rsidRDefault="00CE1D24">
      <w:pPr>
        <w:spacing w:after="120"/>
      </w:pPr>
      <w:r>
        <w:rPr>
          <w:i/>
          <w:color w:val="666666"/>
          <w:sz w:val="19"/>
        </w:rPr>
        <w:t>Nota.</w:t>
      </w:r>
      <w:r>
        <w:rPr>
          <w:color w:val="666666"/>
          <w:sz w:val="19"/>
        </w:rPr>
        <w:t xml:space="preserve"> Los ejemplos son orientativos. La redacción definitiva se definirá y pilotará mediante prompts y f</w:t>
      </w:r>
      <w:r>
        <w:rPr>
          <w:color w:val="666666"/>
          <w:sz w:val="19"/>
        </w:rPr>
        <w:t>ormatos de salida antes de la implementación.</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880"/>
        <w:gridCol w:w="3744"/>
        <w:gridCol w:w="3744"/>
      </w:tblGrid>
      <w:tr w:rsidR="00E718A3">
        <w:trPr>
          <w:cantSplit/>
          <w:tblHeader/>
          <w:jc w:val="center"/>
        </w:trPr>
        <w:tc>
          <w:tcPr>
            <w:tcW w:w="2880"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Patrón observado</w:t>
            </w:r>
          </w:p>
        </w:tc>
        <w:tc>
          <w:tcPr>
            <w:tcW w:w="3744"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Propósito de la retroalimentación</w:t>
            </w:r>
          </w:p>
        </w:tc>
        <w:tc>
          <w:tcPr>
            <w:tcW w:w="3744"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Ejemplo de orientación</w:t>
            </w:r>
          </w:p>
        </w:tc>
      </w:tr>
      <w:tr w:rsidR="00E718A3">
        <w:trPr>
          <w:cantSplit/>
          <w:jc w:val="center"/>
        </w:trPr>
        <w:tc>
          <w:tcPr>
            <w:tcW w:w="2880"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Confunde cantidad y tasa</w:t>
            </w:r>
          </w:p>
        </w:tc>
        <w:tc>
          <w:tcPr>
            <w:tcW w:w="3744"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Distinguir el valor de la función del valor de la derivada.</w:t>
            </w:r>
          </w:p>
        </w:tc>
        <w:tc>
          <w:tcPr>
            <w:tcW w:w="3744"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 xml:space="preserve">“Tu respuesta interpreta −8 como una cantidad. </w:t>
            </w:r>
            <w:r>
              <w:rPr>
                <w:color w:val="202020"/>
                <w:sz w:val="17"/>
              </w:rPr>
              <w:t>Revisa las unidades: ¿qué diferencia hay entre litros y litros por minuto?”</w:t>
            </w:r>
          </w:p>
        </w:tc>
      </w:tr>
      <w:tr w:rsidR="00E718A3">
        <w:trPr>
          <w:cantSplit/>
          <w:jc w:val="center"/>
        </w:trPr>
        <w:tc>
          <w:tcPr>
            <w:tcW w:w="2880"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Reconoce aumento o disminución, pero omite magnitud o unidades</w:t>
            </w:r>
          </w:p>
        </w:tc>
        <w:tc>
          <w:tcPr>
            <w:tcW w:w="3744"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Completar la interpretación cuantitativa.</w:t>
            </w:r>
          </w:p>
        </w:tc>
        <w:tc>
          <w:tcPr>
            <w:tcW w:w="3744"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 xml:space="preserve">“Ya identificaste la dirección del cambio. ¿Cuánto cambia aproximadamente </w:t>
            </w:r>
            <w:r>
              <w:rPr>
                <w:color w:val="202020"/>
                <w:sz w:val="17"/>
              </w:rPr>
              <w:t>y con qué unidades debe expresarse esa tasa?”</w:t>
            </w:r>
          </w:p>
        </w:tc>
      </w:tr>
      <w:tr w:rsidR="00E718A3">
        <w:trPr>
          <w:cantSplit/>
          <w:jc w:val="center"/>
        </w:trPr>
        <w:tc>
          <w:tcPr>
            <w:tcW w:w="2880"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Confunde promedio e instantánea</w:t>
            </w:r>
          </w:p>
        </w:tc>
        <w:tc>
          <w:tcPr>
            <w:tcW w:w="3744"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Distinguir intervalo y punto de evaluación.</w:t>
            </w:r>
          </w:p>
        </w:tc>
        <w:tc>
          <w:tcPr>
            <w:tcW w:w="3744"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“Compara qué describe un valor calculado entre dos momentos con lo que representa la derivada en un instante específico.”</w:t>
            </w:r>
          </w:p>
        </w:tc>
      </w:tr>
      <w:tr w:rsidR="00E718A3">
        <w:trPr>
          <w:cantSplit/>
          <w:jc w:val="center"/>
        </w:trPr>
        <w:tc>
          <w:tcPr>
            <w:tcW w:w="2880"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Interpreta</w:t>
            </w:r>
            <w:r>
              <w:rPr>
                <w:b/>
                <w:color w:val="1F4E78"/>
                <w:sz w:val="17"/>
              </w:rPr>
              <w:t xml:space="preserve"> correctamente el valor, pero no coordina representaciones</w:t>
            </w:r>
          </w:p>
        </w:tc>
        <w:tc>
          <w:tcPr>
            <w:tcW w:w="3744"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Promover articulación gráfica, simbólica o contextual.</w:t>
            </w:r>
          </w:p>
        </w:tc>
        <w:tc>
          <w:tcPr>
            <w:tcW w:w="3744"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“Relaciona ahora tu interpretación con la pendiente de la recta tangente en el punto señalado.”</w:t>
            </w:r>
          </w:p>
        </w:tc>
      </w:tr>
      <w:tr w:rsidR="00E718A3">
        <w:trPr>
          <w:cantSplit/>
          <w:jc w:val="center"/>
        </w:trPr>
        <w:tc>
          <w:tcPr>
            <w:tcW w:w="2880"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Evidencia integrada</w:t>
            </w:r>
          </w:p>
        </w:tc>
        <w:tc>
          <w:tcPr>
            <w:tcW w:w="3744"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 xml:space="preserve">Profundizar sin cambiar </w:t>
            </w:r>
            <w:r>
              <w:rPr>
                <w:color w:val="202020"/>
                <w:sz w:val="17"/>
              </w:rPr>
              <w:t>la actividad común.</w:t>
            </w:r>
          </w:p>
        </w:tc>
        <w:tc>
          <w:tcPr>
            <w:tcW w:w="3744"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“Tu interpretación articula signo, magnitud, unidades y punto. Explica qué limitación tendría usar esa tasa para predecir un cambio durante un intervalo mayor.”</w:t>
            </w:r>
          </w:p>
        </w:tc>
      </w:tr>
    </w:tbl>
    <w:p w:rsidR="00E718A3" w:rsidRDefault="00CE1D24">
      <w:pPr>
        <w:pStyle w:val="Ttulo2"/>
        <w:keepNext/>
      </w:pPr>
      <w:r>
        <w:rPr>
          <w:color w:val="1F4E78"/>
        </w:rPr>
        <w:t>6. Agregación de evidencias y análisis del grupo</w:t>
      </w:r>
    </w:p>
    <w:p w:rsidR="00E718A3" w:rsidRDefault="00CE1D24">
      <w:pPr>
        <w:spacing w:after="100" w:line="259" w:lineRule="auto"/>
        <w:jc w:val="both"/>
      </w:pPr>
      <w:r>
        <w:rPr>
          <w:color w:val="202020"/>
        </w:rPr>
        <w:t xml:space="preserve">Después del análisis </w:t>
      </w:r>
      <w:r>
        <w:rPr>
          <w:color w:val="202020"/>
        </w:rPr>
        <w:t>individual, los indicadores y dificultades se agregarán para describir el comportamiento del grupo. La agregación no sustituye las respuestas originales ni produce una categoría APOE única para el curso; su finalidad es identificar recurrencias suficientem</w:t>
      </w:r>
      <w:r>
        <w:rPr>
          <w:color w:val="202020"/>
        </w:rPr>
        <w:t>ente relevantes para orientar el diseño del ciclo siguiente.</w:t>
      </w:r>
    </w:p>
    <w:p w:rsidR="00E718A3" w:rsidRDefault="00CE1D24">
      <w:pPr>
        <w:keepNext/>
        <w:spacing w:before="140" w:after="20"/>
      </w:pPr>
      <w:r>
        <w:rPr>
          <w:b/>
          <w:color w:val="1F4E78"/>
          <w:sz w:val="21"/>
        </w:rPr>
        <w:t>Tabla B5</w:t>
      </w:r>
    </w:p>
    <w:p w:rsidR="00E718A3" w:rsidRDefault="00CE1D24">
      <w:pPr>
        <w:keepNext/>
        <w:spacing w:after="60"/>
      </w:pPr>
      <w:r>
        <w:rPr>
          <w:i/>
          <w:color w:val="202020"/>
        </w:rPr>
        <w:t>Resumen grupal previsto al finalizar cada ciclo</w:t>
      </w:r>
    </w:p>
    <w:p w:rsidR="00E718A3" w:rsidRDefault="00CE1D24">
      <w:pPr>
        <w:spacing w:after="120"/>
      </w:pPr>
      <w:r>
        <w:rPr>
          <w:i/>
          <w:color w:val="666666"/>
          <w:sz w:val="19"/>
        </w:rPr>
        <w:t>Nota.</w:t>
      </w:r>
      <w:r>
        <w:rPr>
          <w:color w:val="666666"/>
          <w:sz w:val="19"/>
        </w:rPr>
        <w:t xml:space="preserve"> Las frecuencias y porcentajes se utilizarán como apoyo descriptivo y se complementarán con el análisis cualitativo de respuestas rep</w:t>
      </w:r>
      <w:r>
        <w:rPr>
          <w:color w:val="666666"/>
          <w:sz w:val="19"/>
        </w:rPr>
        <w:t>resentativas.</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952"/>
        <w:gridCol w:w="7416"/>
      </w:tblGrid>
      <w:tr w:rsidR="00E718A3">
        <w:trPr>
          <w:cantSplit/>
          <w:tblHeader/>
          <w:jc w:val="center"/>
        </w:trPr>
        <w:tc>
          <w:tcPr>
            <w:tcW w:w="2952"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Elemento</w:t>
            </w:r>
          </w:p>
        </w:tc>
        <w:tc>
          <w:tcPr>
            <w:tcW w:w="741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Descripción</w:t>
            </w:r>
          </w:p>
        </w:tc>
      </w:tr>
      <w:tr w:rsidR="00E718A3">
        <w:trPr>
          <w:cantSplit/>
          <w:jc w:val="center"/>
        </w:trPr>
        <w:tc>
          <w:tcPr>
            <w:tcW w:w="295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Cobertura</w:t>
            </w:r>
          </w:p>
        </w:tc>
        <w:tc>
          <w:tcPr>
            <w:tcW w:w="741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Número de estudiantes con respuesta válida por tarea e indicador.</w:t>
            </w:r>
          </w:p>
        </w:tc>
      </w:tr>
      <w:tr w:rsidR="00E718A3">
        <w:trPr>
          <w:cantSplit/>
          <w:jc w:val="center"/>
        </w:trPr>
        <w:tc>
          <w:tcPr>
            <w:tcW w:w="295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Frecuencia de indicadores</w:t>
            </w:r>
          </w:p>
        </w:tc>
        <w:tc>
          <w:tcPr>
            <w:tcW w:w="741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Número y porcentaje de respuestas en las que aparece cada indicador aplicable.</w:t>
            </w:r>
          </w:p>
        </w:tc>
      </w:tr>
      <w:tr w:rsidR="00E718A3">
        <w:trPr>
          <w:cantSplit/>
          <w:jc w:val="center"/>
        </w:trPr>
        <w:tc>
          <w:tcPr>
            <w:tcW w:w="295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Dificultades predominantes</w:t>
            </w:r>
          </w:p>
        </w:tc>
        <w:tc>
          <w:tcPr>
            <w:tcW w:w="741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 xml:space="preserve">Aspectos </w:t>
            </w:r>
            <w:r>
              <w:rPr>
                <w:color w:val="202020"/>
                <w:sz w:val="17"/>
              </w:rPr>
              <w:t>conceptuales ausentes, inconsistentes o recurrentemente problemáticos.</w:t>
            </w:r>
          </w:p>
        </w:tc>
      </w:tr>
      <w:tr w:rsidR="00E718A3">
        <w:trPr>
          <w:cantSplit/>
          <w:jc w:val="center"/>
        </w:trPr>
        <w:tc>
          <w:tcPr>
            <w:tcW w:w="295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lastRenderedPageBreak/>
              <w:t>Distribución de evidencias APOE</w:t>
            </w:r>
          </w:p>
        </w:tc>
        <w:tc>
          <w:tcPr>
            <w:tcW w:w="741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Descripción de las construcciones sugeridas en las respuestas, sin etiquetar a los estudiantes de forma permanente.</w:t>
            </w:r>
          </w:p>
        </w:tc>
      </w:tr>
      <w:tr w:rsidR="00E718A3">
        <w:trPr>
          <w:cantSplit/>
          <w:jc w:val="center"/>
        </w:trPr>
        <w:tc>
          <w:tcPr>
            <w:tcW w:w="295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Casos representativos</w:t>
            </w:r>
          </w:p>
        </w:tc>
        <w:tc>
          <w:tcPr>
            <w:tcW w:w="741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 xml:space="preserve">Selección de </w:t>
            </w:r>
            <w:r>
              <w:rPr>
                <w:color w:val="202020"/>
                <w:sz w:val="17"/>
              </w:rPr>
              <w:t>producciones anonimizadas que ilustren patrones relevantes o contrastantes.</w:t>
            </w:r>
          </w:p>
        </w:tc>
      </w:tr>
      <w:tr w:rsidR="00E718A3">
        <w:trPr>
          <w:cantSplit/>
          <w:jc w:val="center"/>
        </w:trPr>
        <w:tc>
          <w:tcPr>
            <w:tcW w:w="2952"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Síntesis del ciclo</w:t>
            </w:r>
          </w:p>
        </w:tc>
        <w:tc>
          <w:tcPr>
            <w:tcW w:w="741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Interpretación conjunta de los patrones que fundamentará el ajuste didáctico siguiente.</w:t>
            </w:r>
          </w:p>
        </w:tc>
      </w:tr>
    </w:tbl>
    <w:p w:rsidR="00E718A3" w:rsidRDefault="00CE1D24">
      <w:pPr>
        <w:pStyle w:val="Ttulo3"/>
        <w:keepNext/>
        <w:spacing w:before="200" w:after="100"/>
      </w:pPr>
      <w:r>
        <w:rPr>
          <w:color w:val="1F4E78"/>
        </w:rPr>
        <w:t>6.1 Ejemplo ilustrativo de una decisión entre ciclos</w:t>
      </w:r>
    </w:p>
    <w:p w:rsidR="00E718A3" w:rsidRDefault="00CE1D24">
      <w:pPr>
        <w:spacing w:after="100" w:line="259" w:lineRule="auto"/>
      </w:pPr>
      <w:r>
        <w:rPr>
          <w:i/>
          <w:color w:val="202020"/>
        </w:rPr>
        <w:t xml:space="preserve">El siguiente </w:t>
      </w:r>
      <w:r>
        <w:rPr>
          <w:i/>
          <w:color w:val="202020"/>
        </w:rPr>
        <w:t>ejemplo es hipotético y solo muestra la lógica de decisión prevista; no corresponde a resultados obtenidos en el estudio.</w:t>
      </w:r>
    </w:p>
    <w:p w:rsidR="00E718A3" w:rsidRDefault="00CE1D24">
      <w:pPr>
        <w:keepNext/>
        <w:spacing w:before="140" w:after="20"/>
      </w:pPr>
      <w:r>
        <w:rPr>
          <w:b/>
          <w:color w:val="1F4E78"/>
          <w:sz w:val="21"/>
        </w:rPr>
        <w:t>Tabla B6</w:t>
      </w:r>
    </w:p>
    <w:p w:rsidR="00E718A3" w:rsidRDefault="00CE1D24">
      <w:pPr>
        <w:keepNext/>
        <w:spacing w:after="60"/>
      </w:pPr>
      <w:r>
        <w:rPr>
          <w:i/>
          <w:color w:val="202020"/>
        </w:rPr>
        <w:t>Ejemplo hipotético de agregación y ajuste didáctico</w:t>
      </w:r>
    </w:p>
    <w:p w:rsidR="00E718A3" w:rsidRDefault="00CE1D24">
      <w:pPr>
        <w:spacing w:after="120"/>
      </w:pPr>
      <w:r>
        <w:rPr>
          <w:i/>
          <w:color w:val="666666"/>
          <w:sz w:val="19"/>
        </w:rPr>
        <w:t>Nota.</w:t>
      </w:r>
      <w:r>
        <w:rPr>
          <w:color w:val="666666"/>
          <w:sz w:val="19"/>
        </w:rPr>
        <w:t xml:space="preserve"> Los valores son exclusivamente ilustrativos y no constituyen datos </w:t>
      </w:r>
      <w:r>
        <w:rPr>
          <w:color w:val="666666"/>
          <w:sz w:val="19"/>
        </w:rPr>
        <w:t>del proyecto.</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3384"/>
        <w:gridCol w:w="3096"/>
        <w:gridCol w:w="3888"/>
      </w:tblGrid>
      <w:tr w:rsidR="00E718A3">
        <w:trPr>
          <w:cantSplit/>
          <w:tblHeader/>
          <w:jc w:val="center"/>
        </w:trPr>
        <w:tc>
          <w:tcPr>
            <w:tcW w:w="3384"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Evidencia agregada hipotética</w:t>
            </w:r>
          </w:p>
        </w:tc>
        <w:tc>
          <w:tcPr>
            <w:tcW w:w="309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Lectura del patrón</w:t>
            </w:r>
          </w:p>
        </w:tc>
        <w:tc>
          <w:tcPr>
            <w:tcW w:w="3888"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Ajuste para el ciclo siguiente</w:t>
            </w:r>
          </w:p>
        </w:tc>
      </w:tr>
      <w:tr w:rsidR="00E718A3">
        <w:trPr>
          <w:cantSplit/>
          <w:jc w:val="center"/>
        </w:trPr>
        <w:tc>
          <w:tcPr>
            <w:tcW w:w="3384"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La mayoría interpreta correctamente el signo, pero una proporción importante omite unidades y magnitud.</w:t>
            </w:r>
          </w:p>
        </w:tc>
        <w:tc>
          <w:tcPr>
            <w:tcW w:w="309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 xml:space="preserve">La dirección del cambio está más consolidada que su </w:t>
            </w:r>
            <w:r>
              <w:rPr>
                <w:color w:val="202020"/>
                <w:sz w:val="17"/>
              </w:rPr>
              <w:t>interpretación cuantitativa.</w:t>
            </w:r>
          </w:p>
        </w:tc>
        <w:tc>
          <w:tcPr>
            <w:tcW w:w="3888"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Incorporar en la actividad común siguiente comparaciones en las que las unidades y la magnitud sean necesarias para justificar la respuesta.</w:t>
            </w:r>
          </w:p>
        </w:tc>
      </w:tr>
      <w:tr w:rsidR="00E718A3">
        <w:trPr>
          <w:cantSplit/>
          <w:jc w:val="center"/>
        </w:trPr>
        <w:tc>
          <w:tcPr>
            <w:tcW w:w="3384"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Se observa dificultad recurrente para diferenciar razón promedio e instantánea.</w:t>
            </w:r>
          </w:p>
        </w:tc>
        <w:tc>
          <w:tcPr>
            <w:tcW w:w="309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Persiste una confusión entre intervalo y punto de evaluación.</w:t>
            </w:r>
          </w:p>
        </w:tc>
        <w:tc>
          <w:tcPr>
            <w:tcW w:w="3888"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Incluir una tarea común con intervalos progresivamente pequeños y una representación gráfica que contraste secante y tangente.</w:t>
            </w:r>
          </w:p>
        </w:tc>
      </w:tr>
      <w:tr w:rsidR="00E718A3">
        <w:trPr>
          <w:cantSplit/>
          <w:jc w:val="center"/>
        </w:trPr>
        <w:tc>
          <w:tcPr>
            <w:tcW w:w="3384"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Las respuestas interpretan la tasa en contexto, pero pocas la util</w:t>
            </w:r>
            <w:r>
              <w:rPr>
                <w:b/>
                <w:color w:val="1F4E78"/>
                <w:sz w:val="17"/>
              </w:rPr>
              <w:t>izan para predecir o decidir.</w:t>
            </w:r>
          </w:p>
        </w:tc>
        <w:tc>
          <w:tcPr>
            <w:tcW w:w="309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La interpretación situada no se moviliza todavía de forma consistente en tareas de mayor demanda.</w:t>
            </w:r>
          </w:p>
        </w:tc>
        <w:tc>
          <w:tcPr>
            <w:tcW w:w="3888"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Diseñar una actividad común del ciclo siguiente que requiera estimación, comparación y justificación de una decisión.</w:t>
            </w:r>
          </w:p>
        </w:tc>
      </w:tr>
    </w:tbl>
    <w:p w:rsidR="00E718A3" w:rsidRDefault="00CE1D24">
      <w:pPr>
        <w:pStyle w:val="Ttulo2"/>
        <w:keepNext/>
      </w:pPr>
      <w:r>
        <w:rPr>
          <w:color w:val="1F4E78"/>
        </w:rPr>
        <w:t xml:space="preserve">7. </w:t>
      </w:r>
      <w:r>
        <w:rPr>
          <w:color w:val="1F4E78"/>
        </w:rPr>
        <w:t>Delimitación del componente de inteligencia artificial generativa</w:t>
      </w:r>
    </w:p>
    <w:p w:rsidR="00E718A3" w:rsidRDefault="00CE1D24">
      <w:pPr>
        <w:spacing w:after="100" w:line="259" w:lineRule="auto"/>
        <w:jc w:val="both"/>
      </w:pPr>
      <w:r>
        <w:rPr>
          <w:color w:val="202020"/>
        </w:rPr>
        <w:t>La IA generativa tendrá funciones acotadas y registrables. No determinará el contenido matemático del ciclo, no modificará libremente las tareas y no asignará rutas individuales. Las tareas,</w:t>
      </w:r>
      <w:r>
        <w:rPr>
          <w:color w:val="202020"/>
        </w:rPr>
        <w:t xml:space="preserve"> indicadores, criterios matemáticos, prompts y formatos de salida se establecerán antes de la implementación.</w:t>
      </w:r>
    </w:p>
    <w:p w:rsidR="00E718A3" w:rsidRDefault="00CE1D24">
      <w:pPr>
        <w:keepNext/>
        <w:spacing w:before="140" w:after="20"/>
      </w:pPr>
      <w:r>
        <w:rPr>
          <w:b/>
          <w:color w:val="1F4E78"/>
          <w:sz w:val="21"/>
        </w:rPr>
        <w:t>Tabla B7</w:t>
      </w:r>
    </w:p>
    <w:p w:rsidR="00E718A3" w:rsidRDefault="00CE1D24">
      <w:pPr>
        <w:keepNext/>
        <w:spacing w:after="60"/>
      </w:pPr>
      <w:r>
        <w:rPr>
          <w:i/>
          <w:color w:val="202020"/>
        </w:rPr>
        <w:t>Funciones permitidas y límites del componente generativo</w:t>
      </w:r>
    </w:p>
    <w:p w:rsidR="00E718A3" w:rsidRDefault="00CE1D24">
      <w:pPr>
        <w:spacing w:after="120"/>
      </w:pPr>
      <w:r>
        <w:rPr>
          <w:i/>
          <w:color w:val="666666"/>
          <w:sz w:val="19"/>
        </w:rPr>
        <w:t>Nota.</w:t>
      </w:r>
      <w:r>
        <w:rPr>
          <w:color w:val="666666"/>
          <w:sz w:val="19"/>
        </w:rPr>
        <w:t xml:space="preserve"> La salida generativa se conservará junto con la versión del prompt y demás</w:t>
      </w:r>
      <w:r>
        <w:rPr>
          <w:color w:val="666666"/>
          <w:sz w:val="19"/>
        </w:rPr>
        <w:t xml:space="preserve"> metadatos necesarios para la trazabilidad.</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376"/>
        <w:gridCol w:w="3960"/>
        <w:gridCol w:w="4032"/>
      </w:tblGrid>
      <w:tr w:rsidR="00E718A3">
        <w:trPr>
          <w:cantSplit/>
          <w:tblHeader/>
          <w:jc w:val="center"/>
        </w:trPr>
        <w:tc>
          <w:tcPr>
            <w:tcW w:w="237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Función</w:t>
            </w:r>
          </w:p>
        </w:tc>
        <w:tc>
          <w:tcPr>
            <w:tcW w:w="3960"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Uso previsto</w:t>
            </w:r>
          </w:p>
        </w:tc>
        <w:tc>
          <w:tcPr>
            <w:tcW w:w="4032"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Límite</w:t>
            </w:r>
          </w:p>
        </w:tc>
      </w:tr>
      <w:tr w:rsidR="00E718A3">
        <w:trPr>
          <w:cantSplit/>
          <w:jc w:val="center"/>
        </w:trPr>
        <w:tc>
          <w:tcPr>
            <w:tcW w:w="2376"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Análisis de respuesta abierta</w:t>
            </w:r>
          </w:p>
        </w:tc>
        <w:tc>
          <w:tcPr>
            <w:tcW w:w="3960"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Identificar indicadores aplicables, evidencia textual y posible dificultad conceptual.</w:t>
            </w:r>
          </w:p>
        </w:tc>
        <w:tc>
          <w:tcPr>
            <w:tcW w:w="4032"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 xml:space="preserve">Debe ajustarse a la matriz y a la demanda de la tarea; no puede </w:t>
            </w:r>
            <w:r>
              <w:rPr>
                <w:color w:val="202020"/>
                <w:sz w:val="17"/>
              </w:rPr>
              <w:t>crear criterios nuevos durante la aplicación.</w:t>
            </w:r>
          </w:p>
        </w:tc>
      </w:tr>
      <w:tr w:rsidR="00E718A3">
        <w:trPr>
          <w:cantSplit/>
          <w:jc w:val="center"/>
        </w:trPr>
        <w:tc>
          <w:tcPr>
            <w:tcW w:w="2376"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Retroalimentación individual</w:t>
            </w:r>
          </w:p>
        </w:tc>
        <w:tc>
          <w:tcPr>
            <w:tcW w:w="3960"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Proponer una orientación vinculada con la respuesta registrada.</w:t>
            </w:r>
          </w:p>
        </w:tc>
        <w:tc>
          <w:tcPr>
            <w:tcW w:w="4032"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No sustituye la calificación ni asigna una condición permanente al estudiante.</w:t>
            </w:r>
          </w:p>
        </w:tc>
      </w:tr>
      <w:tr w:rsidR="00E718A3">
        <w:trPr>
          <w:cantSplit/>
          <w:jc w:val="center"/>
        </w:trPr>
        <w:tc>
          <w:tcPr>
            <w:tcW w:w="2376"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Síntesis grupal</w:t>
            </w:r>
          </w:p>
        </w:tc>
        <w:tc>
          <w:tcPr>
            <w:tcW w:w="3960"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 xml:space="preserve">Organizar </w:t>
            </w:r>
            <w:r>
              <w:rPr>
                <w:color w:val="202020"/>
                <w:sz w:val="17"/>
              </w:rPr>
              <w:t>indicadores agregados y apoyar la descripción de patrones.</w:t>
            </w:r>
          </w:p>
        </w:tc>
        <w:tc>
          <w:tcPr>
            <w:tcW w:w="4032"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La síntesis debe derivarse de datos registrados; no puede inventar frecuencias ni evidencias.</w:t>
            </w:r>
          </w:p>
        </w:tc>
      </w:tr>
      <w:tr w:rsidR="00E718A3">
        <w:trPr>
          <w:cantSplit/>
          <w:jc w:val="center"/>
        </w:trPr>
        <w:tc>
          <w:tcPr>
            <w:tcW w:w="2376"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Apoyo al ajuste entre ciclos</w:t>
            </w:r>
          </w:p>
        </w:tc>
        <w:tc>
          <w:tcPr>
            <w:tcW w:w="3960"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 xml:space="preserve">Proponer alternativas de énfasis o formulación a partir de patrones ya </w:t>
            </w:r>
            <w:r>
              <w:rPr>
                <w:color w:val="202020"/>
                <w:sz w:val="17"/>
              </w:rPr>
              <w:t>identificados.</w:t>
            </w:r>
          </w:p>
        </w:tc>
        <w:tc>
          <w:tcPr>
            <w:tcW w:w="4032"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La actividad común siguiente se define dentro de criterios pedagógicos establecidos y queda versionada.</w:t>
            </w:r>
          </w:p>
        </w:tc>
      </w:tr>
      <w:tr w:rsidR="00E718A3">
        <w:trPr>
          <w:cantSplit/>
          <w:jc w:val="center"/>
        </w:trPr>
        <w:tc>
          <w:tcPr>
            <w:tcW w:w="2376"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Cálculos, valores y gráficas</w:t>
            </w:r>
          </w:p>
        </w:tc>
        <w:tc>
          <w:tcPr>
            <w:tcW w:w="3960"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Puede apoyar la explicación textual.</w:t>
            </w:r>
          </w:p>
        </w:tc>
        <w:tc>
          <w:tcPr>
            <w:tcW w:w="4032"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 xml:space="preserve">Los resultados deterministas se verificarán mediante código, banco </w:t>
            </w:r>
            <w:r>
              <w:rPr>
                <w:color w:val="202020"/>
                <w:sz w:val="17"/>
              </w:rPr>
              <w:t>revisado o criterios matemáticos previamente validados.</w:t>
            </w:r>
          </w:p>
        </w:tc>
      </w:tr>
    </w:tbl>
    <w:p w:rsidR="00E718A3" w:rsidRDefault="00CE1D24">
      <w:pPr>
        <w:pStyle w:val="Ttulo2"/>
        <w:keepNext/>
      </w:pPr>
      <w:r>
        <w:rPr>
          <w:color w:val="1F4E78"/>
        </w:rPr>
        <w:lastRenderedPageBreak/>
        <w:t>8. Variables y trazabilidad previstas</w:t>
      </w:r>
    </w:p>
    <w:p w:rsidR="00E718A3" w:rsidRDefault="00CE1D24">
      <w:pPr>
        <w:spacing w:after="100" w:line="259" w:lineRule="auto"/>
        <w:jc w:val="both"/>
      </w:pPr>
      <w:r>
        <w:rPr>
          <w:color w:val="202020"/>
        </w:rPr>
        <w:t>El modelo de datos conservará tres capas: datos directos producidos por el estudiante, indicadores codificados a partir de cada respuesta y variables derivadas n</w:t>
      </w:r>
      <w:r>
        <w:rPr>
          <w:color w:val="202020"/>
        </w:rPr>
        <w:t>ecesarias para el seguimiento individual y grupal. Se eliminan las variables asociadas con asignación de rutas y niveles de ayuda del prototipo anterior.</w:t>
      </w:r>
    </w:p>
    <w:p w:rsidR="00E718A3" w:rsidRDefault="00CE1D24">
      <w:pPr>
        <w:keepNext/>
        <w:spacing w:before="140" w:after="20"/>
      </w:pPr>
      <w:r>
        <w:rPr>
          <w:b/>
          <w:color w:val="1F4E78"/>
          <w:sz w:val="21"/>
        </w:rPr>
        <w:t>Tabla B8</w:t>
      </w:r>
    </w:p>
    <w:p w:rsidR="00E718A3" w:rsidRDefault="00CE1D24">
      <w:pPr>
        <w:keepNext/>
        <w:spacing w:after="60"/>
      </w:pPr>
      <w:r>
        <w:rPr>
          <w:i/>
          <w:color w:val="202020"/>
        </w:rPr>
        <w:t>Variables principales del modelo de datos actualizado</w:t>
      </w:r>
    </w:p>
    <w:p w:rsidR="00E718A3" w:rsidRDefault="00CE1D24">
      <w:pPr>
        <w:spacing w:after="120"/>
      </w:pPr>
      <w:r>
        <w:rPr>
          <w:i/>
          <w:color w:val="666666"/>
          <w:sz w:val="19"/>
        </w:rPr>
        <w:t>Nota.</w:t>
      </w:r>
      <w:r>
        <w:rPr>
          <w:color w:val="666666"/>
          <w:sz w:val="19"/>
        </w:rPr>
        <w:t xml:space="preserve"> El diccionario definitivo se depu</w:t>
      </w:r>
      <w:r>
        <w:rPr>
          <w:color w:val="666666"/>
          <w:sz w:val="19"/>
        </w:rPr>
        <w:t>rará durante el desarrollo del entorno digital y conservará únicamente los campos necesarios para responder a los objetivos del estudio.</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088"/>
        <w:gridCol w:w="5184"/>
        <w:gridCol w:w="3096"/>
      </w:tblGrid>
      <w:tr w:rsidR="00E718A3">
        <w:trPr>
          <w:cantSplit/>
          <w:tblHeader/>
          <w:jc w:val="center"/>
        </w:trPr>
        <w:tc>
          <w:tcPr>
            <w:tcW w:w="2088"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6"/>
              </w:rPr>
              <w:t>Capa</w:t>
            </w:r>
          </w:p>
        </w:tc>
        <w:tc>
          <w:tcPr>
            <w:tcW w:w="5184"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6"/>
              </w:rPr>
              <w:t>Variable o registro</w:t>
            </w:r>
          </w:p>
        </w:tc>
        <w:tc>
          <w:tcPr>
            <w:tcW w:w="3096"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6"/>
              </w:rPr>
              <w:t>Función</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6"/>
              </w:rPr>
              <w:t>Datos directos</w:t>
            </w:r>
          </w:p>
        </w:tc>
        <w:tc>
          <w:tcPr>
            <w:tcW w:w="5184"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6"/>
              </w:rPr>
              <w:t xml:space="preserve">codigo_estudiante; ciclo_id; tarea_id; respuesta_texto; </w:t>
            </w:r>
            <w:r>
              <w:rPr>
                <w:color w:val="202020"/>
                <w:sz w:val="16"/>
              </w:rPr>
              <w:t>respuesta_numerica; procedimiento; fecha_hora; tiempo_respuesta</w:t>
            </w:r>
          </w:p>
        </w:tc>
        <w:tc>
          <w:tcPr>
            <w:tcW w:w="309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6"/>
              </w:rPr>
              <w:t>Conservar la producción original y su contexto de aplicación.</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6"/>
              </w:rPr>
              <w:t>Indicadores</w:t>
            </w:r>
          </w:p>
        </w:tc>
        <w:tc>
          <w:tcPr>
            <w:tcW w:w="5184"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6"/>
              </w:rPr>
              <w:t>indicador_id; valor; aplicabilidad; evidencia_textual; fuente_codificacion</w:t>
            </w:r>
          </w:p>
        </w:tc>
        <w:tc>
          <w:tcPr>
            <w:tcW w:w="309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6"/>
              </w:rPr>
              <w:t xml:space="preserve">Registrar qué evidencia sustenta cada </w:t>
            </w:r>
            <w:r>
              <w:rPr>
                <w:color w:val="202020"/>
                <w:sz w:val="16"/>
              </w:rPr>
              <w:t>interpretación de la respuesta.</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6"/>
              </w:rPr>
              <w:t>Análisis individual</w:t>
            </w:r>
          </w:p>
        </w:tc>
        <w:tc>
          <w:tcPr>
            <w:tcW w:w="5184"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6"/>
              </w:rPr>
              <w:t>construccion_apoe_sugerida; dificultad_identificada; confianza_salida</w:t>
            </w:r>
          </w:p>
        </w:tc>
        <w:tc>
          <w:tcPr>
            <w:tcW w:w="309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6"/>
              </w:rPr>
              <w:t>Sintetizar la lectura situada de la producción.</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6"/>
              </w:rPr>
              <w:t>Retroalimentación</w:t>
            </w:r>
          </w:p>
        </w:tc>
        <w:tc>
          <w:tcPr>
            <w:tcW w:w="5184"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6"/>
              </w:rPr>
              <w:t>texto_retroalimentacion; tipo; prompt_version; modelo_version</w:t>
            </w:r>
          </w:p>
        </w:tc>
        <w:tc>
          <w:tcPr>
            <w:tcW w:w="309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6"/>
              </w:rPr>
              <w:t>Conservar exactamente la orientación mostrada y las condiciones de generación.</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6"/>
              </w:rPr>
              <w:t>Agregación grupal</w:t>
            </w:r>
          </w:p>
        </w:tc>
        <w:tc>
          <w:tcPr>
            <w:tcW w:w="5184"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6"/>
              </w:rPr>
              <w:t>frecuencia_indicador; porcentaje_indicador; patron_grupal; casos_representativos</w:t>
            </w:r>
          </w:p>
        </w:tc>
        <w:tc>
          <w:tcPr>
            <w:tcW w:w="3096"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6"/>
              </w:rPr>
              <w:t>Describir recurrencias del grupo en cada ciclo.</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6"/>
              </w:rPr>
              <w:t>Ajuste entre ciclos</w:t>
            </w:r>
          </w:p>
        </w:tc>
        <w:tc>
          <w:tcPr>
            <w:tcW w:w="5184"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6"/>
              </w:rPr>
              <w:t>ajuste_id; ciclo_origen; decision; justificacion; actividad_destino_version</w:t>
            </w:r>
          </w:p>
        </w:tc>
        <w:tc>
          <w:tcPr>
            <w:tcW w:w="3096"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6"/>
              </w:rPr>
              <w:t>Documentar cómo la evidencia grupal orientó la actividad común posterior.</w:t>
            </w:r>
          </w:p>
        </w:tc>
      </w:tr>
    </w:tbl>
    <w:p w:rsidR="00E718A3" w:rsidRDefault="00CE1D24">
      <w:pPr>
        <w:pStyle w:val="Ttulo3"/>
        <w:keepNext/>
        <w:spacing w:before="200" w:after="100"/>
      </w:pPr>
      <w:r>
        <w:rPr>
          <w:color w:val="1F4E78"/>
        </w:rPr>
        <w:t>8.1 Entidades sugeridas</w:t>
      </w:r>
    </w:p>
    <w:p w:rsidR="00E718A3" w:rsidRDefault="00CE1D24">
      <w:pPr>
        <w:spacing w:after="40" w:line="252" w:lineRule="auto"/>
        <w:ind w:left="360" w:hanging="216"/>
      </w:pPr>
      <w:r>
        <w:rPr>
          <w:color w:val="1F4E78"/>
        </w:rPr>
        <w:t xml:space="preserve">• </w:t>
      </w:r>
      <w:r>
        <w:rPr>
          <w:color w:val="202020"/>
        </w:rPr>
        <w:t>estudiante: Identidad codificada y grupo; no almacena respuestas como columnas.</w:t>
      </w:r>
    </w:p>
    <w:p w:rsidR="00E718A3" w:rsidRDefault="00CE1D24">
      <w:pPr>
        <w:spacing w:after="40" w:line="252" w:lineRule="auto"/>
        <w:ind w:left="360" w:hanging="216"/>
      </w:pPr>
      <w:r>
        <w:rPr>
          <w:color w:val="1F4E78"/>
        </w:rPr>
        <w:t xml:space="preserve">• </w:t>
      </w:r>
      <w:r>
        <w:rPr>
          <w:color w:val="202020"/>
        </w:rPr>
        <w:t>ciclo: Número, propósito, fecha y versión de la actividad común.</w:t>
      </w:r>
    </w:p>
    <w:p w:rsidR="00E718A3" w:rsidRDefault="00CE1D24">
      <w:pPr>
        <w:spacing w:after="40" w:line="252" w:lineRule="auto"/>
        <w:ind w:left="360" w:hanging="216"/>
      </w:pPr>
      <w:r>
        <w:rPr>
          <w:color w:val="1F4E78"/>
        </w:rPr>
        <w:t xml:space="preserve">• </w:t>
      </w:r>
      <w:r>
        <w:rPr>
          <w:color w:val="202020"/>
        </w:rPr>
        <w:t>tarea: Enunciado versionado, tipo de respuesta, indicadores aplicables y demanda máxima.</w:t>
      </w:r>
    </w:p>
    <w:p w:rsidR="00E718A3" w:rsidRDefault="00CE1D24">
      <w:pPr>
        <w:spacing w:after="40" w:line="252" w:lineRule="auto"/>
        <w:ind w:left="360" w:hanging="216"/>
      </w:pPr>
      <w:r>
        <w:rPr>
          <w:color w:val="1F4E78"/>
        </w:rPr>
        <w:t xml:space="preserve">• </w:t>
      </w:r>
      <w:r>
        <w:rPr>
          <w:color w:val="202020"/>
        </w:rPr>
        <w:t>respuesta: Producción cruda del estudiante; una fila por envío o intento registrado.</w:t>
      </w:r>
    </w:p>
    <w:p w:rsidR="00E718A3" w:rsidRDefault="00CE1D24">
      <w:pPr>
        <w:spacing w:after="40" w:line="252" w:lineRule="auto"/>
        <w:ind w:left="360" w:hanging="216"/>
      </w:pPr>
      <w:r>
        <w:rPr>
          <w:color w:val="1F4E78"/>
        </w:rPr>
        <w:t xml:space="preserve">• </w:t>
      </w:r>
      <w:r>
        <w:rPr>
          <w:color w:val="202020"/>
        </w:rPr>
        <w:t>indicado</w:t>
      </w:r>
      <w:r>
        <w:rPr>
          <w:color w:val="202020"/>
        </w:rPr>
        <w:t>r: Catálogo derivado de la matriz APOE.</w:t>
      </w:r>
    </w:p>
    <w:p w:rsidR="00E718A3" w:rsidRDefault="00CE1D24">
      <w:pPr>
        <w:spacing w:after="40" w:line="252" w:lineRule="auto"/>
        <w:ind w:left="360" w:hanging="216"/>
      </w:pPr>
      <w:r>
        <w:rPr>
          <w:color w:val="1F4E78"/>
        </w:rPr>
        <w:t xml:space="preserve">• </w:t>
      </w:r>
      <w:r>
        <w:rPr>
          <w:color w:val="202020"/>
        </w:rPr>
        <w:t>respuesta_indicador: Valor, aplicabilidad, evidencia textual y fuente de codificación.</w:t>
      </w:r>
    </w:p>
    <w:p w:rsidR="00E718A3" w:rsidRDefault="00CE1D24">
      <w:pPr>
        <w:spacing w:after="40" w:line="252" w:lineRule="auto"/>
        <w:ind w:left="360" w:hanging="216"/>
      </w:pPr>
      <w:r>
        <w:rPr>
          <w:color w:val="1F4E78"/>
        </w:rPr>
        <w:t xml:space="preserve">• </w:t>
      </w:r>
      <w:r>
        <w:rPr>
          <w:color w:val="202020"/>
        </w:rPr>
        <w:t>clasificacion: Construcción sugerida, justificación y confianza asociadas a la respuesta.</w:t>
      </w:r>
    </w:p>
    <w:p w:rsidR="00E718A3" w:rsidRDefault="00CE1D24">
      <w:pPr>
        <w:spacing w:after="40" w:line="252" w:lineRule="auto"/>
        <w:ind w:left="360" w:hanging="216"/>
      </w:pPr>
      <w:r>
        <w:rPr>
          <w:color w:val="1F4E78"/>
        </w:rPr>
        <w:t xml:space="preserve">• </w:t>
      </w:r>
      <w:r>
        <w:rPr>
          <w:color w:val="202020"/>
        </w:rPr>
        <w:t>retroalimentacion: Texto mostrado</w:t>
      </w:r>
      <w:r>
        <w:rPr>
          <w:color w:val="202020"/>
        </w:rPr>
        <w:t xml:space="preserve"> al estudiante, tipo, prompt y versión del modelo.</w:t>
      </w:r>
    </w:p>
    <w:p w:rsidR="00E718A3" w:rsidRDefault="00CE1D24">
      <w:pPr>
        <w:spacing w:after="40" w:line="252" w:lineRule="auto"/>
        <w:ind w:left="360" w:hanging="216"/>
      </w:pPr>
      <w:r>
        <w:rPr>
          <w:color w:val="1F4E78"/>
        </w:rPr>
        <w:t xml:space="preserve">• </w:t>
      </w:r>
      <w:r>
        <w:rPr>
          <w:color w:val="202020"/>
        </w:rPr>
        <w:t>resumen_grupal: Frecuencias, porcentajes, patrones y casos representativos por ciclo.</w:t>
      </w:r>
    </w:p>
    <w:p w:rsidR="00E718A3" w:rsidRDefault="00CE1D24">
      <w:pPr>
        <w:spacing w:after="40" w:line="252" w:lineRule="auto"/>
        <w:ind w:left="360" w:hanging="216"/>
      </w:pPr>
      <w:r>
        <w:rPr>
          <w:color w:val="1F4E78"/>
        </w:rPr>
        <w:t xml:space="preserve">• </w:t>
      </w:r>
      <w:r>
        <w:rPr>
          <w:color w:val="202020"/>
        </w:rPr>
        <w:t>ajuste_ciclo: Decisión didáctica, justificación y versión de la actividad común posterior.</w:t>
      </w:r>
    </w:p>
    <w:p w:rsidR="00E718A3" w:rsidRDefault="00CE1D24">
      <w:pPr>
        <w:pStyle w:val="Ttulo2"/>
        <w:keepNext/>
      </w:pPr>
      <w:r>
        <w:rPr>
          <w:color w:val="1F4E78"/>
        </w:rPr>
        <w:t>9. Ejemplo de trazabilid</w:t>
      </w:r>
      <w:r>
        <w:rPr>
          <w:color w:val="1F4E78"/>
        </w:rPr>
        <w:t>ad de un ciclo</w:t>
      </w:r>
    </w:p>
    <w:p w:rsidR="00E718A3" w:rsidRDefault="00CE1D24">
      <w:pPr>
        <w:spacing w:after="100" w:line="259" w:lineRule="auto"/>
      </w:pPr>
      <w:r>
        <w:rPr>
          <w:i/>
          <w:color w:val="202020"/>
        </w:rPr>
        <w:t>El siguiente ejemplo es hipotético y muestra cómo se conectan la respuesta individual, la retroalimentación y la decisión grupal sin construir una ruta personalizada para el estudiante.</w:t>
      </w:r>
    </w:p>
    <w:p w:rsidR="00E718A3" w:rsidRDefault="00CE1D24">
      <w:pPr>
        <w:keepNext/>
        <w:spacing w:before="140" w:after="20"/>
      </w:pPr>
      <w:r>
        <w:rPr>
          <w:b/>
          <w:color w:val="1F4E78"/>
          <w:sz w:val="21"/>
        </w:rPr>
        <w:t>Tabla B9</w:t>
      </w:r>
    </w:p>
    <w:p w:rsidR="00E718A3" w:rsidRDefault="00CE1D24">
      <w:pPr>
        <w:keepNext/>
        <w:spacing w:after="60"/>
      </w:pPr>
      <w:r>
        <w:rPr>
          <w:i/>
          <w:color w:val="202020"/>
        </w:rPr>
        <w:t xml:space="preserve">Ejemplo hipotético de trazabilidad individual </w:t>
      </w:r>
      <w:r>
        <w:rPr>
          <w:i/>
          <w:color w:val="202020"/>
        </w:rPr>
        <w:t>y grupal</w:t>
      </w:r>
    </w:p>
    <w:p w:rsidR="00E718A3" w:rsidRDefault="00CE1D24">
      <w:pPr>
        <w:spacing w:after="120"/>
      </w:pPr>
      <w:r>
        <w:rPr>
          <w:i/>
          <w:color w:val="666666"/>
          <w:sz w:val="19"/>
        </w:rPr>
        <w:t>Nota.</w:t>
      </w:r>
      <w:r>
        <w:rPr>
          <w:color w:val="666666"/>
          <w:sz w:val="19"/>
        </w:rPr>
        <w:t xml:space="preserve"> La construcción APOE se atribuye a la respuesta analizada y no al estudiante como característica estable.</w:t>
      </w:r>
    </w:p>
    <w:tbl>
      <w:tblPr>
        <w:tblW w:w="0" w:type="auto"/>
        <w:jc w:val="center"/>
        <w:tblBorders>
          <w:top w:val="single" w:sz="12" w:space="0" w:color="1F4E78"/>
          <w:left w:val="single" w:sz="5" w:space="0" w:color="D9E2F3"/>
          <w:bottom w:val="single" w:sz="12" w:space="0" w:color="1F4E78"/>
          <w:right w:val="single" w:sz="5" w:space="0" w:color="D9E2F3"/>
          <w:insideH w:val="single" w:sz="4" w:space="0" w:color="C9D4E2"/>
          <w:insideV w:val="single" w:sz="4" w:space="0" w:color="C9D4E2"/>
        </w:tblBorders>
        <w:tblLayout w:type="fixed"/>
        <w:tblLook w:val="04A0" w:firstRow="1" w:lastRow="0" w:firstColumn="1" w:lastColumn="0" w:noHBand="0" w:noVBand="1"/>
      </w:tblPr>
      <w:tblGrid>
        <w:gridCol w:w="2088"/>
        <w:gridCol w:w="4320"/>
        <w:gridCol w:w="3960"/>
      </w:tblGrid>
      <w:tr w:rsidR="00E718A3">
        <w:trPr>
          <w:cantSplit/>
          <w:tblHeader/>
          <w:jc w:val="center"/>
        </w:trPr>
        <w:tc>
          <w:tcPr>
            <w:tcW w:w="2088"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lastRenderedPageBreak/>
              <w:t>Momento</w:t>
            </w:r>
          </w:p>
        </w:tc>
        <w:tc>
          <w:tcPr>
            <w:tcW w:w="4320"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Registro</w:t>
            </w:r>
          </w:p>
        </w:tc>
        <w:tc>
          <w:tcPr>
            <w:tcW w:w="3960" w:type="dxa"/>
            <w:shd w:val="clear" w:color="auto" w:fill="1F4E78"/>
            <w:tcMar>
              <w:top w:w="70" w:type="dxa"/>
              <w:left w:w="90" w:type="dxa"/>
              <w:bottom w:w="70" w:type="dxa"/>
              <w:right w:w="90" w:type="dxa"/>
            </w:tcMar>
            <w:vAlign w:val="center"/>
          </w:tcPr>
          <w:p w:rsidR="00E718A3" w:rsidRDefault="00CE1D24">
            <w:pPr>
              <w:spacing w:line="228" w:lineRule="auto"/>
            </w:pPr>
            <w:r>
              <w:rPr>
                <w:b/>
                <w:color w:val="FFFFFF"/>
                <w:sz w:val="17"/>
              </w:rPr>
              <w:t>Interpretación o decisión</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Respuesta individual E07, C1-T1</w:t>
            </w:r>
          </w:p>
        </w:tc>
        <w:tc>
          <w:tcPr>
            <w:tcW w:w="4320"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“El volumen está disminuyendo en el minuto 6”.</w:t>
            </w:r>
          </w:p>
        </w:tc>
        <w:tc>
          <w:tcPr>
            <w:tcW w:w="3960"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Evidencia de</w:t>
            </w:r>
            <w:r>
              <w:rPr>
                <w:color w:val="202020"/>
                <w:sz w:val="17"/>
              </w:rPr>
              <w:t xml:space="preserve"> variación y dirección; faltan magnitud, unidades y carácter local. Respuesta compatible con Proceso.</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Retroalimentación individual</w:t>
            </w:r>
          </w:p>
        </w:tc>
        <w:tc>
          <w:tcPr>
            <w:tcW w:w="4320"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 xml:space="preserve">“Ya identificaste que el volumen disminuye. Completa tu interpretación indicando aproximadamente cuánto cambia y con qué </w:t>
            </w:r>
            <w:r>
              <w:rPr>
                <w:color w:val="202020"/>
                <w:sz w:val="17"/>
              </w:rPr>
              <w:t>unidades debe expresarse la tasa.”</w:t>
            </w:r>
          </w:p>
        </w:tc>
        <w:tc>
          <w:tcPr>
            <w:tcW w:w="3960"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Orientación vinculada con los indicadores ausentes en esa respuesta.</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Agregación del grupo</w:t>
            </w:r>
          </w:p>
        </w:tc>
        <w:tc>
          <w:tcPr>
            <w:tcW w:w="4320"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Se observa recurrencia de omisión de magnitud y unidades en las respuestas de C1-T1.</w:t>
            </w:r>
          </w:p>
        </w:tc>
        <w:tc>
          <w:tcPr>
            <w:tcW w:w="3960" w:type="dxa"/>
            <w:shd w:val="clear" w:color="auto" w:fill="FFFFFF"/>
            <w:tcMar>
              <w:top w:w="70" w:type="dxa"/>
              <w:left w:w="90" w:type="dxa"/>
              <w:bottom w:w="70" w:type="dxa"/>
              <w:right w:w="90" w:type="dxa"/>
            </w:tcMar>
            <w:vAlign w:val="center"/>
          </w:tcPr>
          <w:p w:rsidR="00E718A3" w:rsidRDefault="00CE1D24">
            <w:pPr>
              <w:spacing w:line="228" w:lineRule="auto"/>
            </w:pPr>
            <w:r>
              <w:rPr>
                <w:color w:val="202020"/>
                <w:sz w:val="17"/>
              </w:rPr>
              <w:t>Patrón conceptual prioritario del ciclo.</w:t>
            </w:r>
          </w:p>
        </w:tc>
      </w:tr>
      <w:tr w:rsidR="00E718A3">
        <w:trPr>
          <w:cantSplit/>
          <w:jc w:val="center"/>
        </w:trPr>
        <w:tc>
          <w:tcPr>
            <w:tcW w:w="2088" w:type="dxa"/>
            <w:shd w:val="clear" w:color="auto" w:fill="DCE6F1"/>
            <w:tcMar>
              <w:top w:w="70" w:type="dxa"/>
              <w:left w:w="90" w:type="dxa"/>
              <w:bottom w:w="70" w:type="dxa"/>
              <w:right w:w="90" w:type="dxa"/>
            </w:tcMar>
            <w:vAlign w:val="center"/>
          </w:tcPr>
          <w:p w:rsidR="00E718A3" w:rsidRDefault="00CE1D24">
            <w:pPr>
              <w:spacing w:line="228" w:lineRule="auto"/>
            </w:pPr>
            <w:r>
              <w:rPr>
                <w:b/>
                <w:color w:val="1F4E78"/>
                <w:sz w:val="17"/>
              </w:rPr>
              <w:t>Ajuste del Ciclo 2</w:t>
            </w:r>
          </w:p>
        </w:tc>
        <w:tc>
          <w:tcPr>
            <w:tcW w:w="4320"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La actividad común siguiente incorpora comparación de dos tasas con unidades distintas y exige justificar cuál cambio es mayor.</w:t>
            </w:r>
          </w:p>
        </w:tc>
        <w:tc>
          <w:tcPr>
            <w:tcW w:w="3960" w:type="dxa"/>
            <w:shd w:val="clear" w:color="auto" w:fill="EEF4F9"/>
            <w:tcMar>
              <w:top w:w="70" w:type="dxa"/>
              <w:left w:w="90" w:type="dxa"/>
              <w:bottom w:w="70" w:type="dxa"/>
              <w:right w:w="90" w:type="dxa"/>
            </w:tcMar>
            <w:vAlign w:val="center"/>
          </w:tcPr>
          <w:p w:rsidR="00E718A3" w:rsidRDefault="00CE1D24">
            <w:pPr>
              <w:spacing w:line="228" w:lineRule="auto"/>
            </w:pPr>
            <w:r>
              <w:rPr>
                <w:color w:val="202020"/>
                <w:sz w:val="17"/>
              </w:rPr>
              <w:t>Decisión grupal documentada a partir del patrón observado.</w:t>
            </w:r>
          </w:p>
        </w:tc>
      </w:tr>
    </w:tbl>
    <w:p w:rsidR="00E718A3" w:rsidRDefault="00CE1D24">
      <w:pPr>
        <w:pStyle w:val="Ttulo2"/>
        <w:keepNext/>
      </w:pPr>
      <w:r>
        <w:rPr>
          <w:color w:val="1F4E78"/>
        </w:rPr>
        <w:t xml:space="preserve">10. Decisiones pendientes para la fase de diseño </w:t>
      </w:r>
      <w:r>
        <w:rPr>
          <w:color w:val="1F4E78"/>
        </w:rPr>
        <w:t>y pilotaje</w:t>
      </w:r>
    </w:p>
    <w:p w:rsidR="00E718A3" w:rsidRDefault="00CE1D24">
      <w:pPr>
        <w:spacing w:after="40" w:line="252" w:lineRule="auto"/>
        <w:ind w:left="360" w:hanging="216"/>
      </w:pPr>
      <w:r>
        <w:rPr>
          <w:color w:val="1F4E78"/>
        </w:rPr>
        <w:t xml:space="preserve">• </w:t>
      </w:r>
      <w:r>
        <w:rPr>
          <w:color w:val="202020"/>
        </w:rPr>
        <w:t>Definir la redacción definitiva y la carga de las tareas comunes de cada ciclo, así como su duración estimada.</w:t>
      </w:r>
    </w:p>
    <w:p w:rsidR="00E718A3" w:rsidRDefault="00CE1D24">
      <w:pPr>
        <w:spacing w:after="40" w:line="252" w:lineRule="auto"/>
        <w:ind w:left="360" w:hanging="216"/>
      </w:pPr>
      <w:r>
        <w:rPr>
          <w:color w:val="1F4E78"/>
        </w:rPr>
        <w:t xml:space="preserve">• </w:t>
      </w:r>
      <w:r>
        <w:rPr>
          <w:color w:val="202020"/>
        </w:rPr>
        <w:t>Precisar para cada tarea los indicadores aplicables, la demanda máxima y los ejemplos ancla de respuestas.</w:t>
      </w:r>
    </w:p>
    <w:p w:rsidR="00E718A3" w:rsidRDefault="00CE1D24">
      <w:pPr>
        <w:spacing w:after="40" w:line="252" w:lineRule="auto"/>
        <w:ind w:left="360" w:hanging="216"/>
      </w:pPr>
      <w:r>
        <w:rPr>
          <w:color w:val="1F4E78"/>
        </w:rPr>
        <w:t xml:space="preserve">• </w:t>
      </w:r>
      <w:r>
        <w:rPr>
          <w:color w:val="202020"/>
        </w:rPr>
        <w:t>Establecer el formato</w:t>
      </w:r>
      <w:r>
        <w:rPr>
          <w:color w:val="202020"/>
        </w:rPr>
        <w:t xml:space="preserve"> estructurado de salida de la IA para el análisis individual y la retroalimentación.</w:t>
      </w:r>
    </w:p>
    <w:p w:rsidR="00E718A3" w:rsidRDefault="00CE1D24">
      <w:pPr>
        <w:spacing w:after="40" w:line="252" w:lineRule="auto"/>
        <w:ind w:left="360" w:hanging="216"/>
      </w:pPr>
      <w:r>
        <w:rPr>
          <w:color w:val="1F4E78"/>
        </w:rPr>
        <w:t xml:space="preserve">• </w:t>
      </w:r>
      <w:r>
        <w:rPr>
          <w:color w:val="202020"/>
        </w:rPr>
        <w:t>Definir criterios para determinar cuándo un patrón grupal es suficientemente relevante para orientar el ajuste del ciclo siguiente, sin convertir el proceso en una regla</w:t>
      </w:r>
      <w:r>
        <w:rPr>
          <w:color w:val="202020"/>
        </w:rPr>
        <w:t xml:space="preserve"> mecánica.</w:t>
      </w:r>
    </w:p>
    <w:p w:rsidR="00E718A3" w:rsidRDefault="00CE1D24">
      <w:pPr>
        <w:spacing w:after="40" w:line="252" w:lineRule="auto"/>
        <w:ind w:left="360" w:hanging="216"/>
      </w:pPr>
      <w:r>
        <w:rPr>
          <w:color w:val="1F4E78"/>
        </w:rPr>
        <w:t xml:space="preserve">• </w:t>
      </w:r>
      <w:r>
        <w:rPr>
          <w:color w:val="202020"/>
        </w:rPr>
        <w:t>Pilotar la consistencia del análisis de respuestas y revisar casos ambiguos antes de la implementación con el grupo completo.</w:t>
      </w:r>
    </w:p>
    <w:p w:rsidR="00E718A3" w:rsidRDefault="00CE1D24">
      <w:pPr>
        <w:spacing w:after="40" w:line="252" w:lineRule="auto"/>
        <w:ind w:left="360" w:hanging="216"/>
      </w:pPr>
      <w:r>
        <w:rPr>
          <w:color w:val="1F4E78"/>
        </w:rPr>
        <w:t xml:space="preserve">• </w:t>
      </w:r>
      <w:r>
        <w:rPr>
          <w:color w:val="202020"/>
        </w:rPr>
        <w:t>Verificar navegación, almacenamiento, recuperación de sesión, legibilidad de gráficas y accesibilidad en dispositiv</w:t>
      </w:r>
      <w:r>
        <w:rPr>
          <w:color w:val="202020"/>
        </w:rPr>
        <w:t>os utilizados por los estudiantes.</w:t>
      </w:r>
    </w:p>
    <w:p w:rsidR="00E718A3" w:rsidRDefault="00CE1D24">
      <w:pPr>
        <w:spacing w:after="40" w:line="252" w:lineRule="auto"/>
        <w:ind w:left="360" w:hanging="216"/>
      </w:pPr>
      <w:r>
        <w:rPr>
          <w:color w:val="1F4E78"/>
        </w:rPr>
        <w:t xml:space="preserve">• </w:t>
      </w:r>
      <w:r>
        <w:rPr>
          <w:color w:val="202020"/>
        </w:rPr>
        <w:t>Comprobar que los registros permitan reconstruir la secuencia respuesta → análisis → retroalimentación → agregación → ajuste entre ciclos.</w:t>
      </w:r>
    </w:p>
    <w:p w:rsidR="00E718A3" w:rsidRDefault="00CE1D24">
      <w:pPr>
        <w:spacing w:after="40" w:line="252" w:lineRule="auto"/>
        <w:ind w:left="360" w:hanging="216"/>
      </w:pPr>
      <w:r>
        <w:rPr>
          <w:color w:val="1F4E78"/>
        </w:rPr>
        <w:t xml:space="preserve">• </w:t>
      </w:r>
      <w:r>
        <w:rPr>
          <w:color w:val="202020"/>
        </w:rPr>
        <w:t>Revisar los mecanismos de protección de datos y asegurar que ningún dato de id</w:t>
      </w:r>
      <w:r>
        <w:rPr>
          <w:color w:val="202020"/>
        </w:rPr>
        <w:t>entificación personal sea enviado al componente generativo.</w:t>
      </w:r>
    </w:p>
    <w:p w:rsidR="00E718A3" w:rsidRDefault="00CE1D24">
      <w:pPr>
        <w:pStyle w:val="Ttulo2"/>
        <w:keepNext/>
      </w:pPr>
      <w:r>
        <w:rPr>
          <w:color w:val="1F4E78"/>
        </w:rPr>
        <w:t>11. Próximos pasos propuestos</w:t>
      </w:r>
    </w:p>
    <w:p w:rsidR="00E718A3" w:rsidRDefault="00CE1D24">
      <w:pPr>
        <w:spacing w:after="40" w:line="252" w:lineRule="auto"/>
        <w:ind w:left="360" w:hanging="216"/>
      </w:pPr>
      <w:r>
        <w:rPr>
          <w:color w:val="1F4E78"/>
        </w:rPr>
        <w:t xml:space="preserve">• </w:t>
      </w:r>
      <w:r>
        <w:rPr>
          <w:color w:val="202020"/>
        </w:rPr>
        <w:t>Consolidar la matriz APOE después de la validación de contenido y el examen de aplicabilidad.</w:t>
      </w:r>
    </w:p>
    <w:p w:rsidR="00E718A3" w:rsidRDefault="00CE1D24">
      <w:pPr>
        <w:spacing w:after="40" w:line="252" w:lineRule="auto"/>
        <w:ind w:left="360" w:hanging="216"/>
      </w:pPr>
      <w:r>
        <w:rPr>
          <w:color w:val="1F4E78"/>
        </w:rPr>
        <w:t xml:space="preserve">• </w:t>
      </w:r>
      <w:r>
        <w:rPr>
          <w:color w:val="202020"/>
        </w:rPr>
        <w:t>Diseñar la versión definitiva de la actividad común del Ciclo 1 y su</w:t>
      </w:r>
      <w:r>
        <w:rPr>
          <w:color w:val="202020"/>
        </w:rPr>
        <w:t>s fichas técnicas.</w:t>
      </w:r>
    </w:p>
    <w:p w:rsidR="00E718A3" w:rsidRDefault="00CE1D24">
      <w:pPr>
        <w:spacing w:after="40" w:line="252" w:lineRule="auto"/>
        <w:ind w:left="360" w:hanging="216"/>
      </w:pPr>
      <w:r>
        <w:rPr>
          <w:color w:val="1F4E78"/>
        </w:rPr>
        <w:t xml:space="preserve">• </w:t>
      </w:r>
      <w:r>
        <w:rPr>
          <w:color w:val="202020"/>
        </w:rPr>
        <w:t>Construir y probar los prompts de análisis y retroalimentación a partir de los indicadores validados.</w:t>
      </w:r>
    </w:p>
    <w:p w:rsidR="00E718A3" w:rsidRDefault="00CE1D24">
      <w:pPr>
        <w:spacing w:after="40" w:line="252" w:lineRule="auto"/>
        <w:ind w:left="360" w:hanging="216"/>
      </w:pPr>
      <w:r>
        <w:rPr>
          <w:color w:val="1F4E78"/>
        </w:rPr>
        <w:t xml:space="preserve">• </w:t>
      </w:r>
      <w:r>
        <w:rPr>
          <w:color w:val="202020"/>
        </w:rPr>
        <w:t>Implementar el modelo de datos actualizado sin entidades de asignación de rutas ni niveles de ayuda.</w:t>
      </w:r>
    </w:p>
    <w:p w:rsidR="00E718A3" w:rsidRDefault="00CE1D24">
      <w:pPr>
        <w:spacing w:after="40" w:line="252" w:lineRule="auto"/>
        <w:ind w:left="360" w:hanging="216"/>
      </w:pPr>
      <w:r>
        <w:rPr>
          <w:color w:val="1F4E78"/>
        </w:rPr>
        <w:t xml:space="preserve">• </w:t>
      </w:r>
      <w:r>
        <w:rPr>
          <w:color w:val="202020"/>
        </w:rPr>
        <w:t>Realizar un pilotaje técnico</w:t>
      </w:r>
      <w:r>
        <w:rPr>
          <w:color w:val="202020"/>
        </w:rPr>
        <w:t xml:space="preserve"> y pedagógico antes de la implementación con los 28 participantes.</w:t>
      </w:r>
    </w:p>
    <w:p w:rsidR="00E718A3" w:rsidRDefault="00CE1D24">
      <w:pPr>
        <w:spacing w:after="40" w:line="252" w:lineRule="auto"/>
        <w:ind w:left="360" w:hanging="216"/>
      </w:pPr>
      <w:r>
        <w:rPr>
          <w:color w:val="1F4E78"/>
        </w:rPr>
        <w:t xml:space="preserve">• </w:t>
      </w:r>
      <w:r>
        <w:rPr>
          <w:color w:val="202020"/>
        </w:rPr>
        <w:t>Definir la actividad común del Ciclo 2 a partir de la síntesis agregada del Ciclo 1 y repetir la lógica para el Ciclo 3.</w:t>
      </w:r>
    </w:p>
    <w:p w:rsidR="00E718A3" w:rsidRDefault="00CE1D24">
      <w:pPr>
        <w:spacing w:after="40" w:line="252" w:lineRule="auto"/>
        <w:ind w:left="360" w:hanging="216"/>
      </w:pPr>
      <w:r>
        <w:rPr>
          <w:color w:val="1F4E78"/>
        </w:rPr>
        <w:t xml:space="preserve">• </w:t>
      </w:r>
      <w:r>
        <w:rPr>
          <w:color w:val="202020"/>
        </w:rPr>
        <w:t>Documentar versiones, incidencias y decisiones de ajuste para la</w:t>
      </w:r>
      <w:r>
        <w:rPr>
          <w:color w:val="202020"/>
        </w:rPr>
        <w:t xml:space="preserve"> valoración final del funcionamiento de la estrategia.</w:t>
      </w:r>
    </w:p>
    <w:sectPr w:rsidR="00E718A3">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1D24" w:rsidRDefault="00CE1D24">
      <w:r>
        <w:separator/>
      </w:r>
    </w:p>
  </w:endnote>
  <w:endnote w:type="continuationSeparator" w:id="0">
    <w:p w:rsidR="00CE1D24" w:rsidRDefault="00CE1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18A3" w:rsidRDefault="00E718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1D24" w:rsidRDefault="00CE1D24">
      <w:r>
        <w:separator/>
      </w:r>
    </w:p>
  </w:footnote>
  <w:footnote w:type="continuationSeparator" w:id="0">
    <w:p w:rsidR="00CE1D24" w:rsidRDefault="00CE1D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18A3" w:rsidRDefault="00E718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4D0EAD"/>
    <w:multiLevelType w:val="hybridMultilevel"/>
    <w:tmpl w:val="81A2B484"/>
    <w:lvl w:ilvl="0" w:tplc="C4208F66">
      <w:start w:val="1"/>
      <w:numFmt w:val="bullet"/>
      <w:lvlText w:val="●"/>
      <w:lvlJc w:val="left"/>
      <w:pPr>
        <w:ind w:left="720" w:hanging="360"/>
      </w:pPr>
    </w:lvl>
    <w:lvl w:ilvl="1" w:tplc="D5FCD8AE">
      <w:start w:val="1"/>
      <w:numFmt w:val="bullet"/>
      <w:lvlText w:val="○"/>
      <w:lvlJc w:val="left"/>
      <w:pPr>
        <w:ind w:left="1440" w:hanging="360"/>
      </w:pPr>
    </w:lvl>
    <w:lvl w:ilvl="2" w:tplc="052CB868">
      <w:start w:val="1"/>
      <w:numFmt w:val="bullet"/>
      <w:lvlText w:val="■"/>
      <w:lvlJc w:val="left"/>
      <w:pPr>
        <w:ind w:left="2160" w:hanging="360"/>
      </w:pPr>
    </w:lvl>
    <w:lvl w:ilvl="3" w:tplc="1AA6D460">
      <w:start w:val="1"/>
      <w:numFmt w:val="bullet"/>
      <w:lvlText w:val="●"/>
      <w:lvlJc w:val="left"/>
      <w:pPr>
        <w:ind w:left="2880" w:hanging="360"/>
      </w:pPr>
    </w:lvl>
    <w:lvl w:ilvl="4" w:tplc="EC983578">
      <w:start w:val="1"/>
      <w:numFmt w:val="bullet"/>
      <w:lvlText w:val="○"/>
      <w:lvlJc w:val="left"/>
      <w:pPr>
        <w:ind w:left="3600" w:hanging="360"/>
      </w:pPr>
    </w:lvl>
    <w:lvl w:ilvl="5" w:tplc="A888D7F2">
      <w:start w:val="1"/>
      <w:numFmt w:val="bullet"/>
      <w:lvlText w:val="■"/>
      <w:lvlJc w:val="left"/>
      <w:pPr>
        <w:ind w:left="4320" w:hanging="360"/>
      </w:pPr>
    </w:lvl>
    <w:lvl w:ilvl="6" w:tplc="08D299A8">
      <w:start w:val="1"/>
      <w:numFmt w:val="bullet"/>
      <w:lvlText w:val="●"/>
      <w:lvlJc w:val="left"/>
      <w:pPr>
        <w:ind w:left="5040" w:hanging="360"/>
      </w:pPr>
    </w:lvl>
    <w:lvl w:ilvl="7" w:tplc="3A30BF68">
      <w:start w:val="1"/>
      <w:numFmt w:val="bullet"/>
      <w:lvlText w:val="●"/>
      <w:lvlJc w:val="left"/>
      <w:pPr>
        <w:ind w:left="5760" w:hanging="360"/>
      </w:pPr>
    </w:lvl>
    <w:lvl w:ilvl="8" w:tplc="AB987AC6">
      <w:start w:val="1"/>
      <w:numFmt w:val="bullet"/>
      <w:lvlText w:val="●"/>
      <w:lvlJc w:val="left"/>
      <w:pPr>
        <w:ind w:left="6480" w:hanging="360"/>
      </w:pPr>
    </w:lvl>
  </w:abstractNum>
  <w:abstractNum w:abstractNumId="1" w15:restartNumberingAfterBreak="0">
    <w:nsid w:val="43EF6D9E"/>
    <w:multiLevelType w:val="hybridMultilevel"/>
    <w:tmpl w:val="41CA74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FD7"/>
    <w:rsid w:val="0000680E"/>
    <w:rsid w:val="000264AB"/>
    <w:rsid w:val="0004236E"/>
    <w:rsid w:val="00043F4A"/>
    <w:rsid w:val="000B2785"/>
    <w:rsid w:val="000D2499"/>
    <w:rsid w:val="00124621"/>
    <w:rsid w:val="00132E3F"/>
    <w:rsid w:val="001A00FB"/>
    <w:rsid w:val="001C35FA"/>
    <w:rsid w:val="00224213"/>
    <w:rsid w:val="002511E1"/>
    <w:rsid w:val="00285F6F"/>
    <w:rsid w:val="002A683F"/>
    <w:rsid w:val="00323885"/>
    <w:rsid w:val="00335F51"/>
    <w:rsid w:val="003616A2"/>
    <w:rsid w:val="0037727D"/>
    <w:rsid w:val="00433E32"/>
    <w:rsid w:val="00480FD7"/>
    <w:rsid w:val="004A55F1"/>
    <w:rsid w:val="004C031E"/>
    <w:rsid w:val="00531F89"/>
    <w:rsid w:val="005332E5"/>
    <w:rsid w:val="00580EF1"/>
    <w:rsid w:val="005D4904"/>
    <w:rsid w:val="005D665F"/>
    <w:rsid w:val="005E2810"/>
    <w:rsid w:val="005E3BE4"/>
    <w:rsid w:val="006F0027"/>
    <w:rsid w:val="007018F5"/>
    <w:rsid w:val="00724EA0"/>
    <w:rsid w:val="00727B11"/>
    <w:rsid w:val="008066C5"/>
    <w:rsid w:val="008712A0"/>
    <w:rsid w:val="00895ED0"/>
    <w:rsid w:val="008A347B"/>
    <w:rsid w:val="009324DB"/>
    <w:rsid w:val="0094212D"/>
    <w:rsid w:val="0096401E"/>
    <w:rsid w:val="009E4F8A"/>
    <w:rsid w:val="00A30E9E"/>
    <w:rsid w:val="00A534B0"/>
    <w:rsid w:val="00A6010A"/>
    <w:rsid w:val="00AD0721"/>
    <w:rsid w:val="00B264DA"/>
    <w:rsid w:val="00B51A50"/>
    <w:rsid w:val="00B52D23"/>
    <w:rsid w:val="00B607E9"/>
    <w:rsid w:val="00C65F82"/>
    <w:rsid w:val="00CE1D24"/>
    <w:rsid w:val="00DC66E2"/>
    <w:rsid w:val="00E718A3"/>
    <w:rsid w:val="00EF7733"/>
    <w:rsid w:val="00F450B5"/>
    <w:rsid w:val="00FA1C05"/>
    <w:rsid w:val="00FA2D91"/>
    <w:rsid w:val="00FD4F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270D3"/>
  <w15:docId w15:val="{2747B0E0-2843-41F8-8542-5DA9E963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3"/>
    </w:rPr>
  </w:style>
  <w:style w:type="paragraph" w:styleId="Ttulo1">
    <w:name w:val="heading 1"/>
    <w:uiPriority w:val="9"/>
    <w:qFormat/>
    <w:pPr>
      <w:spacing w:before="240" w:after="120"/>
      <w:outlineLvl w:val="0"/>
    </w:pPr>
    <w:rPr>
      <w:b/>
      <w:bCs/>
      <w:color w:val="000000"/>
      <w:sz w:val="27"/>
      <w:szCs w:val="28"/>
    </w:rPr>
  </w:style>
  <w:style w:type="paragraph" w:styleId="Ttulo2">
    <w:name w:val="heading 2"/>
    <w:uiPriority w:val="9"/>
    <w:unhideWhenUsed/>
    <w:qFormat/>
    <w:pPr>
      <w:spacing w:before="200" w:after="100"/>
      <w:outlineLvl w:val="1"/>
    </w:pPr>
    <w:rPr>
      <w:b/>
      <w:bCs/>
      <w:color w:val="000000"/>
      <w:sz w:val="23"/>
    </w:rPr>
  </w:style>
  <w:style w:type="paragraph" w:styleId="Ttulo3">
    <w:name w:val="heading 3"/>
    <w:uiPriority w:val="9"/>
    <w:semiHidden/>
    <w:unhideWhenUsed/>
    <w:qFormat/>
    <w:pPr>
      <w:outlineLvl w:val="2"/>
    </w:pPr>
    <w:rPr>
      <w:b/>
      <w:color w:val="1F4D78"/>
      <w:sz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rPr>
      <w:sz w:val="23"/>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B51A50"/>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6F0027"/>
    <w:rPr>
      <w:i/>
      <w:iCs/>
    </w:rPr>
  </w:style>
  <w:style w:type="character" w:styleId="Textoennegrita">
    <w:name w:val="Strong"/>
    <w:basedOn w:val="Fuentedeprrafopredeter"/>
    <w:uiPriority w:val="22"/>
    <w:qFormat/>
    <w:rsid w:val="006F0027"/>
    <w:rPr>
      <w:b/>
      <w:bCs/>
    </w:rPr>
  </w:style>
  <w:style w:type="character" w:styleId="Mencinsinresolver">
    <w:name w:val="Unresolved Mention"/>
    <w:basedOn w:val="Fuentedeprrafopredeter"/>
    <w:uiPriority w:val="99"/>
    <w:semiHidden/>
    <w:unhideWhenUsed/>
    <w:rsid w:val="00433E32"/>
    <w:rPr>
      <w:color w:val="605E5C"/>
      <w:shd w:val="clear" w:color="auto" w:fill="E1DFDD"/>
    </w:rPr>
  </w:style>
  <w:style w:type="character" w:styleId="Hipervnculovisitado">
    <w:name w:val="FollowedHyperlink"/>
    <w:basedOn w:val="Fuentedeprrafopredeter"/>
    <w:uiPriority w:val="99"/>
    <w:semiHidden/>
    <w:unhideWhenUsed/>
    <w:rsid w:val="008A347B"/>
    <w:rPr>
      <w:color w:val="954F72" w:themeColor="followedHyperlink"/>
      <w:u w:val="single"/>
    </w:rPr>
  </w:style>
  <w:style w:type="paragraph" w:styleId="Textodeglobo">
    <w:name w:val="Balloon Text"/>
    <w:basedOn w:val="Normal"/>
    <w:link w:val="TextodegloboCar"/>
    <w:uiPriority w:val="99"/>
    <w:semiHidden/>
    <w:unhideWhenUsed/>
    <w:rsid w:val="004C031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C031E"/>
    <w:rPr>
      <w:rFonts w:ascii="Segoe UI" w:hAnsi="Segoe UI" w:cs="Segoe UI"/>
      <w:sz w:val="18"/>
      <w:szCs w:val="18"/>
    </w:rPr>
  </w:style>
  <w:style w:type="paragraph" w:customStyle="1" w:styleId="pdq2pgselectionanchorcontainer">
    <w:name w:val="pdq2pg_selectionanchorcontainer"/>
    <w:basedOn w:val="Normal"/>
    <w:rsid w:val="00335F5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5979">
      <w:bodyDiv w:val="1"/>
      <w:marLeft w:val="0"/>
      <w:marRight w:val="0"/>
      <w:marTop w:val="0"/>
      <w:marBottom w:val="0"/>
      <w:divBdr>
        <w:top w:val="none" w:sz="0" w:space="0" w:color="auto"/>
        <w:left w:val="none" w:sz="0" w:space="0" w:color="auto"/>
        <w:bottom w:val="none" w:sz="0" w:space="0" w:color="auto"/>
        <w:right w:val="none" w:sz="0" w:space="0" w:color="auto"/>
      </w:divBdr>
    </w:div>
    <w:div w:id="17897760">
      <w:bodyDiv w:val="1"/>
      <w:marLeft w:val="0"/>
      <w:marRight w:val="0"/>
      <w:marTop w:val="0"/>
      <w:marBottom w:val="0"/>
      <w:divBdr>
        <w:top w:val="none" w:sz="0" w:space="0" w:color="auto"/>
        <w:left w:val="none" w:sz="0" w:space="0" w:color="auto"/>
        <w:bottom w:val="none" w:sz="0" w:space="0" w:color="auto"/>
        <w:right w:val="none" w:sz="0" w:space="0" w:color="auto"/>
      </w:divBdr>
    </w:div>
    <w:div w:id="27920424">
      <w:bodyDiv w:val="1"/>
      <w:marLeft w:val="0"/>
      <w:marRight w:val="0"/>
      <w:marTop w:val="0"/>
      <w:marBottom w:val="0"/>
      <w:divBdr>
        <w:top w:val="none" w:sz="0" w:space="0" w:color="auto"/>
        <w:left w:val="none" w:sz="0" w:space="0" w:color="auto"/>
        <w:bottom w:val="none" w:sz="0" w:space="0" w:color="auto"/>
        <w:right w:val="none" w:sz="0" w:space="0" w:color="auto"/>
      </w:divBdr>
    </w:div>
    <w:div w:id="54203757">
      <w:bodyDiv w:val="1"/>
      <w:marLeft w:val="0"/>
      <w:marRight w:val="0"/>
      <w:marTop w:val="0"/>
      <w:marBottom w:val="0"/>
      <w:divBdr>
        <w:top w:val="none" w:sz="0" w:space="0" w:color="auto"/>
        <w:left w:val="none" w:sz="0" w:space="0" w:color="auto"/>
        <w:bottom w:val="none" w:sz="0" w:space="0" w:color="auto"/>
        <w:right w:val="none" w:sz="0" w:space="0" w:color="auto"/>
      </w:divBdr>
    </w:div>
    <w:div w:id="75246425">
      <w:bodyDiv w:val="1"/>
      <w:marLeft w:val="0"/>
      <w:marRight w:val="0"/>
      <w:marTop w:val="0"/>
      <w:marBottom w:val="0"/>
      <w:divBdr>
        <w:top w:val="none" w:sz="0" w:space="0" w:color="auto"/>
        <w:left w:val="none" w:sz="0" w:space="0" w:color="auto"/>
        <w:bottom w:val="none" w:sz="0" w:space="0" w:color="auto"/>
        <w:right w:val="none" w:sz="0" w:space="0" w:color="auto"/>
      </w:divBdr>
    </w:div>
    <w:div w:id="155652710">
      <w:bodyDiv w:val="1"/>
      <w:marLeft w:val="0"/>
      <w:marRight w:val="0"/>
      <w:marTop w:val="0"/>
      <w:marBottom w:val="0"/>
      <w:divBdr>
        <w:top w:val="none" w:sz="0" w:space="0" w:color="auto"/>
        <w:left w:val="none" w:sz="0" w:space="0" w:color="auto"/>
        <w:bottom w:val="none" w:sz="0" w:space="0" w:color="auto"/>
        <w:right w:val="none" w:sz="0" w:space="0" w:color="auto"/>
      </w:divBdr>
    </w:div>
    <w:div w:id="200290549">
      <w:bodyDiv w:val="1"/>
      <w:marLeft w:val="0"/>
      <w:marRight w:val="0"/>
      <w:marTop w:val="0"/>
      <w:marBottom w:val="0"/>
      <w:divBdr>
        <w:top w:val="none" w:sz="0" w:space="0" w:color="auto"/>
        <w:left w:val="none" w:sz="0" w:space="0" w:color="auto"/>
        <w:bottom w:val="none" w:sz="0" w:space="0" w:color="auto"/>
        <w:right w:val="none" w:sz="0" w:space="0" w:color="auto"/>
      </w:divBdr>
    </w:div>
    <w:div w:id="293217797">
      <w:bodyDiv w:val="1"/>
      <w:marLeft w:val="0"/>
      <w:marRight w:val="0"/>
      <w:marTop w:val="0"/>
      <w:marBottom w:val="0"/>
      <w:divBdr>
        <w:top w:val="none" w:sz="0" w:space="0" w:color="auto"/>
        <w:left w:val="none" w:sz="0" w:space="0" w:color="auto"/>
        <w:bottom w:val="none" w:sz="0" w:space="0" w:color="auto"/>
        <w:right w:val="none" w:sz="0" w:space="0" w:color="auto"/>
      </w:divBdr>
    </w:div>
    <w:div w:id="317153758">
      <w:bodyDiv w:val="1"/>
      <w:marLeft w:val="0"/>
      <w:marRight w:val="0"/>
      <w:marTop w:val="0"/>
      <w:marBottom w:val="0"/>
      <w:divBdr>
        <w:top w:val="none" w:sz="0" w:space="0" w:color="auto"/>
        <w:left w:val="none" w:sz="0" w:space="0" w:color="auto"/>
        <w:bottom w:val="none" w:sz="0" w:space="0" w:color="auto"/>
        <w:right w:val="none" w:sz="0" w:space="0" w:color="auto"/>
      </w:divBdr>
    </w:div>
    <w:div w:id="515727186">
      <w:bodyDiv w:val="1"/>
      <w:marLeft w:val="0"/>
      <w:marRight w:val="0"/>
      <w:marTop w:val="0"/>
      <w:marBottom w:val="0"/>
      <w:divBdr>
        <w:top w:val="none" w:sz="0" w:space="0" w:color="auto"/>
        <w:left w:val="none" w:sz="0" w:space="0" w:color="auto"/>
        <w:bottom w:val="none" w:sz="0" w:space="0" w:color="auto"/>
        <w:right w:val="none" w:sz="0" w:space="0" w:color="auto"/>
      </w:divBdr>
    </w:div>
    <w:div w:id="550313024">
      <w:bodyDiv w:val="1"/>
      <w:marLeft w:val="0"/>
      <w:marRight w:val="0"/>
      <w:marTop w:val="0"/>
      <w:marBottom w:val="0"/>
      <w:divBdr>
        <w:top w:val="none" w:sz="0" w:space="0" w:color="auto"/>
        <w:left w:val="none" w:sz="0" w:space="0" w:color="auto"/>
        <w:bottom w:val="none" w:sz="0" w:space="0" w:color="auto"/>
        <w:right w:val="none" w:sz="0" w:space="0" w:color="auto"/>
      </w:divBdr>
    </w:div>
    <w:div w:id="749811361">
      <w:bodyDiv w:val="1"/>
      <w:marLeft w:val="0"/>
      <w:marRight w:val="0"/>
      <w:marTop w:val="0"/>
      <w:marBottom w:val="0"/>
      <w:divBdr>
        <w:top w:val="none" w:sz="0" w:space="0" w:color="auto"/>
        <w:left w:val="none" w:sz="0" w:space="0" w:color="auto"/>
        <w:bottom w:val="none" w:sz="0" w:space="0" w:color="auto"/>
        <w:right w:val="none" w:sz="0" w:space="0" w:color="auto"/>
      </w:divBdr>
    </w:div>
    <w:div w:id="949122494">
      <w:bodyDiv w:val="1"/>
      <w:marLeft w:val="0"/>
      <w:marRight w:val="0"/>
      <w:marTop w:val="0"/>
      <w:marBottom w:val="0"/>
      <w:divBdr>
        <w:top w:val="none" w:sz="0" w:space="0" w:color="auto"/>
        <w:left w:val="none" w:sz="0" w:space="0" w:color="auto"/>
        <w:bottom w:val="none" w:sz="0" w:space="0" w:color="auto"/>
        <w:right w:val="none" w:sz="0" w:space="0" w:color="auto"/>
      </w:divBdr>
    </w:div>
    <w:div w:id="981275757">
      <w:bodyDiv w:val="1"/>
      <w:marLeft w:val="0"/>
      <w:marRight w:val="0"/>
      <w:marTop w:val="0"/>
      <w:marBottom w:val="0"/>
      <w:divBdr>
        <w:top w:val="none" w:sz="0" w:space="0" w:color="auto"/>
        <w:left w:val="none" w:sz="0" w:space="0" w:color="auto"/>
        <w:bottom w:val="none" w:sz="0" w:space="0" w:color="auto"/>
        <w:right w:val="none" w:sz="0" w:space="0" w:color="auto"/>
      </w:divBdr>
    </w:div>
    <w:div w:id="996230918">
      <w:bodyDiv w:val="1"/>
      <w:marLeft w:val="0"/>
      <w:marRight w:val="0"/>
      <w:marTop w:val="0"/>
      <w:marBottom w:val="0"/>
      <w:divBdr>
        <w:top w:val="none" w:sz="0" w:space="0" w:color="auto"/>
        <w:left w:val="none" w:sz="0" w:space="0" w:color="auto"/>
        <w:bottom w:val="none" w:sz="0" w:space="0" w:color="auto"/>
        <w:right w:val="none" w:sz="0" w:space="0" w:color="auto"/>
      </w:divBdr>
    </w:div>
    <w:div w:id="1008679101">
      <w:bodyDiv w:val="1"/>
      <w:marLeft w:val="0"/>
      <w:marRight w:val="0"/>
      <w:marTop w:val="0"/>
      <w:marBottom w:val="0"/>
      <w:divBdr>
        <w:top w:val="none" w:sz="0" w:space="0" w:color="auto"/>
        <w:left w:val="none" w:sz="0" w:space="0" w:color="auto"/>
        <w:bottom w:val="none" w:sz="0" w:space="0" w:color="auto"/>
        <w:right w:val="none" w:sz="0" w:space="0" w:color="auto"/>
      </w:divBdr>
    </w:div>
    <w:div w:id="1105080288">
      <w:bodyDiv w:val="1"/>
      <w:marLeft w:val="0"/>
      <w:marRight w:val="0"/>
      <w:marTop w:val="0"/>
      <w:marBottom w:val="0"/>
      <w:divBdr>
        <w:top w:val="none" w:sz="0" w:space="0" w:color="auto"/>
        <w:left w:val="none" w:sz="0" w:space="0" w:color="auto"/>
        <w:bottom w:val="none" w:sz="0" w:space="0" w:color="auto"/>
        <w:right w:val="none" w:sz="0" w:space="0" w:color="auto"/>
      </w:divBdr>
    </w:div>
    <w:div w:id="1156149364">
      <w:bodyDiv w:val="1"/>
      <w:marLeft w:val="0"/>
      <w:marRight w:val="0"/>
      <w:marTop w:val="0"/>
      <w:marBottom w:val="0"/>
      <w:divBdr>
        <w:top w:val="none" w:sz="0" w:space="0" w:color="auto"/>
        <w:left w:val="none" w:sz="0" w:space="0" w:color="auto"/>
        <w:bottom w:val="none" w:sz="0" w:space="0" w:color="auto"/>
        <w:right w:val="none" w:sz="0" w:space="0" w:color="auto"/>
      </w:divBdr>
    </w:div>
    <w:div w:id="1228758796">
      <w:bodyDiv w:val="1"/>
      <w:marLeft w:val="0"/>
      <w:marRight w:val="0"/>
      <w:marTop w:val="0"/>
      <w:marBottom w:val="0"/>
      <w:divBdr>
        <w:top w:val="none" w:sz="0" w:space="0" w:color="auto"/>
        <w:left w:val="none" w:sz="0" w:space="0" w:color="auto"/>
        <w:bottom w:val="none" w:sz="0" w:space="0" w:color="auto"/>
        <w:right w:val="none" w:sz="0" w:space="0" w:color="auto"/>
      </w:divBdr>
    </w:div>
    <w:div w:id="1262837643">
      <w:bodyDiv w:val="1"/>
      <w:marLeft w:val="0"/>
      <w:marRight w:val="0"/>
      <w:marTop w:val="0"/>
      <w:marBottom w:val="0"/>
      <w:divBdr>
        <w:top w:val="none" w:sz="0" w:space="0" w:color="auto"/>
        <w:left w:val="none" w:sz="0" w:space="0" w:color="auto"/>
        <w:bottom w:val="none" w:sz="0" w:space="0" w:color="auto"/>
        <w:right w:val="none" w:sz="0" w:space="0" w:color="auto"/>
      </w:divBdr>
    </w:div>
    <w:div w:id="1282833793">
      <w:bodyDiv w:val="1"/>
      <w:marLeft w:val="0"/>
      <w:marRight w:val="0"/>
      <w:marTop w:val="0"/>
      <w:marBottom w:val="0"/>
      <w:divBdr>
        <w:top w:val="none" w:sz="0" w:space="0" w:color="auto"/>
        <w:left w:val="none" w:sz="0" w:space="0" w:color="auto"/>
        <w:bottom w:val="none" w:sz="0" w:space="0" w:color="auto"/>
        <w:right w:val="none" w:sz="0" w:space="0" w:color="auto"/>
      </w:divBdr>
    </w:div>
    <w:div w:id="1319308178">
      <w:bodyDiv w:val="1"/>
      <w:marLeft w:val="0"/>
      <w:marRight w:val="0"/>
      <w:marTop w:val="0"/>
      <w:marBottom w:val="0"/>
      <w:divBdr>
        <w:top w:val="none" w:sz="0" w:space="0" w:color="auto"/>
        <w:left w:val="none" w:sz="0" w:space="0" w:color="auto"/>
        <w:bottom w:val="none" w:sz="0" w:space="0" w:color="auto"/>
        <w:right w:val="none" w:sz="0" w:space="0" w:color="auto"/>
      </w:divBdr>
    </w:div>
    <w:div w:id="1335373547">
      <w:bodyDiv w:val="1"/>
      <w:marLeft w:val="0"/>
      <w:marRight w:val="0"/>
      <w:marTop w:val="0"/>
      <w:marBottom w:val="0"/>
      <w:divBdr>
        <w:top w:val="none" w:sz="0" w:space="0" w:color="auto"/>
        <w:left w:val="none" w:sz="0" w:space="0" w:color="auto"/>
        <w:bottom w:val="none" w:sz="0" w:space="0" w:color="auto"/>
        <w:right w:val="none" w:sz="0" w:space="0" w:color="auto"/>
      </w:divBdr>
    </w:div>
    <w:div w:id="1403601168">
      <w:bodyDiv w:val="1"/>
      <w:marLeft w:val="0"/>
      <w:marRight w:val="0"/>
      <w:marTop w:val="0"/>
      <w:marBottom w:val="0"/>
      <w:divBdr>
        <w:top w:val="none" w:sz="0" w:space="0" w:color="auto"/>
        <w:left w:val="none" w:sz="0" w:space="0" w:color="auto"/>
        <w:bottom w:val="none" w:sz="0" w:space="0" w:color="auto"/>
        <w:right w:val="none" w:sz="0" w:space="0" w:color="auto"/>
      </w:divBdr>
    </w:div>
    <w:div w:id="1422605439">
      <w:bodyDiv w:val="1"/>
      <w:marLeft w:val="0"/>
      <w:marRight w:val="0"/>
      <w:marTop w:val="0"/>
      <w:marBottom w:val="0"/>
      <w:divBdr>
        <w:top w:val="none" w:sz="0" w:space="0" w:color="auto"/>
        <w:left w:val="none" w:sz="0" w:space="0" w:color="auto"/>
        <w:bottom w:val="none" w:sz="0" w:space="0" w:color="auto"/>
        <w:right w:val="none" w:sz="0" w:space="0" w:color="auto"/>
      </w:divBdr>
    </w:div>
    <w:div w:id="1451969925">
      <w:bodyDiv w:val="1"/>
      <w:marLeft w:val="0"/>
      <w:marRight w:val="0"/>
      <w:marTop w:val="0"/>
      <w:marBottom w:val="0"/>
      <w:divBdr>
        <w:top w:val="none" w:sz="0" w:space="0" w:color="auto"/>
        <w:left w:val="none" w:sz="0" w:space="0" w:color="auto"/>
        <w:bottom w:val="none" w:sz="0" w:space="0" w:color="auto"/>
        <w:right w:val="none" w:sz="0" w:space="0" w:color="auto"/>
      </w:divBdr>
    </w:div>
    <w:div w:id="1471510169">
      <w:bodyDiv w:val="1"/>
      <w:marLeft w:val="0"/>
      <w:marRight w:val="0"/>
      <w:marTop w:val="0"/>
      <w:marBottom w:val="0"/>
      <w:divBdr>
        <w:top w:val="none" w:sz="0" w:space="0" w:color="auto"/>
        <w:left w:val="none" w:sz="0" w:space="0" w:color="auto"/>
        <w:bottom w:val="none" w:sz="0" w:space="0" w:color="auto"/>
        <w:right w:val="none" w:sz="0" w:space="0" w:color="auto"/>
      </w:divBdr>
    </w:div>
    <w:div w:id="1500274772">
      <w:bodyDiv w:val="1"/>
      <w:marLeft w:val="0"/>
      <w:marRight w:val="0"/>
      <w:marTop w:val="0"/>
      <w:marBottom w:val="0"/>
      <w:divBdr>
        <w:top w:val="none" w:sz="0" w:space="0" w:color="auto"/>
        <w:left w:val="none" w:sz="0" w:space="0" w:color="auto"/>
        <w:bottom w:val="none" w:sz="0" w:space="0" w:color="auto"/>
        <w:right w:val="none" w:sz="0" w:space="0" w:color="auto"/>
      </w:divBdr>
    </w:div>
    <w:div w:id="1531727570">
      <w:bodyDiv w:val="1"/>
      <w:marLeft w:val="0"/>
      <w:marRight w:val="0"/>
      <w:marTop w:val="0"/>
      <w:marBottom w:val="0"/>
      <w:divBdr>
        <w:top w:val="none" w:sz="0" w:space="0" w:color="auto"/>
        <w:left w:val="none" w:sz="0" w:space="0" w:color="auto"/>
        <w:bottom w:val="none" w:sz="0" w:space="0" w:color="auto"/>
        <w:right w:val="none" w:sz="0" w:space="0" w:color="auto"/>
      </w:divBdr>
    </w:div>
    <w:div w:id="1774402541">
      <w:bodyDiv w:val="1"/>
      <w:marLeft w:val="0"/>
      <w:marRight w:val="0"/>
      <w:marTop w:val="0"/>
      <w:marBottom w:val="0"/>
      <w:divBdr>
        <w:top w:val="none" w:sz="0" w:space="0" w:color="auto"/>
        <w:left w:val="none" w:sz="0" w:space="0" w:color="auto"/>
        <w:bottom w:val="none" w:sz="0" w:space="0" w:color="auto"/>
        <w:right w:val="none" w:sz="0" w:space="0" w:color="auto"/>
      </w:divBdr>
    </w:div>
    <w:div w:id="1776561507">
      <w:bodyDiv w:val="1"/>
      <w:marLeft w:val="0"/>
      <w:marRight w:val="0"/>
      <w:marTop w:val="0"/>
      <w:marBottom w:val="0"/>
      <w:divBdr>
        <w:top w:val="none" w:sz="0" w:space="0" w:color="auto"/>
        <w:left w:val="none" w:sz="0" w:space="0" w:color="auto"/>
        <w:bottom w:val="none" w:sz="0" w:space="0" w:color="auto"/>
        <w:right w:val="none" w:sz="0" w:space="0" w:color="auto"/>
      </w:divBdr>
    </w:div>
    <w:div w:id="1798142065">
      <w:bodyDiv w:val="1"/>
      <w:marLeft w:val="0"/>
      <w:marRight w:val="0"/>
      <w:marTop w:val="0"/>
      <w:marBottom w:val="0"/>
      <w:divBdr>
        <w:top w:val="none" w:sz="0" w:space="0" w:color="auto"/>
        <w:left w:val="none" w:sz="0" w:space="0" w:color="auto"/>
        <w:bottom w:val="none" w:sz="0" w:space="0" w:color="auto"/>
        <w:right w:val="none" w:sz="0" w:space="0" w:color="auto"/>
      </w:divBdr>
    </w:div>
    <w:div w:id="1852911680">
      <w:bodyDiv w:val="1"/>
      <w:marLeft w:val="0"/>
      <w:marRight w:val="0"/>
      <w:marTop w:val="0"/>
      <w:marBottom w:val="0"/>
      <w:divBdr>
        <w:top w:val="none" w:sz="0" w:space="0" w:color="auto"/>
        <w:left w:val="none" w:sz="0" w:space="0" w:color="auto"/>
        <w:bottom w:val="none" w:sz="0" w:space="0" w:color="auto"/>
        <w:right w:val="none" w:sz="0" w:space="0" w:color="auto"/>
      </w:divBdr>
    </w:div>
    <w:div w:id="1862472629">
      <w:bodyDiv w:val="1"/>
      <w:marLeft w:val="0"/>
      <w:marRight w:val="0"/>
      <w:marTop w:val="0"/>
      <w:marBottom w:val="0"/>
      <w:divBdr>
        <w:top w:val="none" w:sz="0" w:space="0" w:color="auto"/>
        <w:left w:val="none" w:sz="0" w:space="0" w:color="auto"/>
        <w:bottom w:val="none" w:sz="0" w:space="0" w:color="auto"/>
        <w:right w:val="none" w:sz="0" w:space="0" w:color="auto"/>
      </w:divBdr>
    </w:div>
    <w:div w:id="1982998562">
      <w:bodyDiv w:val="1"/>
      <w:marLeft w:val="0"/>
      <w:marRight w:val="0"/>
      <w:marTop w:val="0"/>
      <w:marBottom w:val="0"/>
      <w:divBdr>
        <w:top w:val="none" w:sz="0" w:space="0" w:color="auto"/>
        <w:left w:val="none" w:sz="0" w:space="0" w:color="auto"/>
        <w:bottom w:val="none" w:sz="0" w:space="0" w:color="auto"/>
        <w:right w:val="none" w:sz="0" w:space="0" w:color="auto"/>
      </w:divBdr>
    </w:div>
    <w:div w:id="2038965097">
      <w:bodyDiv w:val="1"/>
      <w:marLeft w:val="0"/>
      <w:marRight w:val="0"/>
      <w:marTop w:val="0"/>
      <w:marBottom w:val="0"/>
      <w:divBdr>
        <w:top w:val="none" w:sz="0" w:space="0" w:color="auto"/>
        <w:left w:val="none" w:sz="0" w:space="0" w:color="auto"/>
        <w:bottom w:val="none" w:sz="0" w:space="0" w:color="auto"/>
        <w:right w:val="none" w:sz="0" w:space="0" w:color="auto"/>
      </w:divBdr>
    </w:div>
    <w:div w:id="2087612049">
      <w:bodyDiv w:val="1"/>
      <w:marLeft w:val="0"/>
      <w:marRight w:val="0"/>
      <w:marTop w:val="0"/>
      <w:marBottom w:val="0"/>
      <w:divBdr>
        <w:top w:val="none" w:sz="0" w:space="0" w:color="auto"/>
        <w:left w:val="none" w:sz="0" w:space="0" w:color="auto"/>
        <w:bottom w:val="none" w:sz="0" w:space="0" w:color="auto"/>
        <w:right w:val="none" w:sz="0" w:space="0" w:color="auto"/>
      </w:divBdr>
    </w:div>
    <w:div w:id="2102027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uncionpublica.gov.co/eva/gestornormativo/norma.php?i=4998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TotalTime>
  <Pages>40</Pages>
  <Words>18135</Words>
  <Characters>99748</Characters>
  <Application>Microsoft Office Word</Application>
  <DocSecurity>0</DocSecurity>
  <Lines>831</Lines>
  <Paragraphs>235</Paragraphs>
  <ScaleCrop>false</ScaleCrop>
  <HeadingPairs>
    <vt:vector size="2" baseType="variant">
      <vt:variant>
        <vt:lpstr>Título</vt:lpstr>
      </vt:variant>
      <vt:variant>
        <vt:i4>1</vt:i4>
      </vt:variant>
    </vt:vector>
  </HeadingPairs>
  <TitlesOfParts>
    <vt:vector size="1" baseType="lpstr">
      <vt:lpstr>Propuesta de investigación integrada - Matemáticas I</vt:lpstr>
    </vt:vector>
  </TitlesOfParts>
  <Company/>
  <LinksUpToDate>false</LinksUpToDate>
  <CharactersWithSpaces>117648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investigación v35 para Comité de Bioética</dc:title>
  <dc:subject>Matriz APOS y prototipo de cuestionario formativo adaptativo integrados</dc:subject>
  <dc:creator>Eder Santiago Martelo Gómez</dc:creator>
  <dc:description>Versión 23: integra resultados preliminares de diseño y anexos completos.</dc:description>
  <cp:lastModifiedBy>SANTIAGO MARTELO</cp:lastModifiedBy>
  <cp:revision>15</cp:revision>
  <dcterms:created xsi:type="dcterms:W3CDTF">2026-05-27T20:36:00Z</dcterms:created>
  <dcterms:modified xsi:type="dcterms:W3CDTF">2026-09-03T14:26:00Z</dcterms:modified>
</cp:coreProperties>
</file>