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02">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sz w:val="24"/>
          <w:szCs w:val="24"/>
          <w:rtl w:val="0"/>
        </w:rPr>
        <w:t xml:space="preserve">UNIVERSIDADE FEDERAL DE ALAGOAS</w:t>
        <w:br w:type="textWrapping"/>
      </w:r>
      <w:r w:rsidDel="00000000" w:rsidR="00000000" w:rsidRPr="00000000">
        <w:rPr>
          <w:i w:val="1"/>
          <w:iCs w:val="1"/>
          <w:sz w:val="24"/>
          <w:szCs w:val="24"/>
          <w:rtl w:val="0"/>
        </w:rPr>
        <w:t xml:space="preserve">CAMPUS</w:t>
      </w:r>
      <w:r w:rsidDel="00000000" w:rsidR="00000000" w:rsidRPr="00000000">
        <w:rPr>
          <w:sz w:val="24"/>
          <w:szCs w:val="24"/>
          <w:rtl w:val="0"/>
        </w:rPr>
        <w:t xml:space="preserve"> ARAPIRACA</w:t>
        <w:br w:type="textWrapping"/>
        <w:t xml:space="preserve">UNIDADE EDUCACIONAL PENEDO</w:t>
        <w:br w:type="textWrapping"/>
        <w:t xml:space="preserve">CURSO DE BACHARELADO EM SISTEMAS DE INFORMAÇÃO</w:t>
        <w:br w:type="textWrapping"/>
        <w:t xml:space="preserve">6º PERÍODO</w:t>
      </w:r>
      <w:r w:rsidDel="00000000" w:rsidR="00000000" w:rsidRPr="00000000">
        <w:rPr>
          <w:b w:val="1"/>
          <w:bCs w:val="1"/>
          <w:sz w:val="24"/>
          <w:szCs w:val="24"/>
          <w:rtl w:val="0"/>
        </w:rPr>
        <w:t xml:space="preserve"> </w:t>
      </w:r>
    </w:p>
    <w:p w:rsidR="00000000" w:rsidDel="00000000" w:rsidP="00000000" w:rsidRDefault="00000000" w:rsidRPr="00000000" w14:paraId="00000004">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05">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06">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24"/>
          <w:szCs w:val="24"/>
        </w:rPr>
      </w:pPr>
      <w:r w:rsidDel="00000000" w:rsidR="00000000" w:rsidRPr="00000000">
        <w:rPr>
          <w:sz w:val="24"/>
          <w:szCs w:val="24"/>
          <w:rtl w:val="0"/>
        </w:rPr>
        <w:br w:type="textWrapping"/>
        <w:t xml:space="preserve">JOSÉ GABRIEL FIDELES SILVA</w:t>
        <w:br w:type="textWrapping"/>
      </w:r>
      <w:r w:rsidDel="00000000" w:rsidR="00000000" w:rsidRPr="00000000">
        <w:rPr>
          <w:rtl w:val="0"/>
        </w:rPr>
      </w:r>
    </w:p>
    <w:p w:rsidR="00000000" w:rsidDel="00000000" w:rsidP="00000000" w:rsidRDefault="00000000" w:rsidRPr="00000000" w14:paraId="00000008">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24"/>
          <w:szCs w:val="24"/>
        </w:rPr>
      </w:pPr>
      <w:r w:rsidDel="00000000" w:rsidR="00000000" w:rsidRPr="00000000">
        <w:rPr>
          <w:b w:val="1"/>
          <w:bCs w:val="1"/>
          <w:sz w:val="24"/>
          <w:szCs w:val="24"/>
          <w:rtl w:val="0"/>
        </w:rPr>
        <w:t xml:space="preserve">CIÊNCIA DOS DADOS E INTELIGÊNCIA EMPRESARIAL</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b w:val="1"/>
          <w:bCs w:val="1"/>
          <w:sz w:val="24"/>
          <w:szCs w:val="24"/>
          <w:rtl w:val="0"/>
        </w:rPr>
        <w:t xml:space="preserve">ATIVIDADE PRÁTICA</w:t>
      </w:r>
    </w:p>
    <w:p w:rsidR="00000000" w:rsidDel="00000000" w:rsidP="00000000" w:rsidRDefault="00000000" w:rsidRPr="00000000" w14:paraId="00000010">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1">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2">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3">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4">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5">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6">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Penedo - AL</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center"/>
        <w:rPr>
          <w:sz w:val="24"/>
          <w:szCs w:val="24"/>
        </w:rPr>
      </w:pPr>
      <w:r w:rsidDel="00000000" w:rsidR="00000000" w:rsidRPr="00000000">
        <w:rPr>
          <w:sz w:val="24"/>
          <w:szCs w:val="24"/>
          <w:rtl w:val="0"/>
        </w:rPr>
        <w:t xml:space="preserve">JOSÉ GABRIEL FIDELES SILVA</w:t>
      </w:r>
    </w:p>
    <w:p w:rsidR="00000000" w:rsidDel="00000000" w:rsidP="00000000" w:rsidRDefault="00000000" w:rsidRPr="00000000" w14:paraId="0000001D">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E">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1F">
      <w:pPr>
        <w:spacing w:line="360" w:lineRule="auto" w:after="0"/>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0">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2">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3">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4">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5">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center"/>
        <w:rPr>
          <w:b w:val="1"/>
          <w:bCs w:val="1"/>
          <w:sz w:val="24"/>
          <w:szCs w:val="24"/>
        </w:rPr>
      </w:pPr>
      <w:r w:rsidDel="00000000" w:rsidR="00000000" w:rsidRPr="00000000">
        <w:rPr>
          <w:b w:val="1"/>
          <w:bCs w:val="1"/>
          <w:sz w:val="24"/>
          <w:szCs w:val="24"/>
          <w:rtl w:val="0"/>
        </w:rPr>
        <w:t xml:space="preserve">CIÊNCIA DOS DADOS E INTELIGÊNCIA EMPRESARIAL</w:t>
      </w:r>
    </w:p>
    <w:p w:rsidR="00000000" w:rsidDel="00000000" w:rsidP="00000000" w:rsidRDefault="00000000" w:rsidRPr="00000000" w14:paraId="00000027">
      <w:pPr>
        <w:spacing w:line="360" w:lineRule="auto"/>
        <w:jc w:val="center"/>
        <w:rPr>
          <w:b w:val="1"/>
          <w:bCs w:val="1"/>
          <w:sz w:val="24"/>
          <w:szCs w:val="24"/>
        </w:rPr>
      </w:pPr>
      <w:r w:rsidDel="00000000" w:rsidR="00000000" w:rsidRPr="00000000">
        <w:rPr>
          <w:b w:val="1"/>
          <w:bCs w:val="1"/>
          <w:sz w:val="24"/>
          <w:szCs w:val="24"/>
          <w:rtl w:val="0"/>
        </w:rPr>
        <w:t xml:space="preserve">ATIVIDADE PRÁTICA</w:t>
      </w:r>
    </w:p>
    <w:p w:rsidR="00000000" w:rsidDel="00000000" w:rsidP="00000000" w:rsidRDefault="00000000" w:rsidRPr="00000000" w14:paraId="00000028">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29">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2A">
      <w:pPr>
        <w:spacing w:line="360" w:lineRule="auto" w:after="0"/>
        <w:jc w:val="center"/>
        <w:rPr>
          <w:sz w:val="24"/>
          <w:szCs w:val="24"/>
        </w:rPr>
      </w:pPr>
      <w:r w:rsidDel="00000000" w:rsidR="00000000" w:rsidRPr="00000000">
        <w:rPr>
          <w:rtl w:val="0"/>
        </w:rPr>
      </w:r>
    </w:p>
    <w:p w:rsidR="00000000" w:rsidDel="00000000" w:rsidP="00000000" w:rsidRDefault="00000000" w:rsidRPr="00000000" w14:paraId="0000002B">
      <w:pPr>
        <w:widowControl w:val="0"/>
        <w:spacing w:line="360" w:lineRule="auto"/>
        <w:ind w:left="4535.433070866142" w:right="28.155517578125" w:firstLine="0"/>
        <w:jc w:val="center"/>
        <w:rPr>
          <w:sz w:val="24"/>
          <w:szCs w:val="24"/>
        </w:rPr>
      </w:pPr>
      <w:r w:rsidDel="00000000" w:rsidR="00000000" w:rsidRPr="00000000">
        <w:rPr>
          <w:sz w:val="24"/>
          <w:szCs w:val="24"/>
          <w:rtl w:val="0"/>
        </w:rPr>
        <w:t xml:space="preserve">Trabalho solicitado na disciplina de  Ciência dos Dados e Inteligência Empresarial, do Curso Bacharelado em Sistemas de Informação da Universidade Federal de Alagoas, </w:t>
      </w:r>
      <w:r w:rsidDel="00000000" w:rsidR="00000000" w:rsidRPr="00000000">
        <w:rPr>
          <w:i w:val="1"/>
          <w:iCs w:val="1"/>
          <w:sz w:val="24"/>
          <w:szCs w:val="24"/>
          <w:rtl w:val="0"/>
        </w:rPr>
        <w:t xml:space="preserve">Campus </w:t>
      </w:r>
      <w:r w:rsidDel="00000000" w:rsidR="00000000" w:rsidRPr="00000000">
        <w:rPr>
          <w:sz w:val="24"/>
          <w:szCs w:val="24"/>
          <w:rtl w:val="0"/>
        </w:rPr>
        <w:t xml:space="preserve">Arapiraca - Unidade Educacional Penedo como requisito para obtenção parcial de nota da AB1. </w:t>
      </w:r>
    </w:p>
    <w:p w:rsidR="00000000" w:rsidDel="00000000" w:rsidP="00000000" w:rsidRDefault="00000000" w:rsidRPr="00000000" w14:paraId="0000002C">
      <w:pPr>
        <w:widowControl w:val="0"/>
        <w:spacing w:line="360" w:lineRule="auto"/>
        <w:ind w:left="4535.433070866142" w:right="28.155517578125" w:firstLine="0"/>
        <w:jc w:val="center"/>
        <w:rPr>
          <w:b w:val="1"/>
          <w:bCs w:val="1"/>
          <w:sz w:val="24"/>
          <w:szCs w:val="24"/>
        </w:rPr>
      </w:pPr>
      <w:r w:rsidDel="00000000" w:rsidR="00000000" w:rsidRPr="00000000">
        <w:rPr>
          <w:sz w:val="24"/>
          <w:szCs w:val="24"/>
          <w:rtl w:val="0"/>
        </w:rPr>
        <w:t xml:space="preserve">Orientado pelo docente Jário José.</w:t>
      </w:r>
      <w:r w:rsidDel="00000000" w:rsidR="00000000" w:rsidRPr="00000000">
        <w:rPr>
          <w:rtl w:val="0"/>
        </w:rPr>
      </w:r>
    </w:p>
    <w:p w:rsidR="00000000" w:rsidDel="00000000" w:rsidP="00000000" w:rsidRDefault="00000000" w:rsidRPr="00000000" w14:paraId="0000002D">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E">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2F">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30">
      <w:pPr>
        <w:spacing w:line="360" w:lineRule="auto" w:after="0"/>
        <w:jc w:val="center"/>
        <w:rPr>
          <w:b w:val="1"/>
          <w:bCs w:val="1"/>
          <w:sz w:val="24"/>
          <w:szCs w:val="24"/>
        </w:rPr>
      </w:pPr>
      <w:r w:rsidDel="00000000" w:rsidR="00000000" w:rsidRPr="00000000">
        <w:rPr>
          <w:rtl w:val="0"/>
        </w:rPr>
      </w:r>
    </w:p>
    <w:p w:rsidR="00000000" w:rsidDel="00000000" w:rsidP="00000000" w:rsidRDefault="00000000" w:rsidRPr="00000000" w14:paraId="00000034">
      <w:pPr>
        <w:spacing w:line="360" w:lineRule="auto"/>
        <w:jc w:val="center"/>
        <w:rPr>
          <w:sz w:val="24"/>
          <w:szCs w:val="24"/>
        </w:rPr>
      </w:pPr>
      <w:r w:rsidDel="00000000" w:rsidR="00000000" w:rsidRPr="00000000">
        <w:rPr>
          <w:sz w:val="24"/>
          <w:szCs w:val="24"/>
          <w:rtl w:val="0"/>
        </w:rPr>
        <w:t xml:space="preserve">Penedo - AL</w:t>
      </w:r>
    </w:p>
    <w:p w:rsidR="00000000" w:rsidDel="00000000" w:rsidP="00000000" w:rsidRDefault="00000000" w:rsidRPr="00000000" w14:paraId="00000035">
      <w:pPr>
        <w:spacing w:line="360" w:lineRule="auto"/>
        <w:jc w:val="center"/>
        <w:rPr>
          <w:sz w:val="24"/>
          <w:szCs w:val="24"/>
        </w:rPr>
      </w:pPr>
      <w:r w:rsidDel="00000000" w:rsidR="00000000" w:rsidRPr="00000000">
        <w:rPr>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both"/>
        <w:rPr>
          <w:b w:val="1"/>
          <w:bCs w:val="1"/>
          <w:sz w:val="24"/>
          <w:szCs w:val="24"/>
        </w:rPr>
      </w:pPr>
      <w:r w:rsidDel="00000000" w:rsidR="00000000" w:rsidRPr="00000000">
        <w:rPr>
          <w:b w:val="1"/>
          <w:bCs w:val="1"/>
          <w:sz w:val="24"/>
          <w:szCs w:val="24"/>
          <w:rtl w:val="0"/>
        </w:rPr>
        <w:t xml:space="preserve">SUMÁRIO</w:t>
      </w:r>
      <w:r w:rsidDel="00000000" w:rsidR="00000000" w:rsidRPr="00000000">
        <w:rPr>
          <w:rtl w:val="0"/>
        </w:rPr>
      </w:r>
    </w:p>
    <w:sdt>
      <w:sdtPr>
        <w:id w:val="421858339"/>
        <w:docPartObj>
          <w:docPartGallery w:val="Table of Contents"/>
          <w:docPartUnique w:val="1"/>
        </w:docPartObj>
      </w:sdtPr>
      <w:sdtContent>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RESUMO</w:t>
            <w:tab/>
            <w:t>4</w:t>
          </w:r>
        </w:p>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1. Introdução e Contexto</w:t>
            <w:tab/>
            <w:t>6</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1.1 Motivação</w:t>
            <w:tab/>
            <w:t>6</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1.2 Base de dados</w:t>
            <w:tab/>
            <w:t>6</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1.3 Objetivo geral e perguntas de negócio</w:t>
            <w:tab/>
            <w:t>6</w:t>
          </w:r>
        </w:p>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2. Metodologia</w:t>
            <w:tab/>
            <w:t>8</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2.1 Ferramentas</w:t>
            <w:tab/>
            <w:t>8</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2.2 Etapas do tratamento dos dados</w:t>
            <w:tab/>
            <w:t>8</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2.3 Tipagem das variáveis</w:t>
            <w:tab/>
            <w:t>9</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2.4 Procedimentos estatísticos</w:t>
            <w:tab/>
            <w:t>9</w:t>
          </w:r>
        </w:p>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3. Análise Descritiva e Exploratória</w:t>
            <w:tab/>
            <w:t>11</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3.1 Variáveis numéricas</w:t>
            <w:tab/>
            <w:t>11</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3.2 Variáveis categóricas</w:t>
            <w:tab/>
            <w:t>12</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3.3 Rotatividade por departamento e cargo (Q1)</w:t>
            <w:tab/>
            <w:t>13</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3.4 Renda e rotatividade (Q2)</w:t>
            <w:tab/>
            <w:t>13</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3.5 Envolvimento e ambiente de trabalho (Q3)</w:t>
            <w:tab/>
            <w:t>14</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3.6 Hora extra (Q4)</w:t>
            <w:tab/>
            <w:t>15</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3.7 Desempenho, envolvimento e reajuste (Q5)</w:t>
            <w:tab/>
            <w:t>16</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3.8 Correlações e perfil de risco</w:t>
            <w:tab/>
            <w:t>16</w:t>
          </w:r>
        </w:p>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4. Análise Inferencial</w:t>
            <w:tab/>
            <w:t>19</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4.1 Q1: Taxa de rotatividade e departamento</w:t>
            <w:tab/>
            <w:t>19</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4.2 Q2: Renda de quem sai × quem fica</w:t>
            <w:tab/>
            <w:t>19</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4.3 Q3: Envolvimento, ambiente, satisfação e vida-trabalho</w:t>
            <w:tab/>
            <w:t>19</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4.4 Q4: Hora extra</w:t>
            <w:tab/>
            <w:t>20</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4.5 Q5: Desempenho, envolvimento e reajuste</w:t>
            <w:tab/>
            <w:t>20</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4.6 Síntese dos resultados inferenciais</w:t>
            <w:tab/>
            <w:t>21</w:t>
          </w:r>
        </w:p>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5. Recomendações Práticas</w:t>
            <w:tab/>
            <w:t>23</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5.1 Plano de ação</w:t>
            <w:tab/>
            <w:t>23</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5.2 Limitações e próximos passos</w:t>
            <w:tab/>
            <w:t>24</w:t>
          </w:r>
        </w:p>
        <w:p w:rsidR="00000000" w:rsidDel="00000000" w:rsidP="00000000" w:rsidRDefault="00000000" w:rsidRPr="00000000" w14:paraId="00000037">
          <w:pPr>
            <w:widowControl w:val="0"/>
            <w:tabs>
              <w:tab w:val="right" w:leader="dot" w:pos="9060"/>
            </w:tabs>
            <w:spacing w:before="100" w:line="240" w:lineRule="auto" w:after="0"/>
            <w:rPr>
              <w:b w:val="1"/>
              <w:bCs w:val="1"/>
            </w:rPr>
          </w:pPr>
          <w:r>
            <w:rPr>
              <w:b/>
              <w:sz w:val="24"/>
            </w:rPr>
            <w:t xml:space="preserve">6. Referências e Apêndices</w:t>
            <w:tab/>
            <w:t>25</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6.1 Referências</w:t>
            <w:tab/>
            <w:t>25</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6.2 Código-fonte e reprodutibilidade</w:t>
            <w:tab/>
            <w:t>25</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Apêndice A – Verificação dos pressupostos</w:t>
            <w:tab/>
            <w:t>25</w:t>
          </w:r>
        </w:p>
        <w:p w:rsidR="00000000" w:rsidDel="00000000" w:rsidP="00000000" w:rsidRDefault="00000000" w:rsidRPr="00000000" w14:paraId="00000037">
          <w:pPr>
            <w:widowControl w:val="0"/>
            <w:tabs>
              <w:tab w:val="right" w:leader="dot" w:pos="9060"/>
            </w:tabs>
            <w:spacing w:before="40" w:line="240" w:lineRule="auto" w:after="0"/>
            <w:rPr>
              <w:b w:val="1"/>
              <w:bCs w:val="1"/>
            </w:rPr>
            <w:ind w:left="360"/>
          </w:pPr>
          <w:r>
            <w:rPr>
              <w:sz w:val="24"/>
            </w:rPr>
            <w:t xml:space="preserve">Apêndice B – Dicionário de dados resumido</w:t>
            <w:tab/>
            <w:t>26</w:t>
          </w:r>
        </w:p>
      </w:sdtContent>
    </w:sdt>
    <w:p w:rsidR="00000000" w:rsidDel="00000000" w:rsidP="00000000" w:rsidRDefault="00000000" w:rsidRPr="00000000" w14:paraId="00000043">
      <w:pPr>
        <w:pStyle w:val="Heading1"/>
        <w:spacing w:after="0" w:before="0" w:line="360" w:lineRule="auto"/>
        <w:jc w:val="both"/>
        <w:rPr>
          <w:sz w:val="24"/>
          <w:szCs w:val="24"/>
        </w:rPr>
      </w:pPr>
      <w:bookmarkStart w:colFirst="0" w:colLast="0" w:name="_sjxxzqy1fxka" w:id="0"/>
      <w:bookmarkEnd w:id="0"/>
      <w:r w:rsidDel="00000000" w:rsidR="00000000" w:rsidRPr="00000000">
        <w:br w:type="page"/>
      </w:r>
      <w:r w:rsidDel="00000000" w:rsidR="00000000" w:rsidRPr="00000000">
        <w:rPr>
          <w:sz w:val="24"/>
          <w:szCs w:val="24"/>
          <w:rtl w:val="0"/>
        </w:rPr>
        <w:t xml:space="preserve"> </w:t>
      </w:r>
    </w:p>
    <w:p w:rsidR="00000000" w:rsidDel="00000000" w:rsidP="00000000" w:rsidRDefault="00000000" w:rsidRPr="00000000" w14:paraId="00000044">
      <w:pPr>
        <w:pStyle w:val="Heading1"/>
        <w:spacing w:after="0" w:before="0" w:line="360" w:lineRule="auto"/>
        <w:jc w:val="both"/>
        <w:rPr>
          <w:sz w:val="24"/>
          <w:szCs w:val="24"/>
        </w:rPr>
      </w:pPr>
      <w:bookmarkStart w:colFirst="0" w:colLast="0" w:name="_dnv1dtd8ct2" w:id="1"/>
      <w:bookmarkEnd w:id="1"/>
      <w:r w:rsidDel="00000000" w:rsidR="00000000" w:rsidRPr="00000000">
        <w:rPr>
          <w:sz w:val="24"/>
          <w:szCs w:val="24"/>
          <w:rtl w:val="0"/>
        </w:rPr>
        <w:t xml:space="preserve">RESUMO</w:t>
      </w:r>
    </w:p>
    <w:p>
      <w:pPr>
        <w:spacing w:line="240" w:lineRule="auto" w:after="160" w:before="0"/>
        <w:jc w:val="both"/>
      </w:pPr>
      <w:r>
        <w:rPr>
          <w:rFonts w:ascii="Arial" w:hAnsi="Arial"/>
          <w:sz w:val="24"/>
        </w:rPr>
        <w:t xml:space="preserve">Este relatório investiga os fatores associados à rotatividade voluntária de funcionários a partir da base IBM HR Analytics (1.470 funcionários, 35 variáveis). O objetivo é apoiar a área de Gestão de Pessoas na priorização de ações de retenção com base em evidências estatísticas. Após o diagnóstico de qualidade e a limpeza dos dados, foram aplicadas estatística descritiva e cinco procedimentos inferenciais (intervalo de confiança, teste t, ANOVA, qui-quadrado e teste de correlação, com α = 0,05). A taxa de rotatividade é de </w:t>
      </w:r>
      <w:r>
        <w:rPr>
          <w:rFonts w:ascii="Arial" w:hAnsi="Arial"/>
          <w:b/>
          <w:sz w:val="24"/>
        </w:rPr>
        <w:t>16,1%</w:t>
      </w:r>
      <w:r>
        <w:rPr>
          <w:rFonts w:ascii="Arial" w:hAnsi="Arial"/>
          <w:sz w:val="24"/>
        </w:rPr>
        <w:t xml:space="preserve"> (IC 95%: 14,3% a 18,1%). O </w:t>
      </w:r>
      <w:r>
        <w:rPr>
          <w:rFonts w:ascii="Arial" w:hAnsi="Arial"/>
          <w:b/>
          <w:sz w:val="24"/>
        </w:rPr>
        <w:t>principal achado</w:t>
      </w:r>
      <w:r>
        <w:rPr>
          <w:rFonts w:ascii="Arial" w:hAnsi="Arial"/>
          <w:sz w:val="24"/>
        </w:rPr>
        <w:t xml:space="preserve"> é que funcionários que fazem hora extra saem </w:t>
      </w:r>
      <w:r>
        <w:rPr>
          <w:rFonts w:ascii="Arial" w:hAnsi="Arial"/>
          <w:b/>
          <w:sz w:val="24"/>
        </w:rPr>
        <w:t>2,9 vezes mais</w:t>
      </w:r>
      <w:r>
        <w:rPr>
          <w:rFonts w:ascii="Arial" w:hAnsi="Arial"/>
          <w:sz w:val="24"/>
        </w:rPr>
        <w:t xml:space="preserve"> (30,5% contra 10,4%; p &lt; 0,001). Baixo envolvimento com o trabalho (33,7% de saída), baixa satisfação com o ambiente, equilíbrio vida-trabalho ruim e cargos de entrada, de menor renda, também estão associados à saída. Já o reajuste salarial depende apenas da nota de desempenho, que não diferencia quem sai de quem fica. A </w:t>
      </w:r>
      <w:r>
        <w:rPr>
          <w:rFonts w:ascii="Arial" w:hAnsi="Arial"/>
          <w:b/>
          <w:sz w:val="24"/>
        </w:rPr>
        <w:t>principal recomendação</w:t>
      </w:r>
      <w:r>
        <w:rPr>
          <w:rFonts w:ascii="Arial" w:hAnsi="Arial"/>
          <w:sz w:val="24"/>
        </w:rPr>
        <w:t xml:space="preserve"> é implantar a gestão ativa de horas extras, combinada a um programa de retenção para cargos de entrada e a um sistema de alerta baseado em pesquisas de clima.</w:t>
      </w:r>
    </w:p>
    <w:p>
      <w:pPr>
        <w:keepNext/>
        <w:spacing w:line="240" w:lineRule="auto" w:before="120" w:after="40"/>
        <w:jc w:val="center"/>
      </w:pPr>
      <w:r>
        <w:rPr>
          <w:rFonts w:ascii="Arial" w:hAnsi="Arial"/>
          <w:b/>
          <w:sz w:val="20"/>
        </w:rPr>
        <w:t>Tabela 1</w:t>
      </w:r>
      <w:r>
        <w:rPr>
          <w:rFonts w:ascii="Arial" w:hAnsi="Arial"/>
          <w:sz w:val="20"/>
        </w:rPr>
        <w:t xml:space="preserve"> – Indicadores-chave do estudo</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2268"/>
        <w:gridCol w:w="2268"/>
        <w:gridCol w:w="2268"/>
        <w:gridCol w:w="2268"/>
      </w:tblGrid>
      <w:tr>
        <w:trPr>
          <w:tblHeader w:val="true"/>
          <w:cantSplit/>
        </w:trPr>
        <w:tc>
          <w:tcPr>
            <w:tcW w:type="dxa" w:w="2268"/>
            <w:shd w:val="clear" w:color="auto" w:fill="E8EEF7"/>
          </w:tcPr>
          <w:p>
            <w:pPr>
              <w:spacing w:after="20" w:before="20" w:line="240" w:lineRule="auto"/>
              <w:jc w:val="left"/>
            </w:pPr>
            <w:r/>
            <w:r>
              <w:rPr>
                <w:rFonts w:ascii="Arial" w:hAnsi="Arial"/>
                <w:b/>
                <w:sz w:val="20"/>
              </w:rPr>
              <w:t>Rotatividade</w:t>
            </w:r>
          </w:p>
        </w:tc>
        <w:tc>
          <w:tcPr>
            <w:tcW w:type="dxa" w:w="2268"/>
            <w:shd w:val="clear" w:color="auto" w:fill="E8EEF7"/>
          </w:tcPr>
          <w:p>
            <w:pPr>
              <w:spacing w:after="20" w:before="20" w:line="240" w:lineRule="auto"/>
              <w:jc w:val="left"/>
            </w:pPr>
            <w:r/>
            <w:r>
              <w:rPr>
                <w:rFonts w:ascii="Arial" w:hAnsi="Arial"/>
                <w:b/>
                <w:sz w:val="20"/>
              </w:rPr>
              <w:t>Hora extra</w:t>
            </w:r>
          </w:p>
        </w:tc>
        <w:tc>
          <w:tcPr>
            <w:tcW w:type="dxa" w:w="2268"/>
            <w:shd w:val="clear" w:color="auto" w:fill="E8EEF7"/>
          </w:tcPr>
          <w:p>
            <w:pPr>
              <w:spacing w:after="20" w:before="20" w:line="240" w:lineRule="auto"/>
              <w:jc w:val="left"/>
            </w:pPr>
            <w:r/>
            <w:r>
              <w:rPr>
                <w:rFonts w:ascii="Arial" w:hAnsi="Arial"/>
                <w:b/>
                <w:sz w:val="20"/>
              </w:rPr>
              <w:t>Envolvimento</w:t>
            </w:r>
          </w:p>
        </w:tc>
        <w:tc>
          <w:tcPr>
            <w:tcW w:type="dxa" w:w="2268"/>
            <w:shd w:val="clear" w:color="auto" w:fill="E8EEF7"/>
          </w:tcPr>
          <w:p>
            <w:pPr>
              <w:spacing w:after="20" w:before="20" w:line="240" w:lineRule="auto"/>
              <w:jc w:val="left"/>
            </w:pPr>
            <w:r/>
            <w:r>
              <w:rPr>
                <w:rFonts w:ascii="Arial" w:hAnsi="Arial"/>
                <w:b/>
                <w:sz w:val="20"/>
              </w:rPr>
              <w:t>Renda</w:t>
            </w:r>
          </w:p>
        </w:tc>
      </w:tr>
      <w:tr>
        <w:trPr>
          <w:cantSplit/>
        </w:trPr>
        <w:tc>
          <w:tcPr>
            <w:tcW w:type="dxa" w:w="2268"/>
          </w:tcPr>
          <w:p>
            <w:pPr>
              <w:spacing w:after="20" w:before="20" w:line="240" w:lineRule="auto"/>
              <w:jc w:val="left"/>
            </w:pPr>
            <w:r/>
            <w:r>
              <w:rPr>
                <w:rFonts w:ascii="Arial" w:hAnsi="Arial"/>
                <w:sz w:val="20"/>
              </w:rPr>
              <w:t>16,1%</w:t>
            </w:r>
          </w:p>
        </w:tc>
        <w:tc>
          <w:tcPr>
            <w:tcW w:type="dxa" w:w="2268"/>
          </w:tcPr>
          <w:p>
            <w:pPr>
              <w:spacing w:after="20" w:before="20" w:line="240" w:lineRule="auto"/>
              <w:jc w:val="left"/>
            </w:pPr>
            <w:r/>
            <w:r>
              <w:rPr>
                <w:rFonts w:ascii="Arial" w:hAnsi="Arial"/>
                <w:sz w:val="20"/>
              </w:rPr>
              <w:t>2,9×</w:t>
            </w:r>
          </w:p>
        </w:tc>
        <w:tc>
          <w:tcPr>
            <w:tcW w:type="dxa" w:w="2268"/>
          </w:tcPr>
          <w:p>
            <w:pPr>
              <w:spacing w:after="20" w:before="20" w:line="240" w:lineRule="auto"/>
              <w:jc w:val="left"/>
            </w:pPr>
            <w:r/>
            <w:r>
              <w:rPr>
                <w:rFonts w:ascii="Arial" w:hAnsi="Arial"/>
                <w:sz w:val="20"/>
              </w:rPr>
              <w:t>33,7%</w:t>
            </w:r>
          </w:p>
        </w:tc>
        <w:tc>
          <w:tcPr>
            <w:tcW w:type="dxa" w:w="2268"/>
          </w:tcPr>
          <w:p>
            <w:pPr>
              <w:spacing w:after="20" w:before="20" w:line="240" w:lineRule="auto"/>
              <w:jc w:val="left"/>
            </w:pPr>
            <w:r/>
            <w:r>
              <w:rPr>
                <w:rFonts w:ascii="Arial" w:hAnsi="Arial"/>
                <w:sz w:val="20"/>
              </w:rPr>
              <w:t>29,3%</w:t>
            </w:r>
          </w:p>
        </w:tc>
      </w:tr>
      <w:tr>
        <w:trPr>
          <w:cantSplit/>
        </w:trPr>
        <w:tc>
          <w:tcPr>
            <w:tcW w:type="dxa" w:w="2268"/>
          </w:tcPr>
          <w:p>
            <w:pPr>
              <w:spacing w:after="20" w:before="20" w:line="240" w:lineRule="auto"/>
              <w:jc w:val="left"/>
            </w:pPr>
            <w:r/>
            <w:r>
              <w:rPr>
                <w:rFonts w:ascii="Arial" w:hAnsi="Arial"/>
                <w:sz w:val="20"/>
              </w:rPr>
              <w:t>taxa de rotatividade</w:t>
            </w:r>
          </w:p>
        </w:tc>
        <w:tc>
          <w:tcPr>
            <w:tcW w:type="dxa" w:w="2268"/>
          </w:tcPr>
          <w:p>
            <w:pPr>
              <w:spacing w:after="20" w:before="20" w:line="240" w:lineRule="auto"/>
              <w:jc w:val="left"/>
            </w:pPr>
            <w:r/>
            <w:r>
              <w:rPr>
                <w:rFonts w:ascii="Arial" w:hAnsi="Arial"/>
                <w:sz w:val="20"/>
              </w:rPr>
              <w:t>risco de saída com hora extra</w:t>
            </w:r>
          </w:p>
        </w:tc>
        <w:tc>
          <w:tcPr>
            <w:tcW w:type="dxa" w:w="2268"/>
          </w:tcPr>
          <w:p>
            <w:pPr>
              <w:spacing w:after="20" w:before="20" w:line="240" w:lineRule="auto"/>
              <w:jc w:val="left"/>
            </w:pPr>
            <w:r/>
            <w:r>
              <w:rPr>
                <w:rFonts w:ascii="Arial" w:hAnsi="Arial"/>
                <w:sz w:val="20"/>
              </w:rPr>
              <w:t>saída com envolvimento baixo</w:t>
            </w:r>
          </w:p>
        </w:tc>
        <w:tc>
          <w:tcPr>
            <w:tcW w:type="dxa" w:w="2268"/>
          </w:tcPr>
          <w:p>
            <w:pPr>
              <w:spacing w:after="20" w:before="20" w:line="240" w:lineRule="auto"/>
              <w:jc w:val="left"/>
            </w:pPr>
            <w:r/>
            <w:r>
              <w:rPr>
                <w:rFonts w:ascii="Arial" w:hAnsi="Arial"/>
                <w:sz w:val="20"/>
              </w:rPr>
              <w:t>saída no quartil de menor renda</w:t>
            </w:r>
          </w:p>
        </w:tc>
      </w:tr>
    </w:tbl>
    <w:p>
      <w:pPr>
        <w:keepNext w:val="0"/>
        <w:spacing w:line="240" w:lineRule="auto" w:before="40" w:after="200"/>
        <w:jc w:val="left"/>
      </w:pPr>
      <w:r>
        <w:rPr>
          <w:rFonts w:ascii="Arial" w:hAnsi="Arial"/>
          <w:sz w:val="20"/>
        </w:rPr>
        <w:t>Fonte: elaboração própria a partir de IBM HR Analytics (Kaggle, 2017).</w:t>
      </w:r>
    </w:p>
    <w:p w:rsidR="00000000" w:rsidDel="00000000" w:rsidP="00000000" w:rsidRDefault="00000000" w:rsidRPr="00000000" w14:paraId="00000045">
      <w:pPr>
        <w:spacing w:after="180" w:before="180" w:line="360" w:lineRule="auto"/>
        <w:jc w:val="both"/>
        <w:rPr>
          <w:sz w:val="24"/>
          <w:szCs w:val="24"/>
        </w:rPr>
      </w:pPr>
      <w:r w:rsidDel="00000000" w:rsidR="00000000" w:rsidRPr="00000000">
        <w:rPr>
          <w:rtl w:val="0"/>
        </w:rPr>
      </w:r>
    </w:p>
    <w:p w:rsidR="00000000" w:rsidDel="00000000" w:rsidP="00000000" w:rsidRDefault="00000000" w:rsidRPr="00000000" w14:paraId="00000046">
      <w:pPr>
        <w:spacing w:after="180" w:before="180" w:line="360" w:lineRule="auto"/>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w:t>
      </w:r>
      <w:r>
        <w:rPr>
          <w:rFonts w:ascii="Arial" w:hAnsi="Arial"/>
          <w:sz w:val="24"/>
        </w:rPr>
        <w:t>Rotatividade de pessoal; People Analytics; Teste de hipóteses; Inteligência empresarial; Gestão de pessoas.</w:t>
      </w:r>
    </w:p>
    <w:p w:rsidR="00000000" w:rsidDel="00000000" w:rsidP="00000000" w:rsidRDefault="00000000" w:rsidRPr="00000000" w14:paraId="00000047">
      <w:pPr>
        <w:spacing w:line="360" w:lineRule="auto"/>
        <w:jc w:val="both"/>
        <w:rPr>
          <w:sz w:val="24"/>
          <w:szCs w:val="24"/>
        </w:rPr>
      </w:pPr>
      <w:r w:rsidDel="00000000" w:rsidR="00000000" w:rsidRPr="00000000">
        <w:rPr>
          <w:rtl w:val="0"/>
        </w:rPr>
      </w:r>
    </w:p>
    <w:p w:rsidR="00000000" w:rsidDel="00000000" w:rsidP="00000000" w:rsidRDefault="00000000" w:rsidRPr="00000000" w14:paraId="00000048">
      <w:pPr>
        <w:pStyle w:val="Heading2"/>
        <w:spacing w:after="0" w:before="0" w:line="360" w:lineRule="auto"/>
        <w:jc w:val="both"/>
        <w:rPr>
          <w:b w:val="0"/>
          <w:bCs w:val="0"/>
          <w:sz w:val="24"/>
          <w:szCs w:val="24"/>
        </w:rPr>
      </w:pPr>
      <w:bookmarkStart w:colFirst="0" w:colLast="0" w:name="_qtymgccscwuq" w:id="2"/>
      <w:bookmarkEnd w:id="2"/>
      <w:r w:rsidDel="00000000" w:rsidR="00000000" w:rsidRPr="00000000">
        <w:br w:type="page"/>
      </w:r>
      <w:r w:rsidDel="00000000" w:rsidR="00000000" w:rsidRPr="00000000">
        <w:rPr>
          <w:rtl w:val="0"/>
        </w:rPr>
      </w:r>
    </w:p>
    <w:p w:rsidR="00000000" w:rsidDel="00000000" w:rsidP="00000000" w:rsidRDefault="00000000" w:rsidRPr="00000000" w14:paraId="00000049">
      <w:pPr>
        <w:spacing w:after="240" w:line="360" w:lineRule="auto"/>
        <w:jc w:val="both"/>
        <w:rPr>
          <w:b w:val="1"/>
          <w:bCs w:val="1"/>
          <w:sz w:val="24"/>
          <w:szCs w:val="24"/>
        </w:rPr>
      </w:pPr>
      <w:r w:rsidDel="00000000" w:rsidR="00000000" w:rsidRPr="00000000">
        <w:rPr>
          <w:b w:val="1"/>
          <w:bCs w:val="1"/>
          <w:sz w:val="24"/>
          <w:szCs w:val="24"/>
          <w:rtl w:val="0"/>
        </w:rPr>
        <w:t xml:space="preserve">ABSTRACT</w:t>
      </w:r>
    </w:p>
    <w:p>
      <w:pPr>
        <w:spacing w:line="240" w:lineRule="auto" w:after="160" w:before="0"/>
        <w:jc w:val="both"/>
      </w:pPr>
      <w:r>
        <w:rPr>
          <w:rFonts w:ascii="Arial" w:hAnsi="Arial"/>
          <w:sz w:val="24"/>
        </w:rPr>
        <w:t>This report investigates the factors associated with voluntary employee attrition using the IBM HR Analytics dataset (1,470 employees, 35 variables), aiming to support People Management in prioritizing evidence-based retention actions. After data quality assessment and cleaning, descriptive statistics and five inferential procedures were applied (confidence interval, t-test, ANOVA, chi-square and correlation test, α = 0.05). The attrition rate is 16.1% (95% CI: 14.3% to 18.1%). The main finding is that employees who work overtime leave 2.9 times more often (30.5% vs. 10.4%; p &lt; 0.001). Low job involvement, low environment satisfaction, poor work-life balance and lower-paid entry-level roles are also associated with attrition, while salary raises depend only on the performance rating, which does not distinguish leavers from stayers. The main recommendation is active overtime management, combined with a retention program for entry-level roles and an early-warning system based on engagement surveys.</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w:t>
      </w:r>
      <w:r>
        <w:rPr>
          <w:rFonts w:ascii="Arial" w:hAnsi="Arial"/>
          <w:sz w:val="24"/>
        </w:rPr>
        <w:t>Employee attrition; People Analytics; Hypothesis testing; Business intelligence; Human resources.</w:t>
      </w:r>
    </w:p>
    <w:p w:rsidR="00000000" w:rsidDel="00000000" w:rsidP="00000000" w:rsidRDefault="00000000" w:rsidRPr="00000000" w14:paraId="0000004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pStyle w:val="Heading1"/>
        <w:keepNext w:val="0"/>
        <w:keepLines w:val="0"/>
        <w:spacing w:after="0" w:before="0" w:line="360" w:lineRule="auto"/>
        <w:jc w:val="both"/>
        <w:rPr>
          <w:sz w:val="24"/>
          <w:szCs w:val="24"/>
        </w:rPr>
      </w:pPr>
      <w:bookmarkStart w:colFirst="0" w:colLast="0" w:name="_eldlxgd84df9" w:id="3"/>
      <w:bookmarkEnd w:id="3"/>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0" w:before="0" w:line="360" w:lineRule="auto"/>
        <w:jc w:val="both"/>
        <w:rPr>
          <w:sz w:val="24"/>
          <w:szCs w:val="24"/>
        </w:rPr>
      </w:pPr>
      <w:bookmarkStart w:colFirst="0" w:colLast="0" w:name="_ljn3t0vfz36s" w:id="4"/>
      <w:bookmarkEnd w:id="4"/>
      <w:r w:rsidDel="00000000" w:rsidR="00000000" w:rsidRPr="00000000">
        <w:rPr>
          <w:sz w:val="24"/>
          <w:szCs w:val="24"/>
          <w:rtl w:val="0"/>
        </w:rPr>
        <w:t xml:space="preserve">1. Introdução e Contexto</w:t>
      </w:r>
    </w:p>
    <w:p>
      <w:pPr>
        <w:pStyle w:val="Heading2"/>
        <w:spacing w:before="240" w:after="120"/>
      </w:pPr>
      <w:r>
        <w:rPr>
          <w:b/>
          <w:sz w:val="24"/>
        </w:rPr>
        <w:t>1.1 Motivação</w:t>
      </w:r>
    </w:p>
    <w:p>
      <w:pPr>
        <w:spacing w:line="360" w:lineRule="auto" w:after="120" w:before="0"/>
        <w:ind w:firstLine="709"/>
        <w:jc w:val="both"/>
      </w:pPr>
      <w:r>
        <w:rPr>
          <w:rFonts w:ascii="Arial" w:hAnsi="Arial"/>
          <w:sz w:val="24"/>
        </w:rPr>
        <w:t>A rotatividade voluntária de funcionários (</w:t>
      </w:r>
      <w:r>
        <w:rPr>
          <w:rFonts w:ascii="Arial" w:hAnsi="Arial"/>
          <w:i/>
          <w:sz w:val="24"/>
        </w:rPr>
        <w:t>attrition</w:t>
      </w:r>
      <w:r>
        <w:rPr>
          <w:rFonts w:ascii="Arial" w:hAnsi="Arial"/>
          <w:sz w:val="24"/>
        </w:rPr>
        <w:t xml:space="preserve">) é um dos indicadores mais acompanhados pela área de Gestão de Pessoas. Cada desligamento gera custos diretos (recrutamento, seleção, integração e treinamento do substituto) e indiretos (perda de conhecimento, queda de produtividade e sobrecarga da equipe). Entender </w:t>
      </w:r>
      <w:r>
        <w:rPr>
          <w:rFonts w:ascii="Arial" w:hAnsi="Arial"/>
          <w:b/>
          <w:sz w:val="24"/>
        </w:rPr>
        <w:t>quais fatores estão associados à saída</w:t>
      </w:r>
      <w:r>
        <w:rPr>
          <w:rFonts w:ascii="Arial" w:hAnsi="Arial"/>
          <w:sz w:val="24"/>
        </w:rPr>
        <w:t xml:space="preserve"> permite que a empresa atue de forma preventiva e direcione recursos para os grupos de maior risco, em vez de aplicar ações genéricas a todo o quadro.</w:t>
      </w:r>
    </w:p>
    <w:p>
      <w:pPr>
        <w:spacing w:line="360" w:lineRule="auto" w:after="120" w:before="0"/>
        <w:ind w:firstLine="709"/>
        <w:jc w:val="both"/>
      </w:pPr>
      <w:r>
        <w:rPr>
          <w:rFonts w:ascii="Arial" w:hAnsi="Arial"/>
          <w:sz w:val="24"/>
        </w:rPr>
        <w:t xml:space="preserve">Este trabalho aplica o ciclo de Inteligência Empresarial (coleta, tratamento, análise descritiva, inferência estatística e recomendação) a uma base de Recursos Humanos, com foco em três dimensões controláveis pela gestão: </w:t>
      </w:r>
      <w:r>
        <w:rPr>
          <w:rFonts w:ascii="Arial" w:hAnsi="Arial"/>
          <w:b/>
          <w:sz w:val="24"/>
        </w:rPr>
        <w:t>remuneração</w:t>
      </w:r>
      <w:r>
        <w:rPr>
          <w:rFonts w:ascii="Arial" w:hAnsi="Arial"/>
          <w:sz w:val="24"/>
        </w:rPr>
        <w:t xml:space="preserve">, </w:t>
      </w:r>
      <w:r>
        <w:rPr>
          <w:rFonts w:ascii="Arial" w:hAnsi="Arial"/>
          <w:b/>
          <w:sz w:val="24"/>
        </w:rPr>
        <w:t>envolvimento com o trabalho</w:t>
      </w:r>
      <w:r>
        <w:rPr>
          <w:rFonts w:ascii="Arial" w:hAnsi="Arial"/>
          <w:sz w:val="24"/>
        </w:rPr>
        <w:t xml:space="preserve"> e </w:t>
      </w:r>
      <w:r>
        <w:rPr>
          <w:rFonts w:ascii="Arial" w:hAnsi="Arial"/>
          <w:b/>
          <w:sz w:val="24"/>
        </w:rPr>
        <w:t>ambiente de trabalho</w:t>
      </w:r>
      <w:r>
        <w:rPr>
          <w:rFonts w:ascii="Arial" w:hAnsi="Arial"/>
          <w:sz w:val="24"/>
        </w:rPr>
        <w:t>.</w:t>
      </w:r>
    </w:p>
    <w:p>
      <w:pPr>
        <w:pStyle w:val="Heading2"/>
        <w:spacing w:before="240" w:after="120"/>
      </w:pPr>
      <w:r>
        <w:rPr>
          <w:b/>
          <w:sz w:val="24"/>
        </w:rPr>
        <w:t>1.2 Base de dados</w:t>
      </w:r>
    </w:p>
    <w:p>
      <w:pPr>
        <w:spacing w:line="360" w:lineRule="auto" w:after="120" w:before="0"/>
        <w:ind w:firstLine="709"/>
        <w:jc w:val="both"/>
      </w:pPr>
      <w:r>
        <w:rPr>
          <w:rFonts w:ascii="Arial" w:hAnsi="Arial"/>
          <w:sz w:val="24"/>
        </w:rPr>
        <w:t xml:space="preserve">Foi utilizada a base </w:t>
      </w:r>
      <w:r>
        <w:rPr>
          <w:rFonts w:ascii="Arial" w:hAnsi="Arial"/>
          <w:b/>
          <w:sz w:val="24"/>
        </w:rPr>
        <w:t>IBM HR Analytics Employee Attrition &amp; Performance</w:t>
      </w:r>
      <w:r>
        <w:rPr>
          <w:rFonts w:ascii="Arial" w:hAnsi="Arial"/>
          <w:sz w:val="24"/>
        </w:rPr>
        <w:t xml:space="preserve">, publicada no Kaggle (https://www.kaggle.com/datasets/pavansubhasht/ibm-hr-analytics-attrition-dataset/data). Ela contém </w:t>
      </w:r>
      <w:r>
        <w:rPr>
          <w:rFonts w:ascii="Arial" w:hAnsi="Arial"/>
          <w:b/>
          <w:sz w:val="24"/>
        </w:rPr>
        <w:t>1.470 registros</w:t>
      </w:r>
      <w:r>
        <w:rPr>
          <w:rFonts w:ascii="Arial" w:hAnsi="Arial"/>
          <w:sz w:val="24"/>
        </w:rPr>
        <w:t xml:space="preserve"> (um por funcionário) e </w:t>
      </w:r>
      <w:r>
        <w:rPr>
          <w:rFonts w:ascii="Arial" w:hAnsi="Arial"/>
          <w:b/>
          <w:sz w:val="24"/>
        </w:rPr>
        <w:t>35 variáveis</w:t>
      </w:r>
      <w:r>
        <w:rPr>
          <w:rFonts w:ascii="Arial" w:hAnsi="Arial"/>
          <w:sz w:val="24"/>
        </w:rPr>
        <w:t xml:space="preserve">: demográficas (idade, gênero, estado civil), de carreira (cargo, nível, tempo de empresa, promoções), de remuneração (renda mensal, reajuste, ações) e de percepção (satisfação com o ambiente, com o trabalho, envolvimento e equilíbrio vida-trabalho, em escalas de 1 a 4). A variável-alvo é </w:t>
      </w:r>
      <w:r>
        <w:rPr>
          <w:rFonts w:ascii="Arial" w:hAnsi="Arial"/>
          <w:b/>
          <w:sz w:val="24"/>
        </w:rPr>
        <w:t>Attrition</w:t>
      </w:r>
      <w:r>
        <w:rPr>
          <w:rFonts w:ascii="Arial" w:hAnsi="Arial"/>
          <w:sz w:val="24"/>
        </w:rPr>
        <w:t xml:space="preserve"> (saiu: sim/não), com 237 saídas registradas.</w:t>
      </w:r>
    </w:p>
    <w:p>
      <w:pPr>
        <w:spacing w:line="360" w:lineRule="auto" w:after="120" w:before="0"/>
        <w:ind w:firstLine="709"/>
        <w:jc w:val="both"/>
      </w:pPr>
      <w:r>
        <w:rPr>
          <w:rFonts w:ascii="Arial" w:hAnsi="Arial"/>
          <w:sz w:val="24"/>
        </w:rPr>
        <w:t xml:space="preserve">A base atende aos requisitos da atividade (mínimo de 500 registros, 5 variáveis numéricas e 3 categóricas). </w:t>
      </w:r>
      <w:r>
        <w:rPr>
          <w:rFonts w:ascii="Arial" w:hAnsi="Arial"/>
          <w:b/>
          <w:sz w:val="24"/>
        </w:rPr>
        <w:t>Importante:</w:t>
      </w:r>
      <w:r>
        <w:rPr>
          <w:rFonts w:ascii="Arial" w:hAnsi="Arial"/>
          <w:sz w:val="24"/>
        </w:rPr>
        <w:t xml:space="preserve"> os dados são </w:t>
      </w:r>
      <w:r>
        <w:rPr>
          <w:rFonts w:ascii="Arial" w:hAnsi="Arial"/>
          <w:b/>
          <w:sz w:val="24"/>
        </w:rPr>
        <w:t>fictícios</w:t>
      </w:r>
      <w:r>
        <w:rPr>
          <w:rFonts w:ascii="Arial" w:hAnsi="Arial"/>
          <w:sz w:val="24"/>
        </w:rPr>
        <w:t>, criados por cientistas de dados da IBM para fins didáticos. As conclusões ilustram o método analítico e não descrevem uma empresa real.</w:t>
      </w:r>
    </w:p>
    <w:p>
      <w:pPr>
        <w:pStyle w:val="Heading2"/>
        <w:spacing w:before="240" w:after="120"/>
      </w:pPr>
      <w:r>
        <w:rPr>
          <w:b/>
          <w:sz w:val="24"/>
        </w:rPr>
        <w:t>1.3 Objetivo geral e perguntas de negócio</w:t>
      </w:r>
    </w:p>
    <w:p>
      <w:pPr>
        <w:spacing w:line="360" w:lineRule="auto" w:after="120" w:before="0"/>
        <w:ind w:firstLine="709"/>
        <w:jc w:val="both"/>
      </w:pPr>
      <w:r>
        <w:rPr>
          <w:rFonts w:ascii="Arial" w:hAnsi="Arial"/>
          <w:b/>
          <w:sz w:val="24"/>
        </w:rPr>
        <w:t>Objetivo geral:</w:t>
      </w:r>
      <w:r>
        <w:rPr>
          <w:rFonts w:ascii="Arial" w:hAnsi="Arial"/>
          <w:sz w:val="24"/>
        </w:rPr>
        <w:t xml:space="preserve"> identificar os fatores salariais, de envolvimento e de ambiente de trabalho associados à rotatividade de funcionários, para subsidiar ações de retenção priorizadas por evidência estatística. Para isso, foram formuladas cinco perguntas de negócio (Tabela 2).</w:t>
      </w:r>
    </w:p>
    <w:p>
      <w:pPr>
        <w:keepNext/>
        <w:spacing w:line="240" w:lineRule="auto" w:before="120" w:after="40"/>
        <w:jc w:val="center"/>
      </w:pPr>
      <w:r>
        <w:rPr>
          <w:rFonts w:ascii="Arial" w:hAnsi="Arial"/>
          <w:b/>
          <w:sz w:val="20"/>
        </w:rPr>
        <w:t>Tabela 2</w:t>
      </w:r>
      <w:r>
        <w:rPr>
          <w:rFonts w:ascii="Arial" w:hAnsi="Arial"/>
          <w:sz w:val="20"/>
        </w:rPr>
        <w:t xml:space="preserve"> – Perguntas de negócio e procedimentos associados</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680"/>
        <w:gridCol w:w="4989"/>
        <w:gridCol w:w="3402"/>
      </w:tblGrid>
      <w:tr>
        <w:trPr>
          <w:tblHeader w:val="true"/>
          <w:cantSplit/>
        </w:trPr>
        <w:tc>
          <w:tcPr>
            <w:tcW w:type="dxa" w:w="680"/>
            <w:shd w:val="clear" w:color="auto" w:fill="E8EEF7"/>
          </w:tcPr>
          <w:p>
            <w:pPr>
              <w:spacing w:after="20" w:before="20" w:line="240" w:lineRule="auto"/>
              <w:jc w:val="left"/>
            </w:pPr>
            <w:r/>
            <w:r>
              <w:rPr>
                <w:rFonts w:ascii="Arial" w:hAnsi="Arial"/>
                <w:b/>
                <w:sz w:val="18"/>
              </w:rPr>
              <w:t>Nº</w:t>
            </w:r>
          </w:p>
        </w:tc>
        <w:tc>
          <w:tcPr>
            <w:tcW w:type="dxa" w:w="4989"/>
            <w:shd w:val="clear" w:color="auto" w:fill="E8EEF7"/>
          </w:tcPr>
          <w:p>
            <w:pPr>
              <w:spacing w:after="20" w:before="20" w:line="240" w:lineRule="auto"/>
              <w:jc w:val="left"/>
            </w:pPr>
            <w:r/>
            <w:r>
              <w:rPr>
                <w:rFonts w:ascii="Arial" w:hAnsi="Arial"/>
                <w:b/>
                <w:sz w:val="18"/>
              </w:rPr>
              <w:t>Pergunta de negócio</w:t>
            </w:r>
          </w:p>
        </w:tc>
        <w:tc>
          <w:tcPr>
            <w:tcW w:type="dxa" w:w="3402"/>
            <w:shd w:val="clear" w:color="auto" w:fill="E8EEF7"/>
          </w:tcPr>
          <w:p>
            <w:pPr>
              <w:spacing w:after="20" w:before="20" w:line="240" w:lineRule="auto"/>
              <w:jc w:val="left"/>
            </w:pPr>
            <w:r/>
            <w:r>
              <w:rPr>
                <w:rFonts w:ascii="Arial" w:hAnsi="Arial"/>
                <w:b/>
                <w:sz w:val="18"/>
              </w:rPr>
              <w:t>Procedimento inferencial</w:t>
            </w:r>
          </w:p>
        </w:tc>
      </w:tr>
      <w:tr>
        <w:trPr>
          <w:cantSplit/>
        </w:trPr>
        <w:tc>
          <w:tcPr>
            <w:tcW w:type="dxa" w:w="680"/>
          </w:tcPr>
          <w:p>
            <w:pPr>
              <w:spacing w:after="20" w:before="20" w:line="240" w:lineRule="auto"/>
              <w:jc w:val="left"/>
            </w:pPr>
            <w:r/>
            <w:r>
              <w:rPr>
                <w:rFonts w:ascii="Arial" w:hAnsi="Arial"/>
                <w:sz w:val="18"/>
              </w:rPr>
              <w:t>Q1</w:t>
            </w:r>
          </w:p>
        </w:tc>
        <w:tc>
          <w:tcPr>
            <w:tcW w:type="dxa" w:w="4989"/>
          </w:tcPr>
          <w:p>
            <w:pPr>
              <w:spacing w:after="20" w:before="20" w:line="240" w:lineRule="auto"/>
              <w:jc w:val="left"/>
            </w:pPr>
            <w:r/>
            <w:r>
              <w:rPr>
                <w:rFonts w:ascii="Arial" w:hAnsi="Arial"/>
                <w:sz w:val="18"/>
              </w:rPr>
              <w:t>Qual é a taxa de rotatividade e ela difere entre departamentos?</w:t>
            </w:r>
          </w:p>
        </w:tc>
        <w:tc>
          <w:tcPr>
            <w:tcW w:type="dxa" w:w="3402"/>
          </w:tcPr>
          <w:p>
            <w:pPr>
              <w:spacing w:after="20" w:before="20" w:line="240" w:lineRule="auto"/>
              <w:jc w:val="left"/>
            </w:pPr>
            <w:r/>
            <w:r>
              <w:rPr>
                <w:rFonts w:ascii="Arial" w:hAnsi="Arial"/>
                <w:sz w:val="18"/>
              </w:rPr>
              <w:t>IC 95% da proporção; Qui-Quadrado</w:t>
            </w:r>
          </w:p>
        </w:tc>
      </w:tr>
      <w:tr>
        <w:trPr>
          <w:cantSplit/>
        </w:trPr>
        <w:tc>
          <w:tcPr>
            <w:tcW w:type="dxa" w:w="680"/>
          </w:tcPr>
          <w:p>
            <w:pPr>
              <w:spacing w:after="20" w:before="20" w:line="240" w:lineRule="auto"/>
              <w:jc w:val="left"/>
            </w:pPr>
            <w:r/>
            <w:r>
              <w:rPr>
                <w:rFonts w:ascii="Arial" w:hAnsi="Arial"/>
                <w:sz w:val="18"/>
              </w:rPr>
              <w:t>Q2</w:t>
            </w:r>
          </w:p>
        </w:tc>
        <w:tc>
          <w:tcPr>
            <w:tcW w:type="dxa" w:w="4989"/>
          </w:tcPr>
          <w:p>
            <w:pPr>
              <w:spacing w:after="20" w:before="20" w:line="240" w:lineRule="auto"/>
              <w:jc w:val="left"/>
            </w:pPr>
            <w:r/>
            <w:r>
              <w:rPr>
                <w:rFonts w:ascii="Arial" w:hAnsi="Arial"/>
                <w:sz w:val="18"/>
              </w:rPr>
              <w:t>Funcionários que saem ganham menos do que os que ficam?</w:t>
            </w:r>
          </w:p>
        </w:tc>
        <w:tc>
          <w:tcPr>
            <w:tcW w:type="dxa" w:w="3402"/>
          </w:tcPr>
          <w:p>
            <w:pPr>
              <w:spacing w:after="20" w:before="20" w:line="240" w:lineRule="auto"/>
              <w:jc w:val="left"/>
            </w:pPr>
            <w:r/>
            <w:r>
              <w:rPr>
                <w:rFonts w:ascii="Arial" w:hAnsi="Arial"/>
                <w:sz w:val="18"/>
              </w:rPr>
              <w:t>Teste t; IC 95% da diferença de médias</w:t>
            </w:r>
          </w:p>
        </w:tc>
      </w:tr>
      <w:tr>
        <w:trPr>
          <w:cantSplit/>
        </w:trPr>
        <w:tc>
          <w:tcPr>
            <w:tcW w:type="dxa" w:w="680"/>
          </w:tcPr>
          <w:p>
            <w:pPr>
              <w:spacing w:after="20" w:before="20" w:line="240" w:lineRule="auto"/>
              <w:jc w:val="left"/>
            </w:pPr>
            <w:r/>
            <w:r>
              <w:rPr>
                <w:rFonts w:ascii="Arial" w:hAnsi="Arial"/>
                <w:sz w:val="18"/>
              </w:rPr>
              <w:t>Q3</w:t>
            </w:r>
          </w:p>
        </w:tc>
        <w:tc>
          <w:tcPr>
            <w:tcW w:type="dxa" w:w="4989"/>
          </w:tcPr>
          <w:p>
            <w:pPr>
              <w:spacing w:after="20" w:before="20" w:line="240" w:lineRule="auto"/>
              <w:jc w:val="left"/>
            </w:pPr>
            <w:r/>
            <w:r>
              <w:rPr>
                <w:rFonts w:ascii="Arial" w:hAnsi="Arial"/>
                <w:sz w:val="18"/>
              </w:rPr>
              <w:t>Envolvimento, ambiente, satisfação e equilíbrio vida-trabalho estão associados à saída?</w:t>
            </w:r>
          </w:p>
        </w:tc>
        <w:tc>
          <w:tcPr>
            <w:tcW w:type="dxa" w:w="3402"/>
          </w:tcPr>
          <w:p>
            <w:pPr>
              <w:spacing w:after="20" w:before="20" w:line="240" w:lineRule="auto"/>
              <w:jc w:val="left"/>
            </w:pPr>
            <w:r/>
            <w:r>
              <w:rPr>
                <w:rFonts w:ascii="Arial" w:hAnsi="Arial"/>
                <w:sz w:val="18"/>
              </w:rPr>
              <w:t>Qui-Quadrado (×4) com correção de Holm</w:t>
            </w:r>
          </w:p>
        </w:tc>
      </w:tr>
      <w:tr>
        <w:trPr>
          <w:cantSplit/>
        </w:trPr>
        <w:tc>
          <w:tcPr>
            <w:tcW w:type="dxa" w:w="680"/>
          </w:tcPr>
          <w:p>
            <w:pPr>
              <w:spacing w:after="20" w:before="20" w:line="240" w:lineRule="auto"/>
              <w:jc w:val="left"/>
            </w:pPr>
            <w:r/>
            <w:r>
              <w:rPr>
                <w:rFonts w:ascii="Arial" w:hAnsi="Arial"/>
                <w:sz w:val="18"/>
              </w:rPr>
              <w:t>Q4</w:t>
            </w:r>
          </w:p>
        </w:tc>
        <w:tc>
          <w:tcPr>
            <w:tcW w:type="dxa" w:w="4989"/>
          </w:tcPr>
          <w:p>
            <w:pPr>
              <w:spacing w:after="20" w:before="20" w:line="240" w:lineRule="auto"/>
              <w:jc w:val="left"/>
            </w:pPr>
            <w:r/>
            <w:r>
              <w:rPr>
                <w:rFonts w:ascii="Arial" w:hAnsi="Arial"/>
                <w:sz w:val="18"/>
              </w:rPr>
              <w:t>Fazer hora extra está associado a mais saídas?</w:t>
            </w:r>
          </w:p>
        </w:tc>
        <w:tc>
          <w:tcPr>
            <w:tcW w:type="dxa" w:w="3402"/>
          </w:tcPr>
          <w:p>
            <w:pPr>
              <w:spacing w:after="20" w:before="20" w:line="240" w:lineRule="auto"/>
              <w:jc w:val="left"/>
            </w:pPr>
            <w:r/>
            <w:r>
              <w:rPr>
                <w:rFonts w:ascii="Arial" w:hAnsi="Arial"/>
                <w:sz w:val="18"/>
              </w:rPr>
              <w:t>Qui-Quadrado 2×2; IC 95% da diferença de proporções</w:t>
            </w:r>
          </w:p>
        </w:tc>
      </w:tr>
      <w:tr>
        <w:trPr>
          <w:cantSplit/>
        </w:trPr>
        <w:tc>
          <w:tcPr>
            <w:tcW w:type="dxa" w:w="680"/>
          </w:tcPr>
          <w:p>
            <w:pPr>
              <w:spacing w:after="20" w:before="20" w:line="240" w:lineRule="auto"/>
              <w:jc w:val="left"/>
            </w:pPr>
            <w:r/>
            <w:r>
              <w:rPr>
                <w:rFonts w:ascii="Arial" w:hAnsi="Arial"/>
                <w:sz w:val="18"/>
              </w:rPr>
              <w:t>Q5</w:t>
            </w:r>
          </w:p>
        </w:tc>
        <w:tc>
          <w:tcPr>
            <w:tcW w:type="dxa" w:w="4989"/>
          </w:tcPr>
          <w:p>
            <w:pPr>
              <w:spacing w:after="20" w:before="20" w:line="240" w:lineRule="auto"/>
              <w:jc w:val="left"/>
            </w:pPr>
            <w:r/>
            <w:r>
              <w:rPr>
                <w:rFonts w:ascii="Arial" w:hAnsi="Arial"/>
                <w:sz w:val="18"/>
              </w:rPr>
              <w:t>O desempenho e o envolvimento se refletem no reajuste salarial?</w:t>
            </w:r>
          </w:p>
        </w:tc>
        <w:tc>
          <w:tcPr>
            <w:tcW w:type="dxa" w:w="3402"/>
          </w:tcPr>
          <w:p>
            <w:pPr>
              <w:spacing w:after="20" w:before="20" w:line="240" w:lineRule="auto"/>
              <w:jc w:val="left"/>
            </w:pPr>
            <w:r/>
            <w:r>
              <w:rPr>
                <w:rFonts w:ascii="Arial" w:hAnsi="Arial"/>
                <w:sz w:val="18"/>
              </w:rPr>
              <w:t>Teste t; ANOVA; Teste de correlação</w:t>
            </w:r>
          </w:p>
        </w:tc>
      </w:tr>
    </w:tbl>
    <w:p>
      <w:pPr>
        <w:keepNext w:val="0"/>
        <w:spacing w:line="240" w:lineRule="auto" w:before="40" w:after="200"/>
        <w:jc w:val="left"/>
      </w:pPr>
      <w:r>
        <w:rPr>
          <w:rFonts w:ascii="Arial" w:hAnsi="Arial"/>
          <w:sz w:val="20"/>
        </w:rPr>
        <w:t>Fonte: elaboração própria a partir de IBM HR Analytics (Kaggle, 2017).</w:t>
      </w:r>
    </w:p>
    <w:p w:rsidR="00000000" w:rsidDel="00000000" w:rsidP="00000000" w:rsidRDefault="00000000" w:rsidRPr="00000000" w14:paraId="00000051">
      <w:pPr>
        <w:pStyle w:val="Heading1"/>
        <w:keepNext w:val="0"/>
        <w:keepLines w:val="0"/>
        <w:pageBreakBefore/>
        <w:spacing w:after="0" w:before="0" w:line="360" w:lineRule="auto"/>
        <w:jc w:val="both"/>
        <w:rPr>
          <w:sz w:val="24"/>
          <w:szCs w:val="24"/>
        </w:rPr>
      </w:pPr>
      <w:bookmarkStart w:colFirst="0" w:colLast="0" w:name="_5grimz9oellw" w:id="6"/>
      <w:bookmarkEnd w:id="6"/>
      <w:r w:rsidDel="00000000" w:rsidR="00000000" w:rsidRPr="00000000">
        <w:rPr>
          <w:sz w:val="24"/>
          <w:szCs w:val="24"/>
          <w:rtl w:val="0"/>
        </w:rPr>
        <w:t xml:space="preserve">2. Metodologia</w:t>
      </w:r>
    </w:p>
    <w:p>
      <w:pPr>
        <w:pStyle w:val="Heading2"/>
        <w:spacing w:before="240" w:after="120"/>
      </w:pPr>
      <w:r>
        <w:rPr>
          <w:b/>
          <w:sz w:val="24"/>
        </w:rPr>
        <w:t>2.1 Ferramentas</w:t>
      </w:r>
    </w:p>
    <w:p>
      <w:pPr>
        <w:spacing w:line="360" w:lineRule="auto" w:after="120" w:before="0"/>
        <w:ind w:firstLine="709"/>
        <w:jc w:val="both"/>
      </w:pPr>
      <w:r>
        <w:rPr>
          <w:rFonts w:ascii="Arial" w:hAnsi="Arial"/>
          <w:sz w:val="24"/>
        </w:rPr>
        <w:t xml:space="preserve">A análise foi desenvolvida em </w:t>
      </w:r>
      <w:r>
        <w:rPr>
          <w:rFonts w:ascii="Arial" w:hAnsi="Arial"/>
          <w:b/>
          <w:sz w:val="24"/>
        </w:rPr>
        <w:t>Python 3.14</w:t>
      </w:r>
      <w:r>
        <w:rPr>
          <w:rFonts w:ascii="Arial" w:hAnsi="Arial"/>
          <w:sz w:val="24"/>
        </w:rPr>
        <w:t xml:space="preserve">, com as bibliotecas </w:t>
      </w:r>
      <w:r>
        <w:rPr>
          <w:rFonts w:ascii="Arial" w:hAnsi="Arial"/>
          <w:b/>
          <w:sz w:val="24"/>
        </w:rPr>
        <w:t>pandas</w:t>
      </w:r>
      <w:r>
        <w:rPr>
          <w:rFonts w:ascii="Arial" w:hAnsi="Arial"/>
          <w:sz w:val="24"/>
        </w:rPr>
        <w:t xml:space="preserve"> e </w:t>
      </w:r>
      <w:r>
        <w:rPr>
          <w:rFonts w:ascii="Arial" w:hAnsi="Arial"/>
          <w:b/>
          <w:sz w:val="24"/>
        </w:rPr>
        <w:t>NumPy</w:t>
      </w:r>
      <w:r>
        <w:rPr>
          <w:rFonts w:ascii="Arial" w:hAnsi="Arial"/>
          <w:sz w:val="24"/>
        </w:rPr>
        <w:t xml:space="preserve"> (manipulação de dados), </w:t>
      </w:r>
      <w:r>
        <w:rPr>
          <w:rFonts w:ascii="Arial" w:hAnsi="Arial"/>
          <w:b/>
          <w:sz w:val="24"/>
        </w:rPr>
        <w:t>SciPy</w:t>
      </w:r>
      <w:r>
        <w:rPr>
          <w:rFonts w:ascii="Arial" w:hAnsi="Arial"/>
          <w:sz w:val="24"/>
        </w:rPr>
        <w:t xml:space="preserve"> e </w:t>
      </w:r>
      <w:r>
        <w:rPr>
          <w:rFonts w:ascii="Arial" w:hAnsi="Arial"/>
          <w:b/>
          <w:sz w:val="24"/>
        </w:rPr>
        <w:t>statsmodels</w:t>
      </w:r>
      <w:r>
        <w:rPr>
          <w:rFonts w:ascii="Arial" w:hAnsi="Arial"/>
          <w:sz w:val="24"/>
        </w:rPr>
        <w:t xml:space="preserve"> (testes estatísticos e intervalos de confiança), </w:t>
      </w:r>
      <w:r>
        <w:rPr>
          <w:rFonts w:ascii="Arial" w:hAnsi="Arial"/>
          <w:b/>
          <w:sz w:val="24"/>
        </w:rPr>
        <w:t>Matplotlib</w:t>
      </w:r>
      <w:r>
        <w:rPr>
          <w:rFonts w:ascii="Arial" w:hAnsi="Arial"/>
          <w:sz w:val="24"/>
        </w:rPr>
        <w:t xml:space="preserve"> e </w:t>
      </w:r>
      <w:r>
        <w:rPr>
          <w:rFonts w:ascii="Arial" w:hAnsi="Arial"/>
          <w:b/>
          <w:sz w:val="24"/>
        </w:rPr>
        <w:t>seaborn</w:t>
      </w:r>
      <w:r>
        <w:rPr>
          <w:rFonts w:ascii="Arial" w:hAnsi="Arial"/>
          <w:sz w:val="24"/>
        </w:rPr>
        <w:t xml:space="preserve"> (visualização) e </w:t>
      </w:r>
      <w:r>
        <w:rPr>
          <w:rFonts w:ascii="Arial" w:hAnsi="Arial"/>
          <w:b/>
          <w:sz w:val="24"/>
        </w:rPr>
        <w:t>Jupyter Notebook</w:t>
      </w:r>
      <w:r>
        <w:rPr>
          <w:rFonts w:ascii="Arial" w:hAnsi="Arial"/>
          <w:sz w:val="24"/>
        </w:rPr>
        <w:t xml:space="preserve"> (documentação do passo a passo). O código está organizado em três notebooks (limpeza, descritiva e inferencial) e em módulos reutilizáveis na pasta </w:t>
      </w:r>
      <w:r>
        <w:rPr>
          <w:rFonts w:ascii="Arial" w:hAnsi="Arial"/>
          <w:i/>
          <w:sz w:val="24"/>
        </w:rPr>
        <w:t>src/</w:t>
      </w:r>
      <w:r>
        <w:rPr>
          <w:rFonts w:ascii="Arial" w:hAnsi="Arial"/>
          <w:sz w:val="24"/>
        </w:rPr>
        <w:t xml:space="preserve">. O script </w:t>
      </w:r>
      <w:r>
        <w:rPr>
          <w:rFonts w:ascii="Arial" w:hAnsi="Arial"/>
          <w:i/>
          <w:sz w:val="24"/>
        </w:rPr>
        <w:t>run_all.py</w:t>
      </w:r>
      <w:r>
        <w:rPr>
          <w:rFonts w:ascii="Arial" w:hAnsi="Arial"/>
          <w:sz w:val="24"/>
        </w:rPr>
        <w:t xml:space="preserve"> reproduz toda a análise e este relatório a partir do arquivo original. O repositório está em https://github.com/SEU-USUARIO/sisb110-ibm-hr-analytics.</w:t>
      </w:r>
    </w:p>
    <w:p>
      <w:pPr>
        <w:pStyle w:val="Heading2"/>
        <w:spacing w:before="240" w:after="120"/>
      </w:pPr>
      <w:r>
        <w:rPr>
          <w:b/>
          <w:sz w:val="24"/>
        </w:rPr>
        <w:t>2.2 Etapas do tratamento dos dados</w:t>
      </w:r>
    </w:p>
    <w:p>
      <w:pPr>
        <w:spacing w:line="360" w:lineRule="auto" w:after="120" w:before="0"/>
        <w:ind w:firstLine="709"/>
        <w:jc w:val="both"/>
      </w:pPr>
      <w:r>
        <w:rPr>
          <w:rFonts w:ascii="Arial" w:hAnsi="Arial"/>
          <w:sz w:val="24"/>
        </w:rPr>
        <w:t>O fluxo de trabalho seguiu as etapas do roteiro da atividade (Figura 1).</w:t>
      </w:r>
    </w:p>
    <w:p>
      <w:pPr>
        <w:keepNext/>
        <w:spacing w:line="240" w:lineRule="auto" w:before="120" w:after="40"/>
        <w:jc w:val="center"/>
      </w:pPr>
      <w:r>
        <w:rPr>
          <w:rFonts w:ascii="Arial" w:hAnsi="Arial"/>
          <w:b/>
          <w:sz w:val="20"/>
        </w:rPr>
        <w:t>Figura 1</w:t>
      </w:r>
      <w:r>
        <w:rPr>
          <w:rFonts w:ascii="Arial" w:hAnsi="Arial"/>
          <w:sz w:val="20"/>
        </w:rPr>
        <w:t xml:space="preserve"> – Fluxo metodológico da análise</w:t>
      </w:r>
    </w:p>
    <w:p>
      <w:pPr>
        <w:keepNext/>
        <w:spacing w:after="0"/>
        <w:jc w:val="center"/>
      </w:pPr>
      <w:r>
        <w:drawing>
          <wp:inline>
            <wp:extent cx="5760000" cy="944262"/>
            <wp:docPr id="1" name="Picture 1"/>
            <wp:cNvGraphicFramePr>
              <a:graphicFrameLocks noChangeAspect="1"/>
            </wp:cNvGraphicFramePr>
            <a:graphic>
              <a:graphicData uri="http://schemas.openxmlformats.org/drawingml/2006/picture">
                <pic:pic>
                  <pic:nvPicPr>
                    <pic:cNvPr id="0" name="fig01_fluxo_metodologia.png"/>
                    <pic:cNvPicPr/>
                  </pic:nvPicPr>
                  <pic:blipFill>
                    <a:blip r:embed="rId10"/>
                    <a:stretch>
                      <a:fillRect/>
                    </a:stretch>
                  </pic:blipFill>
                  <pic:spPr>
                    <a:xfrm>
                      <a:off x="0" y="0"/>
                      <a:ext cx="5760000" cy="944262"/>
                    </a:xfrm>
                    <a:prstGeom prst="rect"/>
                  </pic:spPr>
                </pic:pic>
              </a:graphicData>
            </a:graphic>
          </wp:inline>
        </w:drawing>
      </w:r>
    </w:p>
    <w:p>
      <w:pPr>
        <w:keepNext w:val="0"/>
        <w:spacing w:line="240" w:lineRule="auto" w:before="40" w:after="200"/>
        <w:jc w:val="left"/>
      </w:pPr>
      <w:r>
        <w:rPr>
          <w:rFonts w:ascii="Arial" w:hAnsi="Arial"/>
          <w:sz w:val="20"/>
        </w:rPr>
        <w:t>Fonte: elaboração própria a partir de IBM HR Analytics (Kaggle, 2017).</w:t>
      </w:r>
    </w:p>
    <w:p>
      <w:pPr>
        <w:spacing w:line="360" w:lineRule="auto" w:after="120" w:before="0"/>
        <w:ind w:firstLine="709"/>
        <w:jc w:val="both"/>
      </w:pPr>
      <w:r>
        <w:rPr>
          <w:rFonts w:ascii="Arial" w:hAnsi="Arial"/>
          <w:sz w:val="24"/>
        </w:rPr>
        <w:t xml:space="preserve">O diagnóstico de qualidade não encontrou </w:t>
      </w:r>
      <w:r>
        <w:rPr>
          <w:rFonts w:ascii="Arial" w:hAnsi="Arial"/>
          <w:b/>
          <w:sz w:val="24"/>
        </w:rPr>
        <w:t>valores ausentes</w:t>
      </w:r>
      <w:r>
        <w:rPr>
          <w:rFonts w:ascii="Arial" w:hAnsi="Arial"/>
          <w:sz w:val="24"/>
        </w:rPr>
        <w:t xml:space="preserve"> nem </w:t>
      </w:r>
      <w:r>
        <w:rPr>
          <w:rFonts w:ascii="Arial" w:hAnsi="Arial"/>
          <w:b/>
          <w:sz w:val="24"/>
        </w:rPr>
        <w:t>registros duplicados</w:t>
      </w:r>
      <w:r>
        <w:rPr>
          <w:rFonts w:ascii="Arial" w:hAnsi="Arial"/>
          <w:sz w:val="24"/>
        </w:rPr>
        <w:t xml:space="preserve">. Três colunas constantes foram removidas e três colunas de "taxa" foram excluídas da análise por inconsistência com a renda mensal (correlação próxima de zero). Os </w:t>
      </w:r>
      <w:r>
        <w:rPr>
          <w:rFonts w:ascii="Arial" w:hAnsi="Arial"/>
          <w:b/>
          <w:sz w:val="24"/>
        </w:rPr>
        <w:t>outliers</w:t>
      </w:r>
      <w:r>
        <w:rPr>
          <w:rFonts w:ascii="Arial" w:hAnsi="Arial"/>
          <w:sz w:val="24"/>
        </w:rPr>
        <w:t xml:space="preserve"> foram identificados pela regra do intervalo interquartil (valores fora de Q1 − 1,5·IQR e Q3 + 1,5·IQR) e </w:t>
      </w:r>
      <w:r>
        <w:rPr>
          <w:rFonts w:ascii="Arial" w:hAnsi="Arial"/>
          <w:b/>
          <w:sz w:val="24"/>
        </w:rPr>
        <w:t>mantidos</w:t>
      </w:r>
      <w:r>
        <w:rPr>
          <w:rFonts w:ascii="Arial" w:hAnsi="Arial"/>
          <w:sz w:val="24"/>
        </w:rPr>
        <w:t>, por representarem situações legítimas, como salários de diretores e funcionários com muitos anos de casa (Figura 2). O efeito deles foi controlado na etapa inferencial. A Tabela 3 resume as decisões.</w:t>
      </w:r>
    </w:p>
    <w:p>
      <w:pPr>
        <w:keepNext/>
        <w:spacing w:line="240" w:lineRule="auto" w:before="120" w:after="40"/>
        <w:jc w:val="center"/>
      </w:pPr>
      <w:r>
        <w:rPr>
          <w:rFonts w:ascii="Arial" w:hAnsi="Arial"/>
          <w:b/>
          <w:sz w:val="20"/>
        </w:rPr>
        <w:t>Tabela 3</w:t>
      </w:r>
      <w:r>
        <w:rPr>
          <w:rFonts w:ascii="Arial" w:hAnsi="Arial"/>
          <w:sz w:val="20"/>
        </w:rPr>
        <w:t xml:space="preserve"> – Decisões de limpeza e qualidade dos dados</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1701"/>
        <w:gridCol w:w="2608"/>
        <w:gridCol w:w="1928"/>
        <w:gridCol w:w="2835"/>
      </w:tblGrid>
      <w:tr>
        <w:trPr>
          <w:tblHeader w:val="true"/>
          <w:cantSplit/>
        </w:trPr>
        <w:tc>
          <w:tcPr>
            <w:tcW w:type="dxa" w:w="1701"/>
            <w:shd w:val="clear" w:color="auto" w:fill="E8EEF7"/>
          </w:tcPr>
          <w:p>
            <w:pPr>
              <w:spacing w:after="20" w:before="20" w:line="240" w:lineRule="auto"/>
              <w:jc w:val="left"/>
            </w:pPr>
            <w:r/>
            <w:r>
              <w:rPr>
                <w:rFonts w:ascii="Arial" w:hAnsi="Arial"/>
                <w:b/>
                <w:sz w:val="17"/>
              </w:rPr>
              <w:t>Verificação</w:t>
            </w:r>
          </w:p>
        </w:tc>
        <w:tc>
          <w:tcPr>
            <w:tcW w:type="dxa" w:w="2608"/>
            <w:shd w:val="clear" w:color="auto" w:fill="E8EEF7"/>
          </w:tcPr>
          <w:p>
            <w:pPr>
              <w:spacing w:after="20" w:before="20" w:line="240" w:lineRule="auto"/>
              <w:jc w:val="left"/>
            </w:pPr>
            <w:r/>
            <w:r>
              <w:rPr>
                <w:rFonts w:ascii="Arial" w:hAnsi="Arial"/>
                <w:b/>
                <w:sz w:val="17"/>
              </w:rPr>
              <w:t>Resultado</w:t>
            </w:r>
          </w:p>
        </w:tc>
        <w:tc>
          <w:tcPr>
            <w:tcW w:type="dxa" w:w="1928"/>
            <w:shd w:val="clear" w:color="auto" w:fill="E8EEF7"/>
          </w:tcPr>
          <w:p>
            <w:pPr>
              <w:spacing w:after="20" w:before="20" w:line="240" w:lineRule="auto"/>
              <w:jc w:val="left"/>
            </w:pPr>
            <w:r/>
            <w:r>
              <w:rPr>
                <w:rFonts w:ascii="Arial" w:hAnsi="Arial"/>
                <w:b/>
                <w:sz w:val="17"/>
              </w:rPr>
              <w:t>Ação</w:t>
            </w:r>
          </w:p>
        </w:tc>
        <w:tc>
          <w:tcPr>
            <w:tcW w:type="dxa" w:w="2835"/>
            <w:shd w:val="clear" w:color="auto" w:fill="E8EEF7"/>
          </w:tcPr>
          <w:p>
            <w:pPr>
              <w:spacing w:after="20" w:before="20" w:line="240" w:lineRule="auto"/>
              <w:jc w:val="left"/>
            </w:pPr>
            <w:r/>
            <w:r>
              <w:rPr>
                <w:rFonts w:ascii="Arial" w:hAnsi="Arial"/>
                <w:b/>
                <w:sz w:val="17"/>
              </w:rPr>
              <w:t>Justificativa</w:t>
            </w:r>
          </w:p>
        </w:tc>
      </w:tr>
      <w:tr>
        <w:trPr>
          <w:cantSplit/>
        </w:trPr>
        <w:tc>
          <w:tcPr>
            <w:tcW w:type="dxa" w:w="1701"/>
          </w:tcPr>
          <w:p>
            <w:pPr>
              <w:spacing w:after="20" w:before="20" w:line="240" w:lineRule="auto"/>
              <w:jc w:val="left"/>
            </w:pPr>
            <w:r/>
            <w:r>
              <w:rPr>
                <w:rFonts w:ascii="Arial" w:hAnsi="Arial"/>
                <w:sz w:val="17"/>
              </w:rPr>
              <w:t>Valores ausentes</w:t>
            </w:r>
          </w:p>
        </w:tc>
        <w:tc>
          <w:tcPr>
            <w:tcW w:type="dxa" w:w="2608"/>
          </w:tcPr>
          <w:p>
            <w:pPr>
              <w:spacing w:after="20" w:before="20" w:line="240" w:lineRule="auto"/>
              <w:jc w:val="left"/>
            </w:pPr>
            <w:r/>
            <w:r>
              <w:rPr>
                <w:rFonts w:ascii="Arial" w:hAnsi="Arial"/>
                <w:sz w:val="17"/>
              </w:rPr>
              <w:t>0 em 35 colunas</w:t>
            </w:r>
          </w:p>
        </w:tc>
        <w:tc>
          <w:tcPr>
            <w:tcW w:type="dxa" w:w="1928"/>
          </w:tcPr>
          <w:p>
            <w:pPr>
              <w:spacing w:after="20" w:before="20" w:line="240" w:lineRule="auto"/>
              <w:jc w:val="left"/>
            </w:pPr>
            <w:r/>
            <w:r>
              <w:rPr>
                <w:rFonts w:ascii="Arial" w:hAnsi="Arial"/>
                <w:sz w:val="17"/>
              </w:rPr>
              <w:t>Nenhuma ação</w:t>
            </w:r>
          </w:p>
        </w:tc>
        <w:tc>
          <w:tcPr>
            <w:tcW w:type="dxa" w:w="2835"/>
          </w:tcPr>
          <w:p>
            <w:pPr>
              <w:spacing w:after="20" w:before="20" w:line="240" w:lineRule="auto"/>
              <w:jc w:val="left"/>
            </w:pPr>
            <w:r/>
            <w:r>
              <w:rPr>
                <w:rFonts w:ascii="Arial" w:hAnsi="Arial"/>
                <w:sz w:val="17"/>
              </w:rPr>
              <w:t>Base completa</w:t>
            </w:r>
          </w:p>
        </w:tc>
      </w:tr>
      <w:tr>
        <w:trPr>
          <w:cantSplit/>
        </w:trPr>
        <w:tc>
          <w:tcPr>
            <w:tcW w:type="dxa" w:w="1701"/>
          </w:tcPr>
          <w:p>
            <w:pPr>
              <w:spacing w:after="20" w:before="20" w:line="240" w:lineRule="auto"/>
              <w:jc w:val="left"/>
            </w:pPr>
            <w:r/>
            <w:r>
              <w:rPr>
                <w:rFonts w:ascii="Arial" w:hAnsi="Arial"/>
                <w:sz w:val="17"/>
              </w:rPr>
              <w:t>Duplicatas</w:t>
            </w:r>
          </w:p>
        </w:tc>
        <w:tc>
          <w:tcPr>
            <w:tcW w:type="dxa" w:w="2608"/>
          </w:tcPr>
          <w:p>
            <w:pPr>
              <w:spacing w:after="20" w:before="20" w:line="240" w:lineRule="auto"/>
              <w:jc w:val="left"/>
            </w:pPr>
            <w:r/>
            <w:r>
              <w:rPr>
                <w:rFonts w:ascii="Arial" w:hAnsi="Arial"/>
                <w:sz w:val="17"/>
              </w:rPr>
              <w:t>0 linhas · 0 IDs</w:t>
            </w:r>
          </w:p>
        </w:tc>
        <w:tc>
          <w:tcPr>
            <w:tcW w:type="dxa" w:w="1928"/>
          </w:tcPr>
          <w:p>
            <w:pPr>
              <w:spacing w:after="20" w:before="20" w:line="240" w:lineRule="auto"/>
              <w:jc w:val="left"/>
            </w:pPr>
            <w:r/>
            <w:r>
              <w:rPr>
                <w:rFonts w:ascii="Arial" w:hAnsi="Arial"/>
                <w:sz w:val="17"/>
              </w:rPr>
              <w:t>Nenhuma ação</w:t>
            </w:r>
          </w:p>
        </w:tc>
        <w:tc>
          <w:tcPr>
            <w:tcW w:type="dxa" w:w="2835"/>
          </w:tcPr>
          <w:p>
            <w:pPr>
              <w:spacing w:after="20" w:before="20" w:line="240" w:lineRule="auto"/>
              <w:jc w:val="left"/>
            </w:pPr>
            <w:r/>
            <w:r>
              <w:rPr>
                <w:rFonts w:ascii="Arial" w:hAnsi="Arial"/>
                <w:sz w:val="17"/>
              </w:rPr>
              <w:t>Cada linha é um funcionário único</w:t>
            </w:r>
          </w:p>
        </w:tc>
      </w:tr>
      <w:tr>
        <w:trPr>
          <w:cantSplit/>
        </w:trPr>
        <w:tc>
          <w:tcPr>
            <w:tcW w:type="dxa" w:w="1701"/>
          </w:tcPr>
          <w:p>
            <w:pPr>
              <w:spacing w:after="20" w:before="20" w:line="240" w:lineRule="auto"/>
              <w:jc w:val="left"/>
            </w:pPr>
            <w:r/>
            <w:r>
              <w:rPr>
                <w:rFonts w:ascii="Arial" w:hAnsi="Arial"/>
                <w:sz w:val="17"/>
              </w:rPr>
              <w:t>Colunas constantes</w:t>
            </w:r>
          </w:p>
        </w:tc>
        <w:tc>
          <w:tcPr>
            <w:tcW w:type="dxa" w:w="2608"/>
          </w:tcPr>
          <w:p>
            <w:pPr>
              <w:spacing w:after="20" w:before="20" w:line="240" w:lineRule="auto"/>
              <w:jc w:val="left"/>
            </w:pPr>
            <w:r/>
            <w:r>
              <w:rPr>
                <w:rFonts w:ascii="Arial" w:hAnsi="Arial"/>
                <w:sz w:val="17"/>
              </w:rPr>
              <w:t>EmployeeCount, Over18, StandardHours</w:t>
            </w:r>
          </w:p>
        </w:tc>
        <w:tc>
          <w:tcPr>
            <w:tcW w:type="dxa" w:w="1928"/>
          </w:tcPr>
          <w:p>
            <w:pPr>
              <w:spacing w:after="20" w:before="20" w:line="240" w:lineRule="auto"/>
              <w:jc w:val="left"/>
            </w:pPr>
            <w:r/>
            <w:r>
              <w:rPr>
                <w:rFonts w:ascii="Arial" w:hAnsi="Arial"/>
                <w:sz w:val="17"/>
              </w:rPr>
              <w:t>Removidas</w:t>
            </w:r>
          </w:p>
        </w:tc>
        <w:tc>
          <w:tcPr>
            <w:tcW w:type="dxa" w:w="2835"/>
          </w:tcPr>
          <w:p>
            <w:pPr>
              <w:spacing w:after="20" w:before="20" w:line="240" w:lineRule="auto"/>
              <w:jc w:val="left"/>
            </w:pPr>
            <w:r/>
            <w:r>
              <w:rPr>
                <w:rFonts w:ascii="Arial" w:hAnsi="Arial"/>
                <w:sz w:val="17"/>
              </w:rPr>
              <w:t>Variância zero, sem informação</w:t>
            </w:r>
          </w:p>
        </w:tc>
      </w:tr>
      <w:tr>
        <w:trPr>
          <w:cantSplit/>
        </w:trPr>
        <w:tc>
          <w:tcPr>
            <w:tcW w:type="dxa" w:w="1701"/>
          </w:tcPr>
          <w:p>
            <w:pPr>
              <w:spacing w:after="20" w:before="20" w:line="240" w:lineRule="auto"/>
              <w:jc w:val="left"/>
            </w:pPr>
            <w:r/>
            <w:r>
              <w:rPr>
                <w:rFonts w:ascii="Arial" w:hAnsi="Arial"/>
                <w:sz w:val="17"/>
              </w:rPr>
              <w:t>Identificador</w:t>
            </w:r>
          </w:p>
        </w:tc>
        <w:tc>
          <w:tcPr>
            <w:tcW w:type="dxa" w:w="2608"/>
          </w:tcPr>
          <w:p>
            <w:pPr>
              <w:spacing w:after="20" w:before="20" w:line="240" w:lineRule="auto"/>
              <w:jc w:val="left"/>
            </w:pPr>
            <w:r/>
            <w:r>
              <w:rPr>
                <w:rFonts w:ascii="Arial" w:hAnsi="Arial"/>
                <w:sz w:val="17"/>
              </w:rPr>
              <w:t>EmployeeNumber</w:t>
            </w:r>
          </w:p>
        </w:tc>
        <w:tc>
          <w:tcPr>
            <w:tcW w:type="dxa" w:w="1928"/>
          </w:tcPr>
          <w:p>
            <w:pPr>
              <w:spacing w:after="20" w:before="20" w:line="240" w:lineRule="auto"/>
              <w:jc w:val="left"/>
            </w:pPr>
            <w:r/>
            <w:r>
              <w:rPr>
                <w:rFonts w:ascii="Arial" w:hAnsi="Arial"/>
                <w:sz w:val="17"/>
              </w:rPr>
              <w:t>Mantido só como ID</w:t>
            </w:r>
          </w:p>
        </w:tc>
        <w:tc>
          <w:tcPr>
            <w:tcW w:type="dxa" w:w="2835"/>
          </w:tcPr>
          <w:p>
            <w:pPr>
              <w:spacing w:after="20" w:before="20" w:line="240" w:lineRule="auto"/>
              <w:jc w:val="left"/>
            </w:pPr>
            <w:r/>
            <w:r>
              <w:rPr>
                <w:rFonts w:ascii="Arial" w:hAnsi="Arial"/>
                <w:sz w:val="17"/>
              </w:rPr>
              <w:t>Não é variável analítica</w:t>
            </w:r>
          </w:p>
        </w:tc>
      </w:tr>
      <w:tr>
        <w:trPr>
          <w:cantSplit/>
        </w:trPr>
        <w:tc>
          <w:tcPr>
            <w:tcW w:type="dxa" w:w="1701"/>
          </w:tcPr>
          <w:p>
            <w:pPr>
              <w:spacing w:after="20" w:before="20" w:line="240" w:lineRule="auto"/>
              <w:jc w:val="left"/>
            </w:pPr>
            <w:r/>
            <w:r>
              <w:rPr>
                <w:rFonts w:ascii="Arial" w:hAnsi="Arial"/>
                <w:sz w:val="17"/>
              </w:rPr>
              <w:t>Taxas inconsistentes</w:t>
            </w:r>
          </w:p>
        </w:tc>
        <w:tc>
          <w:tcPr>
            <w:tcW w:type="dxa" w:w="2608"/>
          </w:tcPr>
          <w:p>
            <w:pPr>
              <w:spacing w:after="20" w:before="20" w:line="240" w:lineRule="auto"/>
              <w:jc w:val="left"/>
            </w:pPr>
            <w:r/>
            <w:r>
              <w:rPr>
                <w:rFonts w:ascii="Arial" w:hAnsi="Arial"/>
                <w:sz w:val="17"/>
              </w:rPr>
              <w:t>DailyRate, HourlyRate, MonthlyRate</w:t>
            </w:r>
          </w:p>
        </w:tc>
        <w:tc>
          <w:tcPr>
            <w:tcW w:type="dxa" w:w="1928"/>
          </w:tcPr>
          <w:p>
            <w:pPr>
              <w:spacing w:after="20" w:before="20" w:line="240" w:lineRule="auto"/>
              <w:jc w:val="left"/>
            </w:pPr>
            <w:r/>
            <w:r>
              <w:rPr>
                <w:rFonts w:ascii="Arial" w:hAnsi="Arial"/>
                <w:sz w:val="17"/>
              </w:rPr>
              <w:t>Mantidas, fora da análise</w:t>
            </w:r>
          </w:p>
        </w:tc>
        <w:tc>
          <w:tcPr>
            <w:tcW w:type="dxa" w:w="2835"/>
          </w:tcPr>
          <w:p>
            <w:pPr>
              <w:spacing w:after="20" w:before="20" w:line="240" w:lineRule="auto"/>
              <w:jc w:val="left"/>
            </w:pPr>
            <w:r/>
            <w:r>
              <w:rPr>
                <w:rFonts w:ascii="Arial" w:hAnsi="Arial"/>
                <w:sz w:val="17"/>
              </w:rPr>
              <w:t>Correlação ≈ 0 com MonthlyIncome</w:t>
            </w:r>
          </w:p>
        </w:tc>
      </w:tr>
      <w:tr>
        <w:trPr>
          <w:cantSplit/>
        </w:trPr>
        <w:tc>
          <w:tcPr>
            <w:tcW w:type="dxa" w:w="1701"/>
          </w:tcPr>
          <w:p>
            <w:pPr>
              <w:spacing w:after="20" w:before="20" w:line="240" w:lineRule="auto"/>
              <w:jc w:val="left"/>
            </w:pPr>
            <w:r/>
            <w:r>
              <w:rPr>
                <w:rFonts w:ascii="Arial" w:hAnsi="Arial"/>
                <w:sz w:val="17"/>
              </w:rPr>
              <w:t>Outliers (IQR)</w:t>
            </w:r>
          </w:p>
        </w:tc>
        <w:tc>
          <w:tcPr>
            <w:tcW w:type="dxa" w:w="2608"/>
          </w:tcPr>
          <w:p>
            <w:pPr>
              <w:spacing w:after="20" w:before="20" w:line="240" w:lineRule="auto"/>
              <w:jc w:val="left"/>
            </w:pPr>
            <w:r/>
            <w:r>
              <w:rPr>
                <w:rFonts w:ascii="Arial" w:hAnsi="Arial"/>
                <w:sz w:val="17"/>
              </w:rPr>
              <w:t>713 valores em 8 variáveis</w:t>
            </w:r>
          </w:p>
        </w:tc>
        <w:tc>
          <w:tcPr>
            <w:tcW w:type="dxa" w:w="1928"/>
          </w:tcPr>
          <w:p>
            <w:pPr>
              <w:spacing w:after="20" w:before="20" w:line="240" w:lineRule="auto"/>
              <w:jc w:val="left"/>
            </w:pPr>
            <w:r/>
            <w:r>
              <w:rPr>
                <w:rFonts w:ascii="Arial" w:hAnsi="Arial"/>
                <w:sz w:val="17"/>
              </w:rPr>
              <w:t>Mantidos</w:t>
            </w:r>
          </w:p>
        </w:tc>
        <w:tc>
          <w:tcPr>
            <w:tcW w:type="dxa" w:w="2835"/>
          </w:tcPr>
          <w:p>
            <w:pPr>
              <w:spacing w:after="20" w:before="20" w:line="240" w:lineRule="auto"/>
              <w:jc w:val="left"/>
            </w:pPr>
            <w:r/>
            <w:r>
              <w:rPr>
                <w:rFonts w:ascii="Arial" w:hAnsi="Arial"/>
                <w:sz w:val="17"/>
              </w:rPr>
              <w:t>Valores legítimos (cargos sêniores); testes robustos na Etapa III</w:t>
            </w:r>
          </w:p>
        </w:tc>
      </w:tr>
      <w:tr>
        <w:trPr>
          <w:cantSplit/>
        </w:trPr>
        <w:tc>
          <w:tcPr>
            <w:tcW w:type="dxa" w:w="1701"/>
          </w:tcPr>
          <w:p>
            <w:pPr>
              <w:spacing w:after="20" w:before="20" w:line="240" w:lineRule="auto"/>
              <w:jc w:val="left"/>
            </w:pPr>
            <w:r/>
            <w:r>
              <w:rPr>
                <w:rFonts w:ascii="Arial" w:hAnsi="Arial"/>
                <w:sz w:val="17"/>
              </w:rPr>
              <w:t>Escalas 1–4 / 1–5</w:t>
            </w:r>
          </w:p>
        </w:tc>
        <w:tc>
          <w:tcPr>
            <w:tcW w:type="dxa" w:w="2608"/>
          </w:tcPr>
          <w:p>
            <w:pPr>
              <w:spacing w:after="20" w:before="20" w:line="240" w:lineRule="auto"/>
              <w:jc w:val="left"/>
            </w:pPr>
            <w:r/>
            <w:r>
              <w:rPr>
                <w:rFonts w:ascii="Arial" w:hAnsi="Arial"/>
                <w:sz w:val="17"/>
              </w:rPr>
              <w:t>Satisfação, envolvimento, escolaridade...</w:t>
            </w:r>
          </w:p>
        </w:tc>
        <w:tc>
          <w:tcPr>
            <w:tcW w:type="dxa" w:w="1928"/>
          </w:tcPr>
          <w:p>
            <w:pPr>
              <w:spacing w:after="20" w:before="20" w:line="240" w:lineRule="auto"/>
              <w:jc w:val="left"/>
            </w:pPr>
            <w:r/>
            <w:r>
              <w:rPr>
                <w:rFonts w:ascii="Arial" w:hAnsi="Arial"/>
                <w:sz w:val="17"/>
              </w:rPr>
              <w:t>Convertidas em ordinais rotuladas</w:t>
            </w:r>
          </w:p>
        </w:tc>
        <w:tc>
          <w:tcPr>
            <w:tcW w:type="dxa" w:w="2835"/>
          </w:tcPr>
          <w:p>
            <w:pPr>
              <w:spacing w:after="20" w:before="20" w:line="240" w:lineRule="auto"/>
              <w:jc w:val="left"/>
            </w:pPr>
            <w:r/>
            <w:r>
              <w:rPr>
                <w:rFonts w:ascii="Arial" w:hAnsi="Arial"/>
                <w:sz w:val="17"/>
              </w:rPr>
              <w:t>São categorias ordenadas, não medidas</w:t>
            </w:r>
          </w:p>
        </w:tc>
      </w:tr>
      <w:tr>
        <w:trPr>
          <w:cantSplit/>
        </w:trPr>
        <w:tc>
          <w:tcPr>
            <w:tcW w:type="dxa" w:w="1701"/>
          </w:tcPr>
          <w:p>
            <w:pPr>
              <w:spacing w:after="20" w:before="20" w:line="240" w:lineRule="auto"/>
              <w:jc w:val="left"/>
            </w:pPr>
            <w:r/>
            <w:r>
              <w:rPr>
                <w:rFonts w:ascii="Arial" w:hAnsi="Arial"/>
                <w:sz w:val="17"/>
              </w:rPr>
              <w:t>Variáveis derivadas</w:t>
            </w:r>
          </w:p>
        </w:tc>
        <w:tc>
          <w:tcPr>
            <w:tcW w:type="dxa" w:w="2608"/>
          </w:tcPr>
          <w:p>
            <w:pPr>
              <w:spacing w:after="20" w:before="20" w:line="240" w:lineRule="auto"/>
              <w:jc w:val="left"/>
            </w:pPr>
            <w:r/>
            <w:r>
              <w:rPr>
                <w:rFonts w:ascii="Arial" w:hAnsi="Arial"/>
                <w:sz w:val="17"/>
              </w:rPr>
              <w:t>Attrition_bin, OverTime_bin, faixas</w:t>
            </w:r>
          </w:p>
        </w:tc>
        <w:tc>
          <w:tcPr>
            <w:tcW w:type="dxa" w:w="1928"/>
          </w:tcPr>
          <w:p>
            <w:pPr>
              <w:spacing w:after="20" w:before="20" w:line="240" w:lineRule="auto"/>
              <w:jc w:val="left"/>
            </w:pPr>
            <w:r/>
            <w:r>
              <w:rPr>
                <w:rFonts w:ascii="Arial" w:hAnsi="Arial"/>
                <w:sz w:val="17"/>
              </w:rPr>
              <w:t>Criadas</w:t>
            </w:r>
          </w:p>
        </w:tc>
        <w:tc>
          <w:tcPr>
            <w:tcW w:type="dxa" w:w="2835"/>
          </w:tcPr>
          <w:p>
            <w:pPr>
              <w:spacing w:after="20" w:before="20" w:line="240" w:lineRule="auto"/>
              <w:jc w:val="left"/>
            </w:pPr>
            <w:r/>
            <w:r>
              <w:rPr>
                <w:rFonts w:ascii="Arial" w:hAnsi="Arial"/>
                <w:sz w:val="17"/>
              </w:rPr>
              <w:t>Facilitar taxas e leitura de negócio</w:t>
            </w:r>
          </w:p>
        </w:tc>
      </w:tr>
    </w:tbl>
    <w:p>
      <w:pPr>
        <w:keepNext w:val="0"/>
        <w:spacing w:line="240" w:lineRule="auto" w:before="40" w:after="200"/>
        <w:jc w:val="left"/>
      </w:pPr>
      <w:r>
        <w:rPr>
          <w:rFonts w:ascii="Arial" w:hAnsi="Arial"/>
          <w:sz w:val="20"/>
        </w:rPr>
        <w:t>Fonte: elaboração própria a partir de IBM HR Analytics (Kaggle, 2017).</w:t>
      </w:r>
    </w:p>
    <w:p>
      <w:pPr>
        <w:keepNext/>
        <w:spacing w:line="240" w:lineRule="auto" w:before="120" w:after="40"/>
        <w:jc w:val="center"/>
      </w:pPr>
      <w:r>
        <w:rPr>
          <w:rFonts w:ascii="Arial" w:hAnsi="Arial"/>
          <w:b/>
          <w:sz w:val="20"/>
        </w:rPr>
        <w:t>Figura 2</w:t>
      </w:r>
      <w:r>
        <w:rPr>
          <w:rFonts w:ascii="Arial" w:hAnsi="Arial"/>
          <w:sz w:val="20"/>
        </w:rPr>
        <w:t xml:space="preserve"> – Boxplots das variáveis numéricas e outliers pela regra do IQR</w:t>
      </w:r>
    </w:p>
    <w:p>
      <w:pPr>
        <w:keepNext/>
        <w:spacing w:after="0"/>
        <w:jc w:val="center"/>
      </w:pPr>
      <w:r>
        <w:drawing>
          <wp:inline>
            <wp:extent cx="5760000" cy="3155205"/>
            <wp:docPr id="2" name="Picture 2"/>
            <wp:cNvGraphicFramePr>
              <a:graphicFrameLocks noChangeAspect="1"/>
            </wp:cNvGraphicFramePr>
            <a:graphic>
              <a:graphicData uri="http://schemas.openxmlformats.org/drawingml/2006/picture">
                <pic:pic>
                  <pic:nvPicPr>
                    <pic:cNvPr id="0" name="fig02_outliers_boxplots.png"/>
                    <pic:cNvPicPr/>
                  </pic:nvPicPr>
                  <pic:blipFill>
                    <a:blip r:embed="rId11"/>
                    <a:stretch>
                      <a:fillRect/>
                    </a:stretch>
                  </pic:blipFill>
                  <pic:spPr>
                    <a:xfrm>
                      <a:off x="0" y="0"/>
                      <a:ext cx="5760000" cy="3155205"/>
                    </a:xfrm>
                    <a:prstGeom prst="rect"/>
                  </pic:spPr>
                </pic:pic>
              </a:graphicData>
            </a:graphic>
          </wp:inline>
        </w:drawing>
      </w:r>
    </w:p>
    <w:p>
      <w:pPr>
        <w:keepNext w:val="0"/>
        <w:spacing w:line="240" w:lineRule="auto" w:before="40" w:after="200"/>
        <w:jc w:val="left"/>
      </w:pPr>
      <w:r>
        <w:rPr>
          <w:rFonts w:ascii="Arial" w:hAnsi="Arial"/>
          <w:sz w:val="20"/>
        </w:rPr>
        <w:t>Pontos laranja: valores fora dos limites do IQR. Fonte: elaboração própria a partir de IBM HR Analytics (Kaggle, 2017).</w:t>
      </w:r>
    </w:p>
    <w:p>
      <w:pPr>
        <w:pStyle w:val="Heading2"/>
        <w:spacing w:before="240" w:after="120"/>
      </w:pPr>
      <w:r>
        <w:rPr>
          <w:b/>
          <w:sz w:val="24"/>
        </w:rPr>
        <w:t>2.3 Tipagem das variáveis</w:t>
      </w:r>
    </w:p>
    <w:p>
      <w:pPr>
        <w:spacing w:line="360" w:lineRule="auto" w:after="120" w:before="0"/>
        <w:ind w:firstLine="709"/>
        <w:jc w:val="both"/>
      </w:pPr>
      <w:r>
        <w:rPr>
          <w:rFonts w:ascii="Arial" w:hAnsi="Arial"/>
          <w:sz w:val="24"/>
        </w:rPr>
        <w:t xml:space="preserve">Cada variável foi classificada pelo seu tipo estatístico, que define as medidas e testes adequados. As escalas de 1 a 4 (satisfação, envolvimento) foram tratadas como </w:t>
      </w:r>
      <w:r>
        <w:rPr>
          <w:rFonts w:ascii="Arial" w:hAnsi="Arial"/>
          <w:b/>
          <w:sz w:val="24"/>
        </w:rPr>
        <w:t>qualitativas ordinais</w:t>
      </w:r>
      <w:r>
        <w:rPr>
          <w:rFonts w:ascii="Arial" w:hAnsi="Arial"/>
          <w:sz w:val="24"/>
        </w:rPr>
        <w:t>, e não como medidas contínuas (Tabela 4).</w:t>
      </w:r>
    </w:p>
    <w:p>
      <w:pPr>
        <w:keepNext/>
        <w:spacing w:line="240" w:lineRule="auto" w:before="120" w:after="40"/>
        <w:jc w:val="center"/>
      </w:pPr>
      <w:r>
        <w:rPr>
          <w:rFonts w:ascii="Arial" w:hAnsi="Arial"/>
          <w:b/>
          <w:sz w:val="20"/>
        </w:rPr>
        <w:t>Tabela 4</w:t>
      </w:r>
      <w:r>
        <w:rPr>
          <w:rFonts w:ascii="Arial" w:hAnsi="Arial"/>
          <w:sz w:val="20"/>
        </w:rPr>
        <w:t xml:space="preserve"> – Tipagem estatística das variáveis analisadas</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2041"/>
        <w:gridCol w:w="7030"/>
      </w:tblGrid>
      <w:tr>
        <w:trPr>
          <w:tblHeader w:val="true"/>
          <w:cantSplit/>
        </w:trPr>
        <w:tc>
          <w:tcPr>
            <w:tcW w:type="dxa" w:w="2041"/>
            <w:shd w:val="clear" w:color="auto" w:fill="E8EEF7"/>
          </w:tcPr>
          <w:p>
            <w:pPr>
              <w:spacing w:after="20" w:before="20" w:line="240" w:lineRule="auto"/>
              <w:jc w:val="left"/>
            </w:pPr>
            <w:r/>
            <w:r>
              <w:rPr>
                <w:rFonts w:ascii="Arial" w:hAnsi="Arial"/>
                <w:b/>
                <w:sz w:val="17"/>
              </w:rPr>
              <w:t>Tipo estatístico</w:t>
            </w:r>
          </w:p>
        </w:tc>
        <w:tc>
          <w:tcPr>
            <w:tcW w:type="dxa" w:w="7030"/>
            <w:shd w:val="clear" w:color="auto" w:fill="E8EEF7"/>
          </w:tcPr>
          <w:p>
            <w:pPr>
              <w:spacing w:after="20" w:before="20" w:line="240" w:lineRule="auto"/>
              <w:jc w:val="left"/>
            </w:pPr>
            <w:r/>
            <w:r>
              <w:rPr>
                <w:rFonts w:ascii="Arial" w:hAnsi="Arial"/>
                <w:b/>
                <w:sz w:val="17"/>
              </w:rPr>
              <w:t>Variáveis</w:t>
            </w:r>
          </w:p>
        </w:tc>
      </w:tr>
      <w:tr>
        <w:trPr>
          <w:cantSplit/>
        </w:trPr>
        <w:tc>
          <w:tcPr>
            <w:tcW w:type="dxa" w:w="2041"/>
          </w:tcPr>
          <w:p>
            <w:pPr>
              <w:spacing w:after="20" w:before="20" w:line="240" w:lineRule="auto"/>
              <w:jc w:val="left"/>
            </w:pPr>
            <w:r/>
            <w:r>
              <w:rPr>
                <w:rFonts w:ascii="Arial" w:hAnsi="Arial"/>
                <w:sz w:val="17"/>
              </w:rPr>
              <w:t>Quantitativa contínua</w:t>
            </w:r>
          </w:p>
        </w:tc>
        <w:tc>
          <w:tcPr>
            <w:tcW w:type="dxa" w:w="7030"/>
          </w:tcPr>
          <w:p>
            <w:pPr>
              <w:spacing w:after="20" w:before="20" w:line="240" w:lineRule="auto"/>
              <w:jc w:val="left"/>
            </w:pPr>
            <w:r/>
            <w:r>
              <w:rPr>
                <w:rFonts w:ascii="Arial" w:hAnsi="Arial"/>
                <w:sz w:val="17"/>
              </w:rPr>
              <w:t>Idade; Renda mensal</w:t>
            </w:r>
          </w:p>
        </w:tc>
      </w:tr>
      <w:tr>
        <w:trPr>
          <w:cantSplit/>
        </w:trPr>
        <w:tc>
          <w:tcPr>
            <w:tcW w:type="dxa" w:w="2041"/>
          </w:tcPr>
          <w:p>
            <w:pPr>
              <w:spacing w:after="20" w:before="20" w:line="240" w:lineRule="auto"/>
              <w:jc w:val="left"/>
            </w:pPr>
            <w:r/>
            <w:r>
              <w:rPr>
                <w:rFonts w:ascii="Arial" w:hAnsi="Arial"/>
                <w:sz w:val="17"/>
              </w:rPr>
              <w:t>Quantitativa discreta</w:t>
            </w:r>
          </w:p>
        </w:tc>
        <w:tc>
          <w:tcPr>
            <w:tcW w:type="dxa" w:w="7030"/>
          </w:tcPr>
          <w:p>
            <w:pPr>
              <w:spacing w:after="20" w:before="20" w:line="240" w:lineRule="auto"/>
              <w:jc w:val="left"/>
            </w:pPr>
            <w:r/>
            <w:r>
              <w:rPr>
                <w:rFonts w:ascii="Arial" w:hAnsi="Arial"/>
                <w:sz w:val="17"/>
              </w:rPr>
              <w:t>Distância de casa; Nº de empresas anteriores; Reajuste salarial; Anos de experiência total; Treinamentos no último ano; Anos na empresa; Anos no cargo atual; Anos desde a última promoção; Anos com o gestor atual</w:t>
            </w:r>
          </w:p>
        </w:tc>
      </w:tr>
      <w:tr>
        <w:trPr>
          <w:cantSplit/>
        </w:trPr>
        <w:tc>
          <w:tcPr>
            <w:tcW w:type="dxa" w:w="2041"/>
          </w:tcPr>
          <w:p>
            <w:pPr>
              <w:spacing w:after="20" w:before="20" w:line="240" w:lineRule="auto"/>
              <w:jc w:val="left"/>
            </w:pPr>
            <w:r/>
            <w:r>
              <w:rPr>
                <w:rFonts w:ascii="Arial" w:hAnsi="Arial"/>
                <w:sz w:val="17"/>
              </w:rPr>
              <w:t>Qualitativa nominal</w:t>
            </w:r>
          </w:p>
        </w:tc>
        <w:tc>
          <w:tcPr>
            <w:tcW w:type="dxa" w:w="7030"/>
          </w:tcPr>
          <w:p>
            <w:pPr>
              <w:spacing w:after="20" w:before="20" w:line="240" w:lineRule="auto"/>
              <w:jc w:val="left"/>
            </w:pPr>
            <w:r/>
            <w:r>
              <w:rPr>
                <w:rFonts w:ascii="Arial" w:hAnsi="Arial"/>
                <w:sz w:val="17"/>
              </w:rPr>
              <w:t>Rotatividade; Departamento; Cargo; Área de formação; Gênero; Estado civil; Hora extra</w:t>
            </w:r>
          </w:p>
        </w:tc>
      </w:tr>
      <w:tr>
        <w:trPr>
          <w:cantSplit/>
        </w:trPr>
        <w:tc>
          <w:tcPr>
            <w:tcW w:type="dxa" w:w="2041"/>
          </w:tcPr>
          <w:p>
            <w:pPr>
              <w:spacing w:after="20" w:before="20" w:line="240" w:lineRule="auto"/>
              <w:jc w:val="left"/>
            </w:pPr>
            <w:r/>
            <w:r>
              <w:rPr>
                <w:rFonts w:ascii="Arial" w:hAnsi="Arial"/>
                <w:sz w:val="17"/>
              </w:rPr>
              <w:t>Qualitativa ordinal</w:t>
            </w:r>
          </w:p>
        </w:tc>
        <w:tc>
          <w:tcPr>
            <w:tcW w:type="dxa" w:w="7030"/>
          </w:tcPr>
          <w:p>
            <w:pPr>
              <w:spacing w:after="20" w:before="20" w:line="240" w:lineRule="auto"/>
              <w:jc w:val="left"/>
            </w:pPr>
            <w:r/>
            <w:r>
              <w:rPr>
                <w:rFonts w:ascii="Arial" w:hAnsi="Arial"/>
                <w:sz w:val="17"/>
              </w:rPr>
              <w:t>Viagens a trabalho; Escolaridade; Satisfação com o ambiente; Envolvimento com o trabalho; Nível do cargo; Satisfação com o trabalho; Avaliação de desempenho; Satisfação com relacionamentos; Nível de ações; Equilíbrio vida-trabalho</w:t>
            </w:r>
          </w:p>
        </w:tc>
      </w:tr>
    </w:tbl>
    <w:p>
      <w:pPr>
        <w:keepNext w:val="0"/>
        <w:spacing w:line="240" w:lineRule="auto" w:before="40" w:after="200"/>
        <w:jc w:val="left"/>
      </w:pPr>
      <w:r>
        <w:rPr>
          <w:rFonts w:ascii="Arial" w:hAnsi="Arial"/>
          <w:sz w:val="20"/>
        </w:rPr>
        <w:t>Fonte: elaboração própria a partir de IBM HR Analytics (Kaggle, 2017).</w:t>
      </w:r>
    </w:p>
    <w:p>
      <w:pPr>
        <w:pStyle w:val="Heading2"/>
        <w:spacing w:before="240" w:after="120"/>
      </w:pPr>
      <w:r>
        <w:rPr>
          <w:b/>
          <w:sz w:val="24"/>
        </w:rPr>
        <w:t>2.4 Procedimentos estatísticos</w:t>
      </w:r>
    </w:p>
    <w:p>
      <w:pPr>
        <w:spacing w:line="360" w:lineRule="auto" w:after="120" w:before="0"/>
        <w:ind w:firstLine="709"/>
        <w:jc w:val="both"/>
      </w:pPr>
      <w:r>
        <w:rPr>
          <w:rFonts w:ascii="Arial" w:hAnsi="Arial"/>
          <w:sz w:val="24"/>
        </w:rPr>
        <w:t xml:space="preserve">Na etapa descritiva foram calculadas média, mediana, desvio padrão, intervalo interquartil (IQR), assimetria, mínimo e máximo das variáveis numéricas, e frequências absolutas e relativas das categóricas. A matriz de correlação usou o coeficiente de </w:t>
      </w:r>
      <w:r>
        <w:rPr>
          <w:rFonts w:ascii="Arial" w:hAnsi="Arial"/>
          <w:b/>
          <w:sz w:val="24"/>
        </w:rPr>
        <w:t>Spearman</w:t>
      </w:r>
      <w:r>
        <w:rPr>
          <w:rFonts w:ascii="Arial" w:hAnsi="Arial"/>
          <w:sz w:val="24"/>
        </w:rPr>
        <w:t>, adequado a variáveis assimétricas e ordinais.</w:t>
      </w:r>
    </w:p>
    <w:p>
      <w:pPr>
        <w:spacing w:line="360" w:lineRule="auto" w:after="120" w:before="0"/>
        <w:ind w:firstLine="709"/>
        <w:jc w:val="both"/>
      </w:pPr>
      <w:r>
        <w:rPr>
          <w:rFonts w:ascii="Arial" w:hAnsi="Arial"/>
          <w:sz w:val="24"/>
        </w:rPr>
        <w:t xml:space="preserve">Na etapa inferencial, todos os testes adotaram </w:t>
      </w:r>
      <w:r>
        <w:rPr>
          <w:rFonts w:ascii="Arial" w:hAnsi="Arial"/>
          <w:b/>
          <w:sz w:val="24"/>
        </w:rPr>
        <w:t>nível de significância α = 0,05</w:t>
      </w:r>
      <w:r>
        <w:rPr>
          <w:rFonts w:ascii="Arial" w:hAnsi="Arial"/>
          <w:sz w:val="24"/>
        </w:rPr>
        <w:t xml:space="preserve"> e seguiram o mesmo roteiro: hipóteses H₀ e H₁, verificação de pressupostos, escolha justificada do teste, estatística, p-valor, decisão, tamanho de efeito e interpretação de negócio. Os procedimentos foram:</w:t>
      </w:r>
    </w:p>
    <w:p>
      <w:pPr>
        <w:spacing w:line="360" w:lineRule="auto" w:after="60"/>
        <w:ind w:left="567" w:hanging="283"/>
        <w:jc w:val="both"/>
      </w:pPr>
      <w:r>
        <w:rPr>
          <w:rFonts w:ascii="Arial" w:hAnsi="Arial"/>
          <w:sz w:val="24"/>
        </w:rPr>
        <w:t xml:space="preserve">•  </w:t>
      </w:r>
      <w:r>
        <w:rPr>
          <w:rFonts w:ascii="Arial" w:hAnsi="Arial"/>
          <w:b/>
          <w:sz w:val="24"/>
        </w:rPr>
        <w:t>Intervalos de confiança (95%)</w:t>
      </w:r>
      <w:r>
        <w:rPr>
          <w:rFonts w:ascii="Arial" w:hAnsi="Arial"/>
          <w:sz w:val="24"/>
        </w:rPr>
        <w:t xml:space="preserve"> para proporções pelo método de </w:t>
      </w:r>
      <w:r>
        <w:rPr>
          <w:rFonts w:ascii="Arial" w:hAnsi="Arial"/>
          <w:b/>
          <w:sz w:val="24"/>
        </w:rPr>
        <w:t>Wilson</w:t>
      </w:r>
      <w:r>
        <w:rPr>
          <w:rFonts w:ascii="Arial" w:hAnsi="Arial"/>
          <w:sz w:val="24"/>
        </w:rPr>
        <w:t xml:space="preserve"> e para a diferença de proporções pelo método de </w:t>
      </w:r>
      <w:r>
        <w:rPr>
          <w:rFonts w:ascii="Arial" w:hAnsi="Arial"/>
          <w:b/>
          <w:sz w:val="24"/>
        </w:rPr>
        <w:t>Newcombe</w:t>
      </w:r>
      <w:r>
        <w:rPr>
          <w:rFonts w:ascii="Arial" w:hAnsi="Arial"/>
          <w:sz w:val="24"/>
        </w:rPr>
        <w:t>, ambos mais precisos que o método clássico para proporções distantes de 50% ou grupos pequenos;</w:t>
      </w:r>
    </w:p>
    <w:p>
      <w:pPr>
        <w:spacing w:line="360" w:lineRule="auto" w:after="60"/>
        <w:ind w:left="567" w:hanging="283"/>
        <w:jc w:val="both"/>
      </w:pPr>
      <w:r>
        <w:rPr>
          <w:rFonts w:ascii="Arial" w:hAnsi="Arial"/>
          <w:sz w:val="24"/>
        </w:rPr>
        <w:t xml:space="preserve">•  </w:t>
      </w:r>
      <w:r>
        <w:rPr>
          <w:rFonts w:ascii="Arial" w:hAnsi="Arial"/>
          <w:b/>
          <w:sz w:val="24"/>
        </w:rPr>
        <w:t>Teste t de Student</w:t>
      </w:r>
      <w:r>
        <w:rPr>
          <w:rFonts w:ascii="Arial" w:hAnsi="Arial"/>
          <w:sz w:val="24"/>
        </w:rPr>
        <w:t xml:space="preserve"> para duas médias, na versão de </w:t>
      </w:r>
      <w:r>
        <w:rPr>
          <w:rFonts w:ascii="Arial" w:hAnsi="Arial"/>
          <w:b/>
          <w:sz w:val="24"/>
        </w:rPr>
        <w:t>Welch</w:t>
      </w:r>
      <w:r>
        <w:rPr>
          <w:rFonts w:ascii="Arial" w:hAnsi="Arial"/>
          <w:sz w:val="24"/>
        </w:rPr>
        <w:t xml:space="preserve"> quando o teste de Levene indicou variâncias diferentes. A normalidade foi avaliada por Shapiro-Wilk e gráficos Q-Q. Com amostras grandes (n &gt; 30), o Teorema Central do Limite sustenta a inferência sobre médias;</w:t>
      </w:r>
    </w:p>
    <w:p>
      <w:pPr>
        <w:spacing w:line="360" w:lineRule="auto" w:after="60"/>
        <w:ind w:left="567" w:hanging="283"/>
        <w:jc w:val="both"/>
      </w:pPr>
      <w:r>
        <w:rPr>
          <w:rFonts w:ascii="Arial" w:hAnsi="Arial"/>
          <w:sz w:val="24"/>
        </w:rPr>
        <w:t xml:space="preserve">•  </w:t>
      </w:r>
      <w:r>
        <w:rPr>
          <w:rFonts w:ascii="Arial" w:hAnsi="Arial"/>
          <w:b/>
          <w:sz w:val="24"/>
        </w:rPr>
        <w:t>ANOVA</w:t>
      </w:r>
      <w:r>
        <w:rPr>
          <w:rFonts w:ascii="Arial" w:hAnsi="Arial"/>
          <w:sz w:val="24"/>
        </w:rPr>
        <w:t xml:space="preserve"> de um fator para três ou mais médias, com teste de Levene e post-hoc de Tukey quando necessário;</w:t>
      </w:r>
    </w:p>
    <w:p>
      <w:pPr>
        <w:spacing w:line="360" w:lineRule="auto" w:after="60"/>
        <w:ind w:left="567" w:hanging="283"/>
        <w:jc w:val="both"/>
      </w:pPr>
      <w:r>
        <w:rPr>
          <w:rFonts w:ascii="Arial" w:hAnsi="Arial"/>
          <w:sz w:val="24"/>
        </w:rPr>
        <w:t xml:space="preserve">•  </w:t>
      </w:r>
      <w:r>
        <w:rPr>
          <w:rFonts w:ascii="Arial" w:hAnsi="Arial"/>
          <w:b/>
          <w:sz w:val="24"/>
        </w:rPr>
        <w:t>Teste Qui-Quadrado</w:t>
      </w:r>
      <w:r>
        <w:rPr>
          <w:rFonts w:ascii="Arial" w:hAnsi="Arial"/>
          <w:sz w:val="24"/>
        </w:rPr>
        <w:t xml:space="preserve"> de independência para pares de variáveis categóricas, verificando frequências esperadas ≥ 5, com </w:t>
      </w:r>
      <w:r>
        <w:rPr>
          <w:rFonts w:ascii="Arial" w:hAnsi="Arial"/>
          <w:b/>
          <w:sz w:val="24"/>
        </w:rPr>
        <w:t>correção de Holm</w:t>
      </w:r>
      <w:r>
        <w:rPr>
          <w:rFonts w:ascii="Arial" w:hAnsi="Arial"/>
          <w:sz w:val="24"/>
        </w:rPr>
        <w:t xml:space="preserve"> para o conjunto de quatro testes da Q3;</w:t>
      </w:r>
    </w:p>
    <w:p>
      <w:pPr>
        <w:spacing w:line="360" w:lineRule="auto" w:after="60"/>
        <w:ind w:left="567" w:hanging="283"/>
        <w:jc w:val="both"/>
      </w:pPr>
      <w:r>
        <w:rPr>
          <w:rFonts w:ascii="Arial" w:hAnsi="Arial"/>
          <w:sz w:val="24"/>
        </w:rPr>
        <w:t xml:space="preserve">•  </w:t>
      </w:r>
      <w:r>
        <w:rPr>
          <w:rFonts w:ascii="Arial" w:hAnsi="Arial"/>
          <w:b/>
          <w:sz w:val="24"/>
        </w:rPr>
        <w:t>Teste de correlação</w:t>
      </w:r>
      <w:r>
        <w:rPr>
          <w:rFonts w:ascii="Arial" w:hAnsi="Arial"/>
          <w:sz w:val="24"/>
        </w:rPr>
        <w:t xml:space="preserve"> (Pearson e Spearman) para relações entre variáveis quantitativas.</w:t>
      </w:r>
    </w:p>
    <w:p>
      <w:pPr>
        <w:spacing w:line="360" w:lineRule="auto" w:after="120" w:before="0"/>
        <w:ind w:firstLine="709"/>
        <w:jc w:val="both"/>
      </w:pPr>
      <w:r>
        <w:rPr>
          <w:rFonts w:ascii="Arial" w:hAnsi="Arial"/>
          <w:sz w:val="24"/>
        </w:rPr>
        <w:t xml:space="preserve">Os tamanhos de efeito (V de Cramér, d de Cohen, η² e r) foram interpretados segundo Cohen (1988), para distinguir diferenças </w:t>
      </w:r>
      <w:r>
        <w:rPr>
          <w:rFonts w:ascii="Arial" w:hAnsi="Arial"/>
          <w:b/>
          <w:sz w:val="24"/>
        </w:rPr>
        <w:t>estatisticamente significativas</w:t>
      </w:r>
      <w:r>
        <w:rPr>
          <w:rFonts w:ascii="Arial" w:hAnsi="Arial"/>
          <w:sz w:val="24"/>
        </w:rPr>
        <w:t xml:space="preserve"> de diferenças </w:t>
      </w:r>
      <w:r>
        <w:rPr>
          <w:rFonts w:ascii="Arial" w:hAnsi="Arial"/>
          <w:b/>
          <w:sz w:val="24"/>
        </w:rPr>
        <w:t>relevantes na prática</w:t>
      </w:r>
      <w:r>
        <w:rPr>
          <w:rFonts w:ascii="Arial" w:hAnsi="Arial"/>
          <w:sz w:val="24"/>
        </w:rPr>
        <w:t>.</w:t>
      </w:r>
    </w:p>
    <w:p w:rsidR="00000000" w:rsidDel="00000000" w:rsidP="00000000" w:rsidRDefault="00000000" w:rsidRPr="00000000" w14:paraId="00000053">
      <w:pPr>
        <w:pStyle w:val="Heading1"/>
        <w:keepNext w:val="0"/>
        <w:keepLines w:val="0"/>
        <w:pageBreakBefore/>
        <w:spacing w:after="0" w:before="0" w:line="360" w:lineRule="auto"/>
        <w:jc w:val="both"/>
        <w:rPr>
          <w:sz w:val="24"/>
          <w:szCs w:val="24"/>
        </w:rPr>
      </w:pPr>
      <w:bookmarkStart w:colFirst="0" w:colLast="0" w:name="_h1rfogi5m44o" w:id="8"/>
      <w:bookmarkEnd w:id="8"/>
      <w:r w:rsidDel="00000000" w:rsidR="00000000" w:rsidRPr="00000000">
        <w:rPr>
          <w:sz w:val="24"/>
          <w:szCs w:val="24"/>
          <w:rtl w:val="0"/>
        </w:rPr>
        <w:t xml:space="preserve">3. Análise Descritiva e Exploratória</w:t>
      </w:r>
    </w:p>
    <w:p>
      <w:pPr>
        <w:pStyle w:val="Heading2"/>
        <w:spacing w:before="240" w:after="120"/>
      </w:pPr>
      <w:r>
        <w:rPr>
          <w:b/>
          <w:sz w:val="24"/>
        </w:rPr>
        <w:t>3.1 Variáveis numéricas</w:t>
      </w:r>
    </w:p>
    <w:p>
      <w:pPr>
        <w:spacing w:line="360" w:lineRule="auto" w:after="120" w:before="0"/>
        <w:ind w:firstLine="709"/>
        <w:jc w:val="both"/>
      </w:pPr>
      <w:r>
        <w:rPr>
          <w:rFonts w:ascii="Arial" w:hAnsi="Arial"/>
          <w:sz w:val="24"/>
        </w:rPr>
        <w:t xml:space="preserve">A Tabela 5 apresenta as medidas-resumo. A </w:t>
      </w:r>
      <w:r>
        <w:rPr>
          <w:rFonts w:ascii="Arial" w:hAnsi="Arial"/>
          <w:b/>
          <w:sz w:val="24"/>
        </w:rPr>
        <w:t>idade</w:t>
      </w:r>
      <w:r>
        <w:rPr>
          <w:rFonts w:ascii="Arial" w:hAnsi="Arial"/>
          <w:sz w:val="24"/>
        </w:rPr>
        <w:t xml:space="preserve"> é praticamente simétrica (média de 36,9 e mediana de 36 anos). A </w:t>
      </w:r>
      <w:r>
        <w:rPr>
          <w:rFonts w:ascii="Arial" w:hAnsi="Arial"/>
          <w:b/>
          <w:sz w:val="24"/>
        </w:rPr>
        <w:t>renda mensal</w:t>
      </w:r>
      <w:r>
        <w:rPr>
          <w:rFonts w:ascii="Arial" w:hAnsi="Arial"/>
          <w:sz w:val="24"/>
        </w:rPr>
        <w:t xml:space="preserve"> tem forte assimetria à direita (assimetria = 1,37): a média (US$ 6.503) supera bastante a mediana (US$ 4.919), por isso a mediana representa melhor o salário típico. As variáveis de tempo (anos na empresa, desde a última promoção) também são assimétricas: a maioria dos funcionários tem pouco tempo de casa, e poucos têm décadas (Figura 3).</w:t>
      </w:r>
    </w:p>
    <w:p>
      <w:pPr>
        <w:keepNext/>
        <w:spacing w:line="240" w:lineRule="auto" w:before="120" w:after="40"/>
        <w:jc w:val="center"/>
      </w:pPr>
      <w:r>
        <w:rPr>
          <w:rFonts w:ascii="Arial" w:hAnsi="Arial"/>
          <w:b/>
          <w:sz w:val="20"/>
        </w:rPr>
        <w:t>Tabela 5</w:t>
      </w:r>
      <w:r>
        <w:rPr>
          <w:rFonts w:ascii="Arial" w:hAnsi="Arial"/>
          <w:sz w:val="20"/>
        </w:rPr>
        <w:t xml:space="preserve"> – Medidas descritivas das variáveis numéricas (n = 1.470)</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2608"/>
        <w:gridCol w:w="907"/>
        <w:gridCol w:w="907"/>
        <w:gridCol w:w="907"/>
        <w:gridCol w:w="850"/>
        <w:gridCol w:w="850"/>
        <w:gridCol w:w="794"/>
        <w:gridCol w:w="907"/>
      </w:tblGrid>
      <w:tr>
        <w:trPr>
          <w:tblHeader w:val="true"/>
          <w:cantSplit/>
        </w:trPr>
        <w:tc>
          <w:tcPr>
            <w:tcW w:type="dxa" w:w="2608"/>
            <w:shd w:val="clear" w:color="auto" w:fill="E8EEF7"/>
          </w:tcPr>
          <w:p>
            <w:pPr>
              <w:spacing w:after="20" w:before="20" w:line="240" w:lineRule="auto"/>
              <w:jc w:val="left"/>
            </w:pPr>
            <w:r/>
            <w:r>
              <w:rPr>
                <w:rFonts w:ascii="Arial" w:hAnsi="Arial"/>
                <w:b/>
                <w:sz w:val="17"/>
              </w:rPr>
              <w:t>Variável</w:t>
            </w:r>
          </w:p>
        </w:tc>
        <w:tc>
          <w:tcPr>
            <w:tcW w:type="dxa" w:w="907"/>
            <w:shd w:val="clear" w:color="auto" w:fill="E8EEF7"/>
          </w:tcPr>
          <w:p>
            <w:pPr>
              <w:spacing w:after="20" w:before="20" w:line="240" w:lineRule="auto"/>
              <w:jc w:val="left"/>
            </w:pPr>
            <w:r/>
            <w:r>
              <w:rPr>
                <w:rFonts w:ascii="Arial" w:hAnsi="Arial"/>
                <w:b/>
                <w:sz w:val="17"/>
              </w:rPr>
              <w:t>Média</w:t>
            </w:r>
          </w:p>
        </w:tc>
        <w:tc>
          <w:tcPr>
            <w:tcW w:type="dxa" w:w="907"/>
            <w:shd w:val="clear" w:color="auto" w:fill="E8EEF7"/>
          </w:tcPr>
          <w:p>
            <w:pPr>
              <w:spacing w:after="20" w:before="20" w:line="240" w:lineRule="auto"/>
              <w:jc w:val="left"/>
            </w:pPr>
            <w:r/>
            <w:r>
              <w:rPr>
                <w:rFonts w:ascii="Arial" w:hAnsi="Arial"/>
                <w:b/>
                <w:sz w:val="17"/>
              </w:rPr>
              <w:t>Mediana</w:t>
            </w:r>
          </w:p>
        </w:tc>
        <w:tc>
          <w:tcPr>
            <w:tcW w:type="dxa" w:w="907"/>
            <w:shd w:val="clear" w:color="auto" w:fill="E8EEF7"/>
          </w:tcPr>
          <w:p>
            <w:pPr>
              <w:spacing w:after="20" w:before="20" w:line="240" w:lineRule="auto"/>
              <w:jc w:val="left"/>
            </w:pPr>
            <w:r/>
            <w:r>
              <w:rPr>
                <w:rFonts w:ascii="Arial" w:hAnsi="Arial"/>
                <w:b/>
                <w:sz w:val="17"/>
              </w:rPr>
              <w:t>DP</w:t>
            </w:r>
          </w:p>
        </w:tc>
        <w:tc>
          <w:tcPr>
            <w:tcW w:type="dxa" w:w="850"/>
            <w:shd w:val="clear" w:color="auto" w:fill="E8EEF7"/>
          </w:tcPr>
          <w:p>
            <w:pPr>
              <w:spacing w:after="20" w:before="20" w:line="240" w:lineRule="auto"/>
              <w:jc w:val="left"/>
            </w:pPr>
            <w:r/>
            <w:r>
              <w:rPr>
                <w:rFonts w:ascii="Arial" w:hAnsi="Arial"/>
                <w:b/>
                <w:sz w:val="17"/>
              </w:rPr>
              <w:t>IQR</w:t>
            </w:r>
          </w:p>
        </w:tc>
        <w:tc>
          <w:tcPr>
            <w:tcW w:type="dxa" w:w="850"/>
            <w:shd w:val="clear" w:color="auto" w:fill="E8EEF7"/>
          </w:tcPr>
          <w:p>
            <w:pPr>
              <w:spacing w:after="20" w:before="20" w:line="240" w:lineRule="auto"/>
              <w:jc w:val="left"/>
            </w:pPr>
            <w:r/>
            <w:r>
              <w:rPr>
                <w:rFonts w:ascii="Arial" w:hAnsi="Arial"/>
                <w:b/>
                <w:sz w:val="17"/>
              </w:rPr>
              <w:t>Assim.</w:t>
            </w:r>
          </w:p>
        </w:tc>
        <w:tc>
          <w:tcPr>
            <w:tcW w:type="dxa" w:w="794"/>
            <w:shd w:val="clear" w:color="auto" w:fill="E8EEF7"/>
          </w:tcPr>
          <w:p>
            <w:pPr>
              <w:spacing w:after="20" w:before="20" w:line="240" w:lineRule="auto"/>
              <w:jc w:val="left"/>
            </w:pPr>
            <w:r/>
            <w:r>
              <w:rPr>
                <w:rFonts w:ascii="Arial" w:hAnsi="Arial"/>
                <w:b/>
                <w:sz w:val="17"/>
              </w:rPr>
              <w:t>Mín.</w:t>
            </w:r>
          </w:p>
        </w:tc>
        <w:tc>
          <w:tcPr>
            <w:tcW w:type="dxa" w:w="907"/>
            <w:shd w:val="clear" w:color="auto" w:fill="E8EEF7"/>
          </w:tcPr>
          <w:p>
            <w:pPr>
              <w:spacing w:after="20" w:before="20" w:line="240" w:lineRule="auto"/>
              <w:jc w:val="left"/>
            </w:pPr>
            <w:r/>
            <w:r>
              <w:rPr>
                <w:rFonts w:ascii="Arial" w:hAnsi="Arial"/>
                <w:b/>
                <w:sz w:val="17"/>
              </w:rPr>
              <w:t>Máx.</w:t>
            </w:r>
          </w:p>
        </w:tc>
      </w:tr>
      <w:tr>
        <w:trPr>
          <w:cantSplit/>
        </w:trPr>
        <w:tc>
          <w:tcPr>
            <w:tcW w:type="dxa" w:w="2608"/>
          </w:tcPr>
          <w:p>
            <w:pPr>
              <w:spacing w:after="20" w:before="20" w:line="240" w:lineRule="auto"/>
              <w:jc w:val="left"/>
            </w:pPr>
            <w:r/>
            <w:r>
              <w:rPr>
                <w:rFonts w:ascii="Arial" w:hAnsi="Arial"/>
                <w:sz w:val="17"/>
              </w:rPr>
              <w:t>Idade</w:t>
            </w:r>
          </w:p>
        </w:tc>
        <w:tc>
          <w:tcPr>
            <w:tcW w:type="dxa" w:w="907"/>
          </w:tcPr>
          <w:p>
            <w:pPr>
              <w:spacing w:after="20" w:before="20" w:line="240" w:lineRule="auto"/>
              <w:jc w:val="left"/>
            </w:pPr>
            <w:r/>
            <w:r>
              <w:rPr>
                <w:rFonts w:ascii="Arial" w:hAnsi="Arial"/>
                <w:sz w:val="17"/>
              </w:rPr>
              <w:t>36,9</w:t>
            </w:r>
          </w:p>
        </w:tc>
        <w:tc>
          <w:tcPr>
            <w:tcW w:type="dxa" w:w="907"/>
          </w:tcPr>
          <w:p>
            <w:pPr>
              <w:spacing w:after="20" w:before="20" w:line="240" w:lineRule="auto"/>
              <w:jc w:val="left"/>
            </w:pPr>
            <w:r/>
            <w:r>
              <w:rPr>
                <w:rFonts w:ascii="Arial" w:hAnsi="Arial"/>
                <w:sz w:val="17"/>
              </w:rPr>
              <w:t>36,0</w:t>
            </w:r>
          </w:p>
        </w:tc>
        <w:tc>
          <w:tcPr>
            <w:tcW w:type="dxa" w:w="907"/>
          </w:tcPr>
          <w:p>
            <w:pPr>
              <w:spacing w:after="20" w:before="20" w:line="240" w:lineRule="auto"/>
              <w:jc w:val="left"/>
            </w:pPr>
            <w:r/>
            <w:r>
              <w:rPr>
                <w:rFonts w:ascii="Arial" w:hAnsi="Arial"/>
                <w:sz w:val="17"/>
              </w:rPr>
              <w:t>9,1</w:t>
            </w:r>
          </w:p>
        </w:tc>
        <w:tc>
          <w:tcPr>
            <w:tcW w:type="dxa" w:w="850"/>
          </w:tcPr>
          <w:p>
            <w:pPr>
              <w:spacing w:after="20" w:before="20" w:line="240" w:lineRule="auto"/>
              <w:jc w:val="left"/>
            </w:pPr>
            <w:r/>
            <w:r>
              <w:rPr>
                <w:rFonts w:ascii="Arial" w:hAnsi="Arial"/>
                <w:sz w:val="17"/>
              </w:rPr>
              <w:t>13,0</w:t>
            </w:r>
          </w:p>
        </w:tc>
        <w:tc>
          <w:tcPr>
            <w:tcW w:type="dxa" w:w="850"/>
          </w:tcPr>
          <w:p>
            <w:pPr>
              <w:spacing w:after="20" w:before="20" w:line="240" w:lineRule="auto"/>
              <w:jc w:val="left"/>
            </w:pPr>
            <w:r/>
            <w:r>
              <w:rPr>
                <w:rFonts w:ascii="Arial" w:hAnsi="Arial"/>
                <w:sz w:val="17"/>
              </w:rPr>
              <w:t>0,41</w:t>
            </w:r>
          </w:p>
        </w:tc>
        <w:tc>
          <w:tcPr>
            <w:tcW w:type="dxa" w:w="794"/>
          </w:tcPr>
          <w:p>
            <w:pPr>
              <w:spacing w:after="20" w:before="20" w:line="240" w:lineRule="auto"/>
              <w:jc w:val="left"/>
            </w:pPr>
            <w:r/>
            <w:r>
              <w:rPr>
                <w:rFonts w:ascii="Arial" w:hAnsi="Arial"/>
                <w:sz w:val="17"/>
              </w:rPr>
              <w:t>18</w:t>
            </w:r>
          </w:p>
        </w:tc>
        <w:tc>
          <w:tcPr>
            <w:tcW w:type="dxa" w:w="907"/>
          </w:tcPr>
          <w:p>
            <w:pPr>
              <w:spacing w:after="20" w:before="20" w:line="240" w:lineRule="auto"/>
              <w:jc w:val="left"/>
            </w:pPr>
            <w:r/>
            <w:r>
              <w:rPr>
                <w:rFonts w:ascii="Arial" w:hAnsi="Arial"/>
                <w:sz w:val="17"/>
              </w:rPr>
              <w:t>60</w:t>
            </w:r>
          </w:p>
        </w:tc>
      </w:tr>
      <w:tr>
        <w:trPr>
          <w:cantSplit/>
        </w:trPr>
        <w:tc>
          <w:tcPr>
            <w:tcW w:type="dxa" w:w="2608"/>
          </w:tcPr>
          <w:p>
            <w:pPr>
              <w:spacing w:after="20" w:before="20" w:line="240" w:lineRule="auto"/>
              <w:jc w:val="left"/>
            </w:pPr>
            <w:r/>
            <w:r>
              <w:rPr>
                <w:rFonts w:ascii="Arial" w:hAnsi="Arial"/>
                <w:sz w:val="17"/>
              </w:rPr>
              <w:t>Renda mensal (US$)</w:t>
            </w:r>
          </w:p>
        </w:tc>
        <w:tc>
          <w:tcPr>
            <w:tcW w:type="dxa" w:w="907"/>
          </w:tcPr>
          <w:p>
            <w:pPr>
              <w:spacing w:after="20" w:before="20" w:line="240" w:lineRule="auto"/>
              <w:jc w:val="left"/>
            </w:pPr>
            <w:r/>
            <w:r>
              <w:rPr>
                <w:rFonts w:ascii="Arial" w:hAnsi="Arial"/>
                <w:sz w:val="17"/>
              </w:rPr>
              <w:t>6.502,9</w:t>
            </w:r>
          </w:p>
        </w:tc>
        <w:tc>
          <w:tcPr>
            <w:tcW w:type="dxa" w:w="907"/>
          </w:tcPr>
          <w:p>
            <w:pPr>
              <w:spacing w:after="20" w:before="20" w:line="240" w:lineRule="auto"/>
              <w:jc w:val="left"/>
            </w:pPr>
            <w:r/>
            <w:r>
              <w:rPr>
                <w:rFonts w:ascii="Arial" w:hAnsi="Arial"/>
                <w:sz w:val="17"/>
              </w:rPr>
              <w:t>4.919,0</w:t>
            </w:r>
          </w:p>
        </w:tc>
        <w:tc>
          <w:tcPr>
            <w:tcW w:type="dxa" w:w="907"/>
          </w:tcPr>
          <w:p>
            <w:pPr>
              <w:spacing w:after="20" w:before="20" w:line="240" w:lineRule="auto"/>
              <w:jc w:val="left"/>
            </w:pPr>
            <w:r/>
            <w:r>
              <w:rPr>
                <w:rFonts w:ascii="Arial" w:hAnsi="Arial"/>
                <w:sz w:val="17"/>
              </w:rPr>
              <w:t>4.708,0</w:t>
            </w:r>
          </w:p>
        </w:tc>
        <w:tc>
          <w:tcPr>
            <w:tcW w:type="dxa" w:w="850"/>
          </w:tcPr>
          <w:p>
            <w:pPr>
              <w:spacing w:after="20" w:before="20" w:line="240" w:lineRule="auto"/>
              <w:jc w:val="left"/>
            </w:pPr>
            <w:r/>
            <w:r>
              <w:rPr>
                <w:rFonts w:ascii="Arial" w:hAnsi="Arial"/>
                <w:sz w:val="17"/>
              </w:rPr>
              <w:t>5.468,0</w:t>
            </w:r>
          </w:p>
        </w:tc>
        <w:tc>
          <w:tcPr>
            <w:tcW w:type="dxa" w:w="850"/>
          </w:tcPr>
          <w:p>
            <w:pPr>
              <w:spacing w:after="20" w:before="20" w:line="240" w:lineRule="auto"/>
              <w:jc w:val="left"/>
            </w:pPr>
            <w:r/>
            <w:r>
              <w:rPr>
                <w:rFonts w:ascii="Arial" w:hAnsi="Arial"/>
                <w:sz w:val="17"/>
              </w:rPr>
              <w:t>1,37</w:t>
            </w:r>
          </w:p>
        </w:tc>
        <w:tc>
          <w:tcPr>
            <w:tcW w:type="dxa" w:w="794"/>
          </w:tcPr>
          <w:p>
            <w:pPr>
              <w:spacing w:after="20" w:before="20" w:line="240" w:lineRule="auto"/>
              <w:jc w:val="left"/>
            </w:pPr>
            <w:r/>
            <w:r>
              <w:rPr>
                <w:rFonts w:ascii="Arial" w:hAnsi="Arial"/>
                <w:sz w:val="17"/>
              </w:rPr>
              <w:t>1.009</w:t>
            </w:r>
          </w:p>
        </w:tc>
        <w:tc>
          <w:tcPr>
            <w:tcW w:type="dxa" w:w="907"/>
          </w:tcPr>
          <w:p>
            <w:pPr>
              <w:spacing w:after="20" w:before="20" w:line="240" w:lineRule="auto"/>
              <w:jc w:val="left"/>
            </w:pPr>
            <w:r/>
            <w:r>
              <w:rPr>
                <w:rFonts w:ascii="Arial" w:hAnsi="Arial"/>
                <w:sz w:val="17"/>
              </w:rPr>
              <w:t>19.999</w:t>
            </w:r>
          </w:p>
        </w:tc>
      </w:tr>
      <w:tr>
        <w:trPr>
          <w:cantSplit/>
        </w:trPr>
        <w:tc>
          <w:tcPr>
            <w:tcW w:type="dxa" w:w="2608"/>
          </w:tcPr>
          <w:p>
            <w:pPr>
              <w:spacing w:after="20" w:before="20" w:line="240" w:lineRule="auto"/>
              <w:jc w:val="left"/>
            </w:pPr>
            <w:r/>
            <w:r>
              <w:rPr>
                <w:rFonts w:ascii="Arial" w:hAnsi="Arial"/>
                <w:sz w:val="17"/>
              </w:rPr>
              <w:t>Distância de casa (km)</w:t>
            </w:r>
          </w:p>
        </w:tc>
        <w:tc>
          <w:tcPr>
            <w:tcW w:type="dxa" w:w="907"/>
          </w:tcPr>
          <w:p>
            <w:pPr>
              <w:spacing w:after="20" w:before="20" w:line="240" w:lineRule="auto"/>
              <w:jc w:val="left"/>
            </w:pPr>
            <w:r/>
            <w:r>
              <w:rPr>
                <w:rFonts w:ascii="Arial" w:hAnsi="Arial"/>
                <w:sz w:val="17"/>
              </w:rPr>
              <w:t>9,2</w:t>
            </w:r>
          </w:p>
        </w:tc>
        <w:tc>
          <w:tcPr>
            <w:tcW w:type="dxa" w:w="907"/>
          </w:tcPr>
          <w:p>
            <w:pPr>
              <w:spacing w:after="20" w:before="20" w:line="240" w:lineRule="auto"/>
              <w:jc w:val="left"/>
            </w:pPr>
            <w:r/>
            <w:r>
              <w:rPr>
                <w:rFonts w:ascii="Arial" w:hAnsi="Arial"/>
                <w:sz w:val="17"/>
              </w:rPr>
              <w:t>7,0</w:t>
            </w:r>
          </w:p>
        </w:tc>
        <w:tc>
          <w:tcPr>
            <w:tcW w:type="dxa" w:w="907"/>
          </w:tcPr>
          <w:p>
            <w:pPr>
              <w:spacing w:after="20" w:before="20" w:line="240" w:lineRule="auto"/>
              <w:jc w:val="left"/>
            </w:pPr>
            <w:r/>
            <w:r>
              <w:rPr>
                <w:rFonts w:ascii="Arial" w:hAnsi="Arial"/>
                <w:sz w:val="17"/>
              </w:rPr>
              <w:t>8,1</w:t>
            </w:r>
          </w:p>
        </w:tc>
        <w:tc>
          <w:tcPr>
            <w:tcW w:type="dxa" w:w="850"/>
          </w:tcPr>
          <w:p>
            <w:pPr>
              <w:spacing w:after="20" w:before="20" w:line="240" w:lineRule="auto"/>
              <w:jc w:val="left"/>
            </w:pPr>
            <w:r/>
            <w:r>
              <w:rPr>
                <w:rFonts w:ascii="Arial" w:hAnsi="Arial"/>
                <w:sz w:val="17"/>
              </w:rPr>
              <w:t>12,0</w:t>
            </w:r>
          </w:p>
        </w:tc>
        <w:tc>
          <w:tcPr>
            <w:tcW w:type="dxa" w:w="850"/>
          </w:tcPr>
          <w:p>
            <w:pPr>
              <w:spacing w:after="20" w:before="20" w:line="240" w:lineRule="auto"/>
              <w:jc w:val="left"/>
            </w:pPr>
            <w:r/>
            <w:r>
              <w:rPr>
                <w:rFonts w:ascii="Arial" w:hAnsi="Arial"/>
                <w:sz w:val="17"/>
              </w:rPr>
              <w:t>0,96</w:t>
            </w:r>
          </w:p>
        </w:tc>
        <w:tc>
          <w:tcPr>
            <w:tcW w:type="dxa" w:w="794"/>
          </w:tcPr>
          <w:p>
            <w:pPr>
              <w:spacing w:after="20" w:before="20" w:line="240" w:lineRule="auto"/>
              <w:jc w:val="left"/>
            </w:pPr>
            <w:r/>
            <w:r>
              <w:rPr>
                <w:rFonts w:ascii="Arial" w:hAnsi="Arial"/>
                <w:sz w:val="17"/>
              </w:rPr>
              <w:t>1</w:t>
            </w:r>
          </w:p>
        </w:tc>
        <w:tc>
          <w:tcPr>
            <w:tcW w:type="dxa" w:w="907"/>
          </w:tcPr>
          <w:p>
            <w:pPr>
              <w:spacing w:after="20" w:before="20" w:line="240" w:lineRule="auto"/>
              <w:jc w:val="left"/>
            </w:pPr>
            <w:r/>
            <w:r>
              <w:rPr>
                <w:rFonts w:ascii="Arial" w:hAnsi="Arial"/>
                <w:sz w:val="17"/>
              </w:rPr>
              <w:t>29</w:t>
            </w:r>
          </w:p>
        </w:tc>
      </w:tr>
      <w:tr>
        <w:trPr>
          <w:cantSplit/>
        </w:trPr>
        <w:tc>
          <w:tcPr>
            <w:tcW w:type="dxa" w:w="2608"/>
          </w:tcPr>
          <w:p>
            <w:pPr>
              <w:spacing w:after="20" w:before="20" w:line="240" w:lineRule="auto"/>
              <w:jc w:val="left"/>
            </w:pPr>
            <w:r/>
            <w:r>
              <w:rPr>
                <w:rFonts w:ascii="Arial" w:hAnsi="Arial"/>
                <w:sz w:val="17"/>
              </w:rPr>
              <w:t>Nº de empresas anteriores</w:t>
            </w:r>
          </w:p>
        </w:tc>
        <w:tc>
          <w:tcPr>
            <w:tcW w:type="dxa" w:w="907"/>
          </w:tcPr>
          <w:p>
            <w:pPr>
              <w:spacing w:after="20" w:before="20" w:line="240" w:lineRule="auto"/>
              <w:jc w:val="left"/>
            </w:pPr>
            <w:r/>
            <w:r>
              <w:rPr>
                <w:rFonts w:ascii="Arial" w:hAnsi="Arial"/>
                <w:sz w:val="17"/>
              </w:rPr>
              <w:t>2,7</w:t>
            </w:r>
          </w:p>
        </w:tc>
        <w:tc>
          <w:tcPr>
            <w:tcW w:type="dxa" w:w="907"/>
          </w:tcPr>
          <w:p>
            <w:pPr>
              <w:spacing w:after="20" w:before="20" w:line="240" w:lineRule="auto"/>
              <w:jc w:val="left"/>
            </w:pPr>
            <w:r/>
            <w:r>
              <w:rPr>
                <w:rFonts w:ascii="Arial" w:hAnsi="Arial"/>
                <w:sz w:val="17"/>
              </w:rPr>
              <w:t>2,0</w:t>
            </w:r>
          </w:p>
        </w:tc>
        <w:tc>
          <w:tcPr>
            <w:tcW w:type="dxa" w:w="907"/>
          </w:tcPr>
          <w:p>
            <w:pPr>
              <w:spacing w:after="20" w:before="20" w:line="240" w:lineRule="auto"/>
              <w:jc w:val="left"/>
            </w:pPr>
            <w:r/>
            <w:r>
              <w:rPr>
                <w:rFonts w:ascii="Arial" w:hAnsi="Arial"/>
                <w:sz w:val="17"/>
              </w:rPr>
              <w:t>2,5</w:t>
            </w:r>
          </w:p>
        </w:tc>
        <w:tc>
          <w:tcPr>
            <w:tcW w:type="dxa" w:w="850"/>
          </w:tcPr>
          <w:p>
            <w:pPr>
              <w:spacing w:after="20" w:before="20" w:line="240" w:lineRule="auto"/>
              <w:jc w:val="left"/>
            </w:pPr>
            <w:r/>
            <w:r>
              <w:rPr>
                <w:rFonts w:ascii="Arial" w:hAnsi="Arial"/>
                <w:sz w:val="17"/>
              </w:rPr>
              <w:t>3,0</w:t>
            </w:r>
          </w:p>
        </w:tc>
        <w:tc>
          <w:tcPr>
            <w:tcW w:type="dxa" w:w="850"/>
          </w:tcPr>
          <w:p>
            <w:pPr>
              <w:spacing w:after="20" w:before="20" w:line="240" w:lineRule="auto"/>
              <w:jc w:val="left"/>
            </w:pPr>
            <w:r/>
            <w:r>
              <w:rPr>
                <w:rFonts w:ascii="Arial" w:hAnsi="Arial"/>
                <w:sz w:val="17"/>
              </w:rPr>
              <w:t>1,03</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9</w:t>
            </w:r>
          </w:p>
        </w:tc>
      </w:tr>
      <w:tr>
        <w:trPr>
          <w:cantSplit/>
        </w:trPr>
        <w:tc>
          <w:tcPr>
            <w:tcW w:type="dxa" w:w="2608"/>
          </w:tcPr>
          <w:p>
            <w:pPr>
              <w:spacing w:after="20" w:before="20" w:line="240" w:lineRule="auto"/>
              <w:jc w:val="left"/>
            </w:pPr>
            <w:r/>
            <w:r>
              <w:rPr>
                <w:rFonts w:ascii="Arial" w:hAnsi="Arial"/>
                <w:sz w:val="17"/>
              </w:rPr>
              <w:t>Reajuste salarial (%)</w:t>
            </w:r>
          </w:p>
        </w:tc>
        <w:tc>
          <w:tcPr>
            <w:tcW w:type="dxa" w:w="907"/>
          </w:tcPr>
          <w:p>
            <w:pPr>
              <w:spacing w:after="20" w:before="20" w:line="240" w:lineRule="auto"/>
              <w:jc w:val="left"/>
            </w:pPr>
            <w:r/>
            <w:r>
              <w:rPr>
                <w:rFonts w:ascii="Arial" w:hAnsi="Arial"/>
                <w:sz w:val="17"/>
              </w:rPr>
              <w:t>15,2</w:t>
            </w:r>
          </w:p>
        </w:tc>
        <w:tc>
          <w:tcPr>
            <w:tcW w:type="dxa" w:w="907"/>
          </w:tcPr>
          <w:p>
            <w:pPr>
              <w:spacing w:after="20" w:before="20" w:line="240" w:lineRule="auto"/>
              <w:jc w:val="left"/>
            </w:pPr>
            <w:r/>
            <w:r>
              <w:rPr>
                <w:rFonts w:ascii="Arial" w:hAnsi="Arial"/>
                <w:sz w:val="17"/>
              </w:rPr>
              <w:t>14,0</w:t>
            </w:r>
          </w:p>
        </w:tc>
        <w:tc>
          <w:tcPr>
            <w:tcW w:type="dxa" w:w="907"/>
          </w:tcPr>
          <w:p>
            <w:pPr>
              <w:spacing w:after="20" w:before="20" w:line="240" w:lineRule="auto"/>
              <w:jc w:val="left"/>
            </w:pPr>
            <w:r/>
            <w:r>
              <w:rPr>
                <w:rFonts w:ascii="Arial" w:hAnsi="Arial"/>
                <w:sz w:val="17"/>
              </w:rPr>
              <w:t>3,7</w:t>
            </w:r>
          </w:p>
        </w:tc>
        <w:tc>
          <w:tcPr>
            <w:tcW w:type="dxa" w:w="850"/>
          </w:tcPr>
          <w:p>
            <w:pPr>
              <w:spacing w:after="20" w:before="20" w:line="240" w:lineRule="auto"/>
              <w:jc w:val="left"/>
            </w:pPr>
            <w:r/>
            <w:r>
              <w:rPr>
                <w:rFonts w:ascii="Arial" w:hAnsi="Arial"/>
                <w:sz w:val="17"/>
              </w:rPr>
              <w:t>6,0</w:t>
            </w:r>
          </w:p>
        </w:tc>
        <w:tc>
          <w:tcPr>
            <w:tcW w:type="dxa" w:w="850"/>
          </w:tcPr>
          <w:p>
            <w:pPr>
              <w:spacing w:after="20" w:before="20" w:line="240" w:lineRule="auto"/>
              <w:jc w:val="left"/>
            </w:pPr>
            <w:r/>
            <w:r>
              <w:rPr>
                <w:rFonts w:ascii="Arial" w:hAnsi="Arial"/>
                <w:sz w:val="17"/>
              </w:rPr>
              <w:t>0,82</w:t>
            </w:r>
          </w:p>
        </w:tc>
        <w:tc>
          <w:tcPr>
            <w:tcW w:type="dxa" w:w="794"/>
          </w:tcPr>
          <w:p>
            <w:pPr>
              <w:spacing w:after="20" w:before="20" w:line="240" w:lineRule="auto"/>
              <w:jc w:val="left"/>
            </w:pPr>
            <w:r/>
            <w:r>
              <w:rPr>
                <w:rFonts w:ascii="Arial" w:hAnsi="Arial"/>
                <w:sz w:val="17"/>
              </w:rPr>
              <w:t>11</w:t>
            </w:r>
          </w:p>
        </w:tc>
        <w:tc>
          <w:tcPr>
            <w:tcW w:type="dxa" w:w="907"/>
          </w:tcPr>
          <w:p>
            <w:pPr>
              <w:spacing w:after="20" w:before="20" w:line="240" w:lineRule="auto"/>
              <w:jc w:val="left"/>
            </w:pPr>
            <w:r/>
            <w:r>
              <w:rPr>
                <w:rFonts w:ascii="Arial" w:hAnsi="Arial"/>
                <w:sz w:val="17"/>
              </w:rPr>
              <w:t>25</w:t>
            </w:r>
          </w:p>
        </w:tc>
      </w:tr>
      <w:tr>
        <w:trPr>
          <w:cantSplit/>
        </w:trPr>
        <w:tc>
          <w:tcPr>
            <w:tcW w:type="dxa" w:w="2608"/>
          </w:tcPr>
          <w:p>
            <w:pPr>
              <w:spacing w:after="20" w:before="20" w:line="240" w:lineRule="auto"/>
              <w:jc w:val="left"/>
            </w:pPr>
            <w:r/>
            <w:r>
              <w:rPr>
                <w:rFonts w:ascii="Arial" w:hAnsi="Arial"/>
                <w:sz w:val="17"/>
              </w:rPr>
              <w:t>Anos de experiência total</w:t>
            </w:r>
          </w:p>
        </w:tc>
        <w:tc>
          <w:tcPr>
            <w:tcW w:type="dxa" w:w="907"/>
          </w:tcPr>
          <w:p>
            <w:pPr>
              <w:spacing w:after="20" w:before="20" w:line="240" w:lineRule="auto"/>
              <w:jc w:val="left"/>
            </w:pPr>
            <w:r/>
            <w:r>
              <w:rPr>
                <w:rFonts w:ascii="Arial" w:hAnsi="Arial"/>
                <w:sz w:val="17"/>
              </w:rPr>
              <w:t>11,3</w:t>
            </w:r>
          </w:p>
        </w:tc>
        <w:tc>
          <w:tcPr>
            <w:tcW w:type="dxa" w:w="907"/>
          </w:tcPr>
          <w:p>
            <w:pPr>
              <w:spacing w:after="20" w:before="20" w:line="240" w:lineRule="auto"/>
              <w:jc w:val="left"/>
            </w:pPr>
            <w:r/>
            <w:r>
              <w:rPr>
                <w:rFonts w:ascii="Arial" w:hAnsi="Arial"/>
                <w:sz w:val="17"/>
              </w:rPr>
              <w:t>10,0</w:t>
            </w:r>
          </w:p>
        </w:tc>
        <w:tc>
          <w:tcPr>
            <w:tcW w:type="dxa" w:w="907"/>
          </w:tcPr>
          <w:p>
            <w:pPr>
              <w:spacing w:after="20" w:before="20" w:line="240" w:lineRule="auto"/>
              <w:jc w:val="left"/>
            </w:pPr>
            <w:r/>
            <w:r>
              <w:rPr>
                <w:rFonts w:ascii="Arial" w:hAnsi="Arial"/>
                <w:sz w:val="17"/>
              </w:rPr>
              <w:t>7,8</w:t>
            </w:r>
          </w:p>
        </w:tc>
        <w:tc>
          <w:tcPr>
            <w:tcW w:type="dxa" w:w="850"/>
          </w:tcPr>
          <w:p>
            <w:pPr>
              <w:spacing w:after="20" w:before="20" w:line="240" w:lineRule="auto"/>
              <w:jc w:val="left"/>
            </w:pPr>
            <w:r/>
            <w:r>
              <w:rPr>
                <w:rFonts w:ascii="Arial" w:hAnsi="Arial"/>
                <w:sz w:val="17"/>
              </w:rPr>
              <w:t>9,0</w:t>
            </w:r>
          </w:p>
        </w:tc>
        <w:tc>
          <w:tcPr>
            <w:tcW w:type="dxa" w:w="850"/>
          </w:tcPr>
          <w:p>
            <w:pPr>
              <w:spacing w:after="20" w:before="20" w:line="240" w:lineRule="auto"/>
              <w:jc w:val="left"/>
            </w:pPr>
            <w:r/>
            <w:r>
              <w:rPr>
                <w:rFonts w:ascii="Arial" w:hAnsi="Arial"/>
                <w:sz w:val="17"/>
              </w:rPr>
              <w:t>1,12</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40</w:t>
            </w:r>
          </w:p>
        </w:tc>
      </w:tr>
      <w:tr>
        <w:trPr>
          <w:cantSplit/>
        </w:trPr>
        <w:tc>
          <w:tcPr>
            <w:tcW w:type="dxa" w:w="2608"/>
          </w:tcPr>
          <w:p>
            <w:pPr>
              <w:spacing w:after="20" w:before="20" w:line="240" w:lineRule="auto"/>
              <w:jc w:val="left"/>
            </w:pPr>
            <w:r/>
            <w:r>
              <w:rPr>
                <w:rFonts w:ascii="Arial" w:hAnsi="Arial"/>
                <w:sz w:val="17"/>
              </w:rPr>
              <w:t>Treinamentos no último ano</w:t>
            </w:r>
          </w:p>
        </w:tc>
        <w:tc>
          <w:tcPr>
            <w:tcW w:type="dxa" w:w="907"/>
          </w:tcPr>
          <w:p>
            <w:pPr>
              <w:spacing w:after="20" w:before="20" w:line="240" w:lineRule="auto"/>
              <w:jc w:val="left"/>
            </w:pPr>
            <w:r/>
            <w:r>
              <w:rPr>
                <w:rFonts w:ascii="Arial" w:hAnsi="Arial"/>
                <w:sz w:val="17"/>
              </w:rPr>
              <w:t>2,8</w:t>
            </w:r>
          </w:p>
        </w:tc>
        <w:tc>
          <w:tcPr>
            <w:tcW w:type="dxa" w:w="907"/>
          </w:tcPr>
          <w:p>
            <w:pPr>
              <w:spacing w:after="20" w:before="20" w:line="240" w:lineRule="auto"/>
              <w:jc w:val="left"/>
            </w:pPr>
            <w:r/>
            <w:r>
              <w:rPr>
                <w:rFonts w:ascii="Arial" w:hAnsi="Arial"/>
                <w:sz w:val="17"/>
              </w:rPr>
              <w:t>3,0</w:t>
            </w:r>
          </w:p>
        </w:tc>
        <w:tc>
          <w:tcPr>
            <w:tcW w:type="dxa" w:w="907"/>
          </w:tcPr>
          <w:p>
            <w:pPr>
              <w:spacing w:after="20" w:before="20" w:line="240" w:lineRule="auto"/>
              <w:jc w:val="left"/>
            </w:pPr>
            <w:r/>
            <w:r>
              <w:rPr>
                <w:rFonts w:ascii="Arial" w:hAnsi="Arial"/>
                <w:sz w:val="17"/>
              </w:rPr>
              <w:t>1,3</w:t>
            </w:r>
          </w:p>
        </w:tc>
        <w:tc>
          <w:tcPr>
            <w:tcW w:type="dxa" w:w="850"/>
          </w:tcPr>
          <w:p>
            <w:pPr>
              <w:spacing w:after="20" w:before="20" w:line="240" w:lineRule="auto"/>
              <w:jc w:val="left"/>
            </w:pPr>
            <w:r/>
            <w:r>
              <w:rPr>
                <w:rFonts w:ascii="Arial" w:hAnsi="Arial"/>
                <w:sz w:val="17"/>
              </w:rPr>
              <w:t>1,0</w:t>
            </w:r>
          </w:p>
        </w:tc>
        <w:tc>
          <w:tcPr>
            <w:tcW w:type="dxa" w:w="850"/>
          </w:tcPr>
          <w:p>
            <w:pPr>
              <w:spacing w:after="20" w:before="20" w:line="240" w:lineRule="auto"/>
              <w:jc w:val="left"/>
            </w:pPr>
            <w:r/>
            <w:r>
              <w:rPr>
                <w:rFonts w:ascii="Arial" w:hAnsi="Arial"/>
                <w:sz w:val="17"/>
              </w:rPr>
              <w:t>0,55</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6</w:t>
            </w:r>
          </w:p>
        </w:tc>
      </w:tr>
      <w:tr>
        <w:trPr>
          <w:cantSplit/>
        </w:trPr>
        <w:tc>
          <w:tcPr>
            <w:tcW w:type="dxa" w:w="2608"/>
          </w:tcPr>
          <w:p>
            <w:pPr>
              <w:spacing w:after="20" w:before="20" w:line="240" w:lineRule="auto"/>
              <w:jc w:val="left"/>
            </w:pPr>
            <w:r/>
            <w:r>
              <w:rPr>
                <w:rFonts w:ascii="Arial" w:hAnsi="Arial"/>
                <w:sz w:val="17"/>
              </w:rPr>
              <w:t>Anos na empresa</w:t>
            </w:r>
          </w:p>
        </w:tc>
        <w:tc>
          <w:tcPr>
            <w:tcW w:type="dxa" w:w="907"/>
          </w:tcPr>
          <w:p>
            <w:pPr>
              <w:spacing w:after="20" w:before="20" w:line="240" w:lineRule="auto"/>
              <w:jc w:val="left"/>
            </w:pPr>
            <w:r/>
            <w:r>
              <w:rPr>
                <w:rFonts w:ascii="Arial" w:hAnsi="Arial"/>
                <w:sz w:val="17"/>
              </w:rPr>
              <w:t>7,0</w:t>
            </w:r>
          </w:p>
        </w:tc>
        <w:tc>
          <w:tcPr>
            <w:tcW w:type="dxa" w:w="907"/>
          </w:tcPr>
          <w:p>
            <w:pPr>
              <w:spacing w:after="20" w:before="20" w:line="240" w:lineRule="auto"/>
              <w:jc w:val="left"/>
            </w:pPr>
            <w:r/>
            <w:r>
              <w:rPr>
                <w:rFonts w:ascii="Arial" w:hAnsi="Arial"/>
                <w:sz w:val="17"/>
              </w:rPr>
              <w:t>5,0</w:t>
            </w:r>
          </w:p>
        </w:tc>
        <w:tc>
          <w:tcPr>
            <w:tcW w:type="dxa" w:w="907"/>
          </w:tcPr>
          <w:p>
            <w:pPr>
              <w:spacing w:after="20" w:before="20" w:line="240" w:lineRule="auto"/>
              <w:jc w:val="left"/>
            </w:pPr>
            <w:r/>
            <w:r>
              <w:rPr>
                <w:rFonts w:ascii="Arial" w:hAnsi="Arial"/>
                <w:sz w:val="17"/>
              </w:rPr>
              <w:t>6,1</w:t>
            </w:r>
          </w:p>
        </w:tc>
        <w:tc>
          <w:tcPr>
            <w:tcW w:type="dxa" w:w="850"/>
          </w:tcPr>
          <w:p>
            <w:pPr>
              <w:spacing w:after="20" w:before="20" w:line="240" w:lineRule="auto"/>
              <w:jc w:val="left"/>
            </w:pPr>
            <w:r/>
            <w:r>
              <w:rPr>
                <w:rFonts w:ascii="Arial" w:hAnsi="Arial"/>
                <w:sz w:val="17"/>
              </w:rPr>
              <w:t>6,0</w:t>
            </w:r>
          </w:p>
        </w:tc>
        <w:tc>
          <w:tcPr>
            <w:tcW w:type="dxa" w:w="850"/>
          </w:tcPr>
          <w:p>
            <w:pPr>
              <w:spacing w:after="20" w:before="20" w:line="240" w:lineRule="auto"/>
              <w:jc w:val="left"/>
            </w:pPr>
            <w:r/>
            <w:r>
              <w:rPr>
                <w:rFonts w:ascii="Arial" w:hAnsi="Arial"/>
                <w:sz w:val="17"/>
              </w:rPr>
              <w:t>1,76</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40</w:t>
            </w:r>
          </w:p>
        </w:tc>
      </w:tr>
      <w:tr>
        <w:trPr>
          <w:cantSplit/>
        </w:trPr>
        <w:tc>
          <w:tcPr>
            <w:tcW w:type="dxa" w:w="2608"/>
          </w:tcPr>
          <w:p>
            <w:pPr>
              <w:spacing w:after="20" w:before="20" w:line="240" w:lineRule="auto"/>
              <w:jc w:val="left"/>
            </w:pPr>
            <w:r/>
            <w:r>
              <w:rPr>
                <w:rFonts w:ascii="Arial" w:hAnsi="Arial"/>
                <w:sz w:val="17"/>
              </w:rPr>
              <w:t>Anos no cargo atual</w:t>
            </w:r>
          </w:p>
        </w:tc>
        <w:tc>
          <w:tcPr>
            <w:tcW w:type="dxa" w:w="907"/>
          </w:tcPr>
          <w:p>
            <w:pPr>
              <w:spacing w:after="20" w:before="20" w:line="240" w:lineRule="auto"/>
              <w:jc w:val="left"/>
            </w:pPr>
            <w:r/>
            <w:r>
              <w:rPr>
                <w:rFonts w:ascii="Arial" w:hAnsi="Arial"/>
                <w:sz w:val="17"/>
              </w:rPr>
              <w:t>4,2</w:t>
            </w:r>
          </w:p>
        </w:tc>
        <w:tc>
          <w:tcPr>
            <w:tcW w:type="dxa" w:w="907"/>
          </w:tcPr>
          <w:p>
            <w:pPr>
              <w:spacing w:after="20" w:before="20" w:line="240" w:lineRule="auto"/>
              <w:jc w:val="left"/>
            </w:pPr>
            <w:r/>
            <w:r>
              <w:rPr>
                <w:rFonts w:ascii="Arial" w:hAnsi="Arial"/>
                <w:sz w:val="17"/>
              </w:rPr>
              <w:t>3,0</w:t>
            </w:r>
          </w:p>
        </w:tc>
        <w:tc>
          <w:tcPr>
            <w:tcW w:type="dxa" w:w="907"/>
          </w:tcPr>
          <w:p>
            <w:pPr>
              <w:spacing w:after="20" w:before="20" w:line="240" w:lineRule="auto"/>
              <w:jc w:val="left"/>
            </w:pPr>
            <w:r/>
            <w:r>
              <w:rPr>
                <w:rFonts w:ascii="Arial" w:hAnsi="Arial"/>
                <w:sz w:val="17"/>
              </w:rPr>
              <w:t>3,6</w:t>
            </w:r>
          </w:p>
        </w:tc>
        <w:tc>
          <w:tcPr>
            <w:tcW w:type="dxa" w:w="850"/>
          </w:tcPr>
          <w:p>
            <w:pPr>
              <w:spacing w:after="20" w:before="20" w:line="240" w:lineRule="auto"/>
              <w:jc w:val="left"/>
            </w:pPr>
            <w:r/>
            <w:r>
              <w:rPr>
                <w:rFonts w:ascii="Arial" w:hAnsi="Arial"/>
                <w:sz w:val="17"/>
              </w:rPr>
              <w:t>5,0</w:t>
            </w:r>
          </w:p>
        </w:tc>
        <w:tc>
          <w:tcPr>
            <w:tcW w:type="dxa" w:w="850"/>
          </w:tcPr>
          <w:p>
            <w:pPr>
              <w:spacing w:after="20" w:before="20" w:line="240" w:lineRule="auto"/>
              <w:jc w:val="left"/>
            </w:pPr>
            <w:r/>
            <w:r>
              <w:rPr>
                <w:rFonts w:ascii="Arial" w:hAnsi="Arial"/>
                <w:sz w:val="17"/>
              </w:rPr>
              <w:t>0,92</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18</w:t>
            </w:r>
          </w:p>
        </w:tc>
      </w:tr>
      <w:tr>
        <w:trPr>
          <w:cantSplit/>
        </w:trPr>
        <w:tc>
          <w:tcPr>
            <w:tcW w:type="dxa" w:w="2608"/>
          </w:tcPr>
          <w:p>
            <w:pPr>
              <w:spacing w:after="20" w:before="20" w:line="240" w:lineRule="auto"/>
              <w:jc w:val="left"/>
            </w:pPr>
            <w:r/>
            <w:r>
              <w:rPr>
                <w:rFonts w:ascii="Arial" w:hAnsi="Arial"/>
                <w:sz w:val="17"/>
              </w:rPr>
              <w:t>Anos desde a última promoção</w:t>
            </w:r>
          </w:p>
        </w:tc>
        <w:tc>
          <w:tcPr>
            <w:tcW w:type="dxa" w:w="907"/>
          </w:tcPr>
          <w:p>
            <w:pPr>
              <w:spacing w:after="20" w:before="20" w:line="240" w:lineRule="auto"/>
              <w:jc w:val="left"/>
            </w:pPr>
            <w:r/>
            <w:r>
              <w:rPr>
                <w:rFonts w:ascii="Arial" w:hAnsi="Arial"/>
                <w:sz w:val="17"/>
              </w:rPr>
              <w:t>2,2</w:t>
            </w:r>
          </w:p>
        </w:tc>
        <w:tc>
          <w:tcPr>
            <w:tcW w:type="dxa" w:w="907"/>
          </w:tcPr>
          <w:p>
            <w:pPr>
              <w:spacing w:after="20" w:before="20" w:line="240" w:lineRule="auto"/>
              <w:jc w:val="left"/>
            </w:pPr>
            <w:r/>
            <w:r>
              <w:rPr>
                <w:rFonts w:ascii="Arial" w:hAnsi="Arial"/>
                <w:sz w:val="17"/>
              </w:rPr>
              <w:t>1,0</w:t>
            </w:r>
          </w:p>
        </w:tc>
        <w:tc>
          <w:tcPr>
            <w:tcW w:type="dxa" w:w="907"/>
          </w:tcPr>
          <w:p>
            <w:pPr>
              <w:spacing w:after="20" w:before="20" w:line="240" w:lineRule="auto"/>
              <w:jc w:val="left"/>
            </w:pPr>
            <w:r/>
            <w:r>
              <w:rPr>
                <w:rFonts w:ascii="Arial" w:hAnsi="Arial"/>
                <w:sz w:val="17"/>
              </w:rPr>
              <w:t>3,2</w:t>
            </w:r>
          </w:p>
        </w:tc>
        <w:tc>
          <w:tcPr>
            <w:tcW w:type="dxa" w:w="850"/>
          </w:tcPr>
          <w:p>
            <w:pPr>
              <w:spacing w:after="20" w:before="20" w:line="240" w:lineRule="auto"/>
              <w:jc w:val="left"/>
            </w:pPr>
            <w:r/>
            <w:r>
              <w:rPr>
                <w:rFonts w:ascii="Arial" w:hAnsi="Arial"/>
                <w:sz w:val="17"/>
              </w:rPr>
              <w:t>3,0</w:t>
            </w:r>
          </w:p>
        </w:tc>
        <w:tc>
          <w:tcPr>
            <w:tcW w:type="dxa" w:w="850"/>
          </w:tcPr>
          <w:p>
            <w:pPr>
              <w:spacing w:after="20" w:before="20" w:line="240" w:lineRule="auto"/>
              <w:jc w:val="left"/>
            </w:pPr>
            <w:r/>
            <w:r>
              <w:rPr>
                <w:rFonts w:ascii="Arial" w:hAnsi="Arial"/>
                <w:sz w:val="17"/>
              </w:rPr>
              <w:t>1,98</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15</w:t>
            </w:r>
          </w:p>
        </w:tc>
      </w:tr>
      <w:tr>
        <w:trPr>
          <w:cantSplit/>
        </w:trPr>
        <w:tc>
          <w:tcPr>
            <w:tcW w:type="dxa" w:w="2608"/>
          </w:tcPr>
          <w:p>
            <w:pPr>
              <w:spacing w:after="20" w:before="20" w:line="240" w:lineRule="auto"/>
              <w:jc w:val="left"/>
            </w:pPr>
            <w:r/>
            <w:r>
              <w:rPr>
                <w:rFonts w:ascii="Arial" w:hAnsi="Arial"/>
                <w:sz w:val="17"/>
              </w:rPr>
              <w:t>Anos com o gestor atual</w:t>
            </w:r>
          </w:p>
        </w:tc>
        <w:tc>
          <w:tcPr>
            <w:tcW w:type="dxa" w:w="907"/>
          </w:tcPr>
          <w:p>
            <w:pPr>
              <w:spacing w:after="20" w:before="20" w:line="240" w:lineRule="auto"/>
              <w:jc w:val="left"/>
            </w:pPr>
            <w:r/>
            <w:r>
              <w:rPr>
                <w:rFonts w:ascii="Arial" w:hAnsi="Arial"/>
                <w:sz w:val="17"/>
              </w:rPr>
              <w:t>4,1</w:t>
            </w:r>
          </w:p>
        </w:tc>
        <w:tc>
          <w:tcPr>
            <w:tcW w:type="dxa" w:w="907"/>
          </w:tcPr>
          <w:p>
            <w:pPr>
              <w:spacing w:after="20" w:before="20" w:line="240" w:lineRule="auto"/>
              <w:jc w:val="left"/>
            </w:pPr>
            <w:r/>
            <w:r>
              <w:rPr>
                <w:rFonts w:ascii="Arial" w:hAnsi="Arial"/>
                <w:sz w:val="17"/>
              </w:rPr>
              <w:t>3,0</w:t>
            </w:r>
          </w:p>
        </w:tc>
        <w:tc>
          <w:tcPr>
            <w:tcW w:type="dxa" w:w="907"/>
          </w:tcPr>
          <w:p>
            <w:pPr>
              <w:spacing w:after="20" w:before="20" w:line="240" w:lineRule="auto"/>
              <w:jc w:val="left"/>
            </w:pPr>
            <w:r/>
            <w:r>
              <w:rPr>
                <w:rFonts w:ascii="Arial" w:hAnsi="Arial"/>
                <w:sz w:val="17"/>
              </w:rPr>
              <w:t>3,6</w:t>
            </w:r>
          </w:p>
        </w:tc>
        <w:tc>
          <w:tcPr>
            <w:tcW w:type="dxa" w:w="850"/>
          </w:tcPr>
          <w:p>
            <w:pPr>
              <w:spacing w:after="20" w:before="20" w:line="240" w:lineRule="auto"/>
              <w:jc w:val="left"/>
            </w:pPr>
            <w:r/>
            <w:r>
              <w:rPr>
                <w:rFonts w:ascii="Arial" w:hAnsi="Arial"/>
                <w:sz w:val="17"/>
              </w:rPr>
              <w:t>5,0</w:t>
            </w:r>
          </w:p>
        </w:tc>
        <w:tc>
          <w:tcPr>
            <w:tcW w:type="dxa" w:w="850"/>
          </w:tcPr>
          <w:p>
            <w:pPr>
              <w:spacing w:after="20" w:before="20" w:line="240" w:lineRule="auto"/>
              <w:jc w:val="left"/>
            </w:pPr>
            <w:r/>
            <w:r>
              <w:rPr>
                <w:rFonts w:ascii="Arial" w:hAnsi="Arial"/>
                <w:sz w:val="17"/>
              </w:rPr>
              <w:t>0,83</w:t>
            </w:r>
          </w:p>
        </w:tc>
        <w:tc>
          <w:tcPr>
            <w:tcW w:type="dxa" w:w="794"/>
          </w:tcPr>
          <w:p>
            <w:pPr>
              <w:spacing w:after="20" w:before="20" w:line="240" w:lineRule="auto"/>
              <w:jc w:val="left"/>
            </w:pPr>
            <w:r/>
            <w:r>
              <w:rPr>
                <w:rFonts w:ascii="Arial" w:hAnsi="Arial"/>
                <w:sz w:val="17"/>
              </w:rPr>
              <w:t>0</w:t>
            </w:r>
          </w:p>
        </w:tc>
        <w:tc>
          <w:tcPr>
            <w:tcW w:type="dxa" w:w="907"/>
          </w:tcPr>
          <w:p>
            <w:pPr>
              <w:spacing w:after="20" w:before="20" w:line="240" w:lineRule="auto"/>
              <w:jc w:val="left"/>
            </w:pPr>
            <w:r/>
            <w:r>
              <w:rPr>
                <w:rFonts w:ascii="Arial" w:hAnsi="Arial"/>
                <w:sz w:val="17"/>
              </w:rPr>
              <w:t>17</w:t>
            </w:r>
          </w:p>
        </w:tc>
      </w:tr>
    </w:tbl>
    <w:p>
      <w:pPr>
        <w:keepNext w:val="0"/>
        <w:spacing w:line="240" w:lineRule="auto" w:before="40" w:after="200"/>
        <w:jc w:val="left"/>
      </w:pPr>
      <w:r>
        <w:rPr>
          <w:rFonts w:ascii="Arial" w:hAnsi="Arial"/>
          <w:sz w:val="20"/>
        </w:rPr>
        <w:t>DP = desvio padrão; IQR = intervalo interquartil; Assim. = coeficiente de assimetria. Fonte: elaboração própria a partir de IBM HR Analytics (Kaggle, 2017).</w:t>
      </w:r>
    </w:p>
    <w:p>
      <w:pPr>
        <w:keepNext/>
        <w:spacing w:line="240" w:lineRule="auto" w:before="120" w:after="40"/>
        <w:jc w:val="center"/>
      </w:pPr>
      <w:r>
        <w:rPr>
          <w:rFonts w:ascii="Arial" w:hAnsi="Arial"/>
          <w:b/>
          <w:sz w:val="20"/>
        </w:rPr>
        <w:t>Figura 3</w:t>
      </w:r>
      <w:r>
        <w:rPr>
          <w:rFonts w:ascii="Arial" w:hAnsi="Arial"/>
          <w:sz w:val="20"/>
        </w:rPr>
        <w:t xml:space="preserve"> – Distribuição das variáveis numéricas</w:t>
      </w:r>
    </w:p>
    <w:p>
      <w:pPr>
        <w:keepNext/>
        <w:spacing w:after="0"/>
        <w:jc w:val="center"/>
      </w:pPr>
      <w:r>
        <w:drawing>
          <wp:inline>
            <wp:extent cx="5760000" cy="3486792"/>
            <wp:docPr id="3" name="Picture 3"/>
            <wp:cNvGraphicFramePr>
              <a:graphicFrameLocks noChangeAspect="1"/>
            </wp:cNvGraphicFramePr>
            <a:graphic>
              <a:graphicData uri="http://schemas.openxmlformats.org/drawingml/2006/picture">
                <pic:pic>
                  <pic:nvPicPr>
                    <pic:cNvPr id="0" name="fig03_histogramas.png"/>
                    <pic:cNvPicPr/>
                  </pic:nvPicPr>
                  <pic:blipFill>
                    <a:blip r:embed="rId12"/>
                    <a:stretch>
                      <a:fillRect/>
                    </a:stretch>
                  </pic:blipFill>
                  <pic:spPr>
                    <a:xfrm>
                      <a:off x="0" y="0"/>
                      <a:ext cx="5760000" cy="3486792"/>
                    </a:xfrm>
                    <a:prstGeom prst="rect"/>
                  </pic:spPr>
                </pic:pic>
              </a:graphicData>
            </a:graphic>
          </wp:inline>
        </w:drawing>
      </w:r>
    </w:p>
    <w:p>
      <w:pPr>
        <w:keepNext w:val="0"/>
        <w:spacing w:line="240" w:lineRule="auto" w:before="40" w:after="200"/>
        <w:jc w:val="left"/>
      </w:pPr>
      <w:r>
        <w:rPr>
          <w:rFonts w:ascii="Arial" w:hAnsi="Arial"/>
          <w:sz w:val="20"/>
        </w:rPr>
        <w:t>Linha laranja: média; linha preta tracejada: mediana. Fonte: elaboração própria a partir de IBM HR Analytics (Kaggle, 2017).</w:t>
      </w:r>
    </w:p>
    <w:p>
      <w:pPr>
        <w:pStyle w:val="Heading2"/>
        <w:spacing w:before="240" w:after="120"/>
      </w:pPr>
      <w:r>
        <w:rPr>
          <w:b/>
          <w:sz w:val="24"/>
        </w:rPr>
        <w:t>3.2 Variáveis categóricas</w:t>
      </w:r>
    </w:p>
    <w:p>
      <w:pPr>
        <w:spacing w:line="360" w:lineRule="auto" w:after="120" w:before="0"/>
        <w:ind w:firstLine="709"/>
        <w:jc w:val="both"/>
      </w:pPr>
      <w:r>
        <w:rPr>
          <w:rFonts w:ascii="Arial" w:hAnsi="Arial"/>
          <w:sz w:val="24"/>
        </w:rPr>
        <w:t xml:space="preserve">A variável-alvo é desbalanceada: </w:t>
      </w:r>
      <w:r>
        <w:rPr>
          <w:rFonts w:ascii="Arial" w:hAnsi="Arial"/>
          <w:b/>
          <w:sz w:val="24"/>
        </w:rPr>
        <w:t>16,1% dos funcionários saíram</w:t>
      </w:r>
      <w:r>
        <w:rPr>
          <w:rFonts w:ascii="Arial" w:hAnsi="Arial"/>
          <w:sz w:val="24"/>
        </w:rPr>
        <w:t xml:space="preserve">. P&amp;D concentra 65,4% do quadro, Vendas 30,3% e RH apenas 4,3%. Fazem hora extra 28,3% dos funcionários. Um ponto de atenção é a </w:t>
      </w:r>
      <w:r>
        <w:rPr>
          <w:rFonts w:ascii="Arial" w:hAnsi="Arial"/>
          <w:b/>
          <w:sz w:val="24"/>
        </w:rPr>
        <w:t>avaliação de desempenho</w:t>
      </w:r>
      <w:r>
        <w:rPr>
          <w:rFonts w:ascii="Arial" w:hAnsi="Arial"/>
          <w:sz w:val="24"/>
        </w:rPr>
        <w:t xml:space="preserve">: só existem as notas 3 (84,6%) e 4 (15,4%), e nenhuma nota 1 ou 2, o que sugere </w:t>
      </w:r>
      <w:r>
        <w:rPr>
          <w:rFonts w:ascii="Arial" w:hAnsi="Arial"/>
          <w:b/>
          <w:sz w:val="24"/>
        </w:rPr>
        <w:t>inflação de avaliações</w:t>
      </w:r>
      <w:r>
        <w:rPr>
          <w:rFonts w:ascii="Arial" w:hAnsi="Arial"/>
          <w:sz w:val="24"/>
        </w:rPr>
        <w:t xml:space="preserve"> (Figura 4).</w:t>
      </w:r>
    </w:p>
    <w:p>
      <w:pPr>
        <w:keepNext/>
        <w:spacing w:line="240" w:lineRule="auto" w:before="120" w:after="40"/>
        <w:jc w:val="center"/>
      </w:pPr>
      <w:r>
        <w:rPr>
          <w:rFonts w:ascii="Arial" w:hAnsi="Arial"/>
          <w:b/>
          <w:sz w:val="20"/>
        </w:rPr>
        <w:t>Figura 4</w:t>
      </w:r>
      <w:r>
        <w:rPr>
          <w:rFonts w:ascii="Arial" w:hAnsi="Arial"/>
          <w:sz w:val="20"/>
        </w:rPr>
        <w:t xml:space="preserve"> – Frequência relativa das principais variáveis categóricas</w:t>
      </w:r>
    </w:p>
    <w:p>
      <w:pPr>
        <w:keepNext/>
        <w:spacing w:after="0"/>
        <w:jc w:val="center"/>
      </w:pPr>
      <w:r>
        <w:drawing>
          <wp:inline>
            <wp:extent cx="5760000" cy="2971476"/>
            <wp:docPr id="4" name="Picture 4"/>
            <wp:cNvGraphicFramePr>
              <a:graphicFrameLocks noChangeAspect="1"/>
            </wp:cNvGraphicFramePr>
            <a:graphic>
              <a:graphicData uri="http://schemas.openxmlformats.org/drawingml/2006/picture">
                <pic:pic>
                  <pic:nvPicPr>
                    <pic:cNvPr id="0" name="fig04_frequencias_categoricas.png"/>
                    <pic:cNvPicPr/>
                  </pic:nvPicPr>
                  <pic:blipFill>
                    <a:blip r:embed="rId13"/>
                    <a:stretch>
                      <a:fillRect/>
                    </a:stretch>
                  </pic:blipFill>
                  <pic:spPr>
                    <a:xfrm>
                      <a:off x="0" y="0"/>
                      <a:ext cx="5760000" cy="2971476"/>
                    </a:xfrm>
                    <a:prstGeom prst="rect"/>
                  </pic:spPr>
                </pic:pic>
              </a:graphicData>
            </a:graphic>
          </wp:inline>
        </w:drawing>
      </w:r>
    </w:p>
    <w:p>
      <w:pPr>
        <w:keepNext w:val="0"/>
        <w:spacing w:line="240" w:lineRule="auto" w:before="40" w:after="200"/>
        <w:jc w:val="left"/>
      </w:pPr>
      <w:r>
        <w:rPr>
          <w:rFonts w:ascii="Arial" w:hAnsi="Arial"/>
          <w:sz w:val="20"/>
        </w:rPr>
        <w:t>Fonte: elaboração própria a partir de IBM HR Analytics (Kaggle, 2017).</w:t>
      </w:r>
    </w:p>
    <w:p>
      <w:pPr>
        <w:pStyle w:val="Heading2"/>
        <w:spacing w:before="240" w:after="120"/>
      </w:pPr>
      <w:r>
        <w:rPr>
          <w:b/>
          <w:sz w:val="24"/>
        </w:rPr>
        <w:t>3.3 Rotatividade por departamento e cargo (Q1)</w:t>
      </w:r>
    </w:p>
    <w:p>
      <w:pPr>
        <w:spacing w:line="360" w:lineRule="auto" w:after="120" w:before="0"/>
        <w:ind w:firstLine="709"/>
        <w:jc w:val="both"/>
      </w:pPr>
      <w:r>
        <w:rPr>
          <w:rFonts w:ascii="Arial" w:hAnsi="Arial"/>
          <w:sz w:val="24"/>
        </w:rPr>
        <w:t xml:space="preserve">Vendas tem a maior taxa de saída entre os departamentos, mas a diferença é muito maior entre </w:t>
      </w:r>
      <w:r>
        <w:rPr>
          <w:rFonts w:ascii="Arial" w:hAnsi="Arial"/>
          <w:b/>
          <w:sz w:val="24"/>
        </w:rPr>
        <w:t>cargos</w:t>
      </w:r>
      <w:r>
        <w:rPr>
          <w:rFonts w:ascii="Arial" w:hAnsi="Arial"/>
          <w:sz w:val="24"/>
        </w:rPr>
        <w:t xml:space="preserve">: </w:t>
      </w:r>
      <w:r>
        <w:rPr>
          <w:rFonts w:ascii="Arial" w:hAnsi="Arial"/>
          <w:b/>
          <w:sz w:val="24"/>
        </w:rPr>
        <w:t>Representantes de Vendas perdem 39,8%</w:t>
      </w:r>
      <w:r>
        <w:rPr>
          <w:rFonts w:ascii="Arial" w:hAnsi="Arial"/>
          <w:sz w:val="24"/>
        </w:rPr>
        <w:t xml:space="preserve"> do quadro e Técnicos de Laboratório 23,9%, enquanto cargos de gestão ficam abaixo de 7% (Figura 5). O problema está concentrado em </w:t>
      </w:r>
      <w:r>
        <w:rPr>
          <w:rFonts w:ascii="Arial" w:hAnsi="Arial"/>
          <w:b/>
          <w:sz w:val="24"/>
        </w:rPr>
        <w:t>cargos de entrada</w:t>
      </w:r>
      <w:r>
        <w:rPr>
          <w:rFonts w:ascii="Arial" w:hAnsi="Arial"/>
          <w:sz w:val="24"/>
        </w:rPr>
        <w:t>, e não em departamentos inteiros.</w:t>
      </w:r>
    </w:p>
    <w:p>
      <w:pPr>
        <w:keepNext/>
        <w:spacing w:line="240" w:lineRule="auto" w:before="120" w:after="40"/>
        <w:jc w:val="center"/>
      </w:pPr>
      <w:r>
        <w:rPr>
          <w:rFonts w:ascii="Arial" w:hAnsi="Arial"/>
          <w:b/>
          <w:sz w:val="20"/>
        </w:rPr>
        <w:t>Figura 5</w:t>
      </w:r>
      <w:r>
        <w:rPr>
          <w:rFonts w:ascii="Arial" w:hAnsi="Arial"/>
          <w:sz w:val="20"/>
        </w:rPr>
        <w:t xml:space="preserve"> – Taxa de saída por departamento e por cargo</w:t>
      </w:r>
    </w:p>
    <w:p>
      <w:pPr>
        <w:keepNext/>
        <w:spacing w:after="0"/>
        <w:jc w:val="center"/>
      </w:pPr>
      <w:r>
        <w:drawing>
          <wp:inline>
            <wp:extent cx="5760000" cy="2217057"/>
            <wp:docPr id="5" name="Picture 5"/>
            <wp:cNvGraphicFramePr>
              <a:graphicFrameLocks noChangeAspect="1"/>
            </wp:cNvGraphicFramePr>
            <a:graphic>
              <a:graphicData uri="http://schemas.openxmlformats.org/drawingml/2006/picture">
                <pic:pic>
                  <pic:nvPicPr>
                    <pic:cNvPr id="0" name="fig05_q1_departamento_cargo.png"/>
                    <pic:cNvPicPr/>
                  </pic:nvPicPr>
                  <pic:blipFill>
                    <a:blip r:embed="rId14"/>
                    <a:stretch>
                      <a:fillRect/>
                    </a:stretch>
                  </pic:blipFill>
                  <pic:spPr>
                    <a:xfrm>
                      <a:off x="0" y="0"/>
                      <a:ext cx="5760000" cy="2217057"/>
                    </a:xfrm>
                    <a:prstGeom prst="rect"/>
                  </pic:spPr>
                </pic:pic>
              </a:graphicData>
            </a:graphic>
          </wp:inline>
        </w:drawing>
      </w:r>
    </w:p>
    <w:p>
      <w:pPr>
        <w:keepNext w:val="0"/>
        <w:spacing w:line="240" w:lineRule="auto" w:before="40" w:after="200"/>
        <w:jc w:val="left"/>
      </w:pPr>
      <w:r>
        <w:rPr>
          <w:rFonts w:ascii="Arial" w:hAnsi="Arial"/>
          <w:sz w:val="20"/>
        </w:rPr>
        <w:t>Barras de erro: IC 95% (Wilson). Linha tracejada: taxa geral. Fonte: elaboração própria a partir de IBM HR Analytics (Kaggle, 2017).</w:t>
      </w:r>
    </w:p>
    <w:p>
      <w:pPr>
        <w:pStyle w:val="Heading2"/>
        <w:spacing w:before="240" w:after="120"/>
      </w:pPr>
      <w:r>
        <w:rPr>
          <w:b/>
          <w:sz w:val="24"/>
        </w:rPr>
        <w:t>3.4 Renda e rotatividade (Q2)</w:t>
      </w:r>
    </w:p>
    <w:p>
      <w:pPr>
        <w:spacing w:line="360" w:lineRule="auto" w:after="120" w:before="0"/>
        <w:ind w:firstLine="709"/>
        <w:jc w:val="both"/>
      </w:pPr>
      <w:r>
        <w:rPr>
          <w:rFonts w:ascii="Arial" w:hAnsi="Arial"/>
          <w:sz w:val="24"/>
        </w:rPr>
        <w:t xml:space="preserve">Quem saiu tem renda mediana de </w:t>
      </w:r>
      <w:r>
        <w:rPr>
          <w:rFonts w:ascii="Arial" w:hAnsi="Arial"/>
          <w:b/>
          <w:sz w:val="24"/>
        </w:rPr>
        <w:t>US$ 3.202</w:t>
      </w:r>
      <w:r>
        <w:rPr>
          <w:rFonts w:ascii="Arial" w:hAnsi="Arial"/>
          <w:sz w:val="24"/>
        </w:rPr>
        <w:t xml:space="preserve">, contra </w:t>
      </w:r>
      <w:r>
        <w:rPr>
          <w:rFonts w:ascii="Arial" w:hAnsi="Arial"/>
          <w:b/>
          <w:sz w:val="24"/>
        </w:rPr>
        <w:t>US$ 5.204</w:t>
      </w:r>
      <w:r>
        <w:rPr>
          <w:rFonts w:ascii="Arial" w:hAnsi="Arial"/>
          <w:sz w:val="24"/>
        </w:rPr>
        <w:t xml:space="preserve"> de quem ficou. No quartil de menor renda a taxa de saída é </w:t>
      </w:r>
      <w:r>
        <w:rPr>
          <w:rFonts w:ascii="Arial" w:hAnsi="Arial"/>
          <w:b/>
          <w:sz w:val="24"/>
        </w:rPr>
        <w:t>29,3%</w:t>
      </w:r>
      <w:r>
        <w:rPr>
          <w:rFonts w:ascii="Arial" w:hAnsi="Arial"/>
          <w:sz w:val="24"/>
        </w:rPr>
        <w:t xml:space="preserve">, cerca de três vezes a do quartil mais alto (10,3%) (Figura 6). Porém, </w:t>
      </w:r>
      <w:r>
        <w:rPr>
          <w:rFonts w:ascii="Arial" w:hAnsi="Arial"/>
          <w:b/>
          <w:sz w:val="24"/>
        </w:rPr>
        <w:t>dentro do mesmo nível de cargo, a renda de quem sai e de quem fica é quase igual</w:t>
      </w:r>
      <w:r>
        <w:rPr>
          <w:rFonts w:ascii="Arial" w:hAnsi="Arial"/>
          <w:sz w:val="24"/>
        </w:rPr>
        <w:t xml:space="preserve"> (nível 1: US$ 2.437 × US$ 2.719; nível 2: US$ 5.346 × US$ 5.334), e 60% das saídas estão no nível 1. A renda baixa funciona, em boa parte, como um </w:t>
      </w:r>
      <w:r>
        <w:rPr>
          <w:rFonts w:ascii="Arial" w:hAnsi="Arial"/>
          <w:b/>
          <w:sz w:val="24"/>
        </w:rPr>
        <w:t>marcador de início de carreira</w:t>
      </w:r>
      <w:r>
        <w:rPr>
          <w:rFonts w:ascii="Arial" w:hAnsi="Arial"/>
          <w:sz w:val="24"/>
        </w:rPr>
        <w:t>.</w:t>
      </w:r>
    </w:p>
    <w:p>
      <w:pPr>
        <w:keepNext/>
        <w:spacing w:line="240" w:lineRule="auto" w:before="120" w:after="40"/>
        <w:jc w:val="center"/>
      </w:pPr>
      <w:r>
        <w:rPr>
          <w:rFonts w:ascii="Arial" w:hAnsi="Arial"/>
          <w:b/>
          <w:sz w:val="20"/>
        </w:rPr>
        <w:t>Figura 6</w:t>
      </w:r>
      <w:r>
        <w:rPr>
          <w:rFonts w:ascii="Arial" w:hAnsi="Arial"/>
          <w:sz w:val="20"/>
        </w:rPr>
        <w:t xml:space="preserve"> – Renda mensal e rotatividade</w:t>
      </w:r>
    </w:p>
    <w:p>
      <w:pPr>
        <w:keepNext/>
        <w:spacing w:after="0"/>
        <w:jc w:val="center"/>
      </w:pPr>
      <w:r>
        <w:drawing>
          <wp:inline>
            <wp:extent cx="5760000" cy="2266823"/>
            <wp:docPr id="6" name="Picture 6"/>
            <wp:cNvGraphicFramePr>
              <a:graphicFrameLocks noChangeAspect="1"/>
            </wp:cNvGraphicFramePr>
            <a:graphic>
              <a:graphicData uri="http://schemas.openxmlformats.org/drawingml/2006/picture">
                <pic:pic>
                  <pic:nvPicPr>
                    <pic:cNvPr id="0" name="fig06_q2_renda.png"/>
                    <pic:cNvPicPr/>
                  </pic:nvPicPr>
                  <pic:blipFill>
                    <a:blip r:embed="rId15"/>
                    <a:stretch>
                      <a:fillRect/>
                    </a:stretch>
                  </pic:blipFill>
                  <pic:spPr>
                    <a:xfrm>
                      <a:off x="0" y="0"/>
                      <a:ext cx="5760000" cy="2266823"/>
                    </a:xfrm>
                    <a:prstGeom prst="rect"/>
                  </pic:spPr>
                </pic:pic>
              </a:graphicData>
            </a:graphic>
          </wp:inline>
        </w:drawing>
      </w:r>
    </w:p>
    <w:p>
      <w:pPr>
        <w:keepNext w:val="0"/>
        <w:spacing w:line="240" w:lineRule="auto" w:before="40" w:after="200"/>
        <w:jc w:val="left"/>
      </w:pPr>
      <w:r>
        <w:rPr>
          <w:rFonts w:ascii="Arial" w:hAnsi="Arial"/>
          <w:sz w:val="20"/>
        </w:rPr>
        <w:t>◆ = média. Barras de erro: IC 95% (Wilson). Fonte: elaboração própria a partir de IBM HR Analytics (Kaggle, 2017).</w:t>
      </w:r>
    </w:p>
    <w:p>
      <w:pPr>
        <w:pStyle w:val="Heading2"/>
        <w:spacing w:before="240" w:after="120"/>
      </w:pPr>
      <w:r>
        <w:rPr>
          <w:b/>
          <w:sz w:val="24"/>
        </w:rPr>
        <w:t>3.5 Envolvimento e ambiente de trabalho (Q3)</w:t>
      </w:r>
    </w:p>
    <w:p>
      <w:pPr>
        <w:spacing w:line="360" w:lineRule="auto" w:after="120" w:before="0"/>
        <w:ind w:firstLine="709"/>
        <w:jc w:val="both"/>
      </w:pPr>
      <w:r>
        <w:rPr>
          <w:rFonts w:ascii="Arial" w:hAnsi="Arial"/>
          <w:sz w:val="24"/>
        </w:rPr>
        <w:t xml:space="preserve">Nas quatro escalas de percepção, </w:t>
      </w:r>
      <w:r>
        <w:rPr>
          <w:rFonts w:ascii="Arial" w:hAnsi="Arial"/>
          <w:b/>
          <w:sz w:val="24"/>
        </w:rPr>
        <w:t>o nível mais baixo concentra o risco</w:t>
      </w:r>
      <w:r>
        <w:rPr>
          <w:rFonts w:ascii="Arial" w:hAnsi="Arial"/>
          <w:sz w:val="24"/>
        </w:rPr>
        <w:t xml:space="preserve"> (Figura 7). O envolvimento tem o gradiente mais claro: a taxa cai de </w:t>
      </w:r>
      <w:r>
        <w:rPr>
          <w:rFonts w:ascii="Arial" w:hAnsi="Arial"/>
          <w:b/>
          <w:sz w:val="24"/>
        </w:rPr>
        <w:t>33,7%</w:t>
      </w:r>
      <w:r>
        <w:rPr>
          <w:rFonts w:ascii="Arial" w:hAnsi="Arial"/>
          <w:sz w:val="24"/>
        </w:rPr>
        <w:t xml:space="preserve"> (baixo) para </w:t>
      </w:r>
      <w:r>
        <w:rPr>
          <w:rFonts w:ascii="Arial" w:hAnsi="Arial"/>
          <w:b/>
          <w:sz w:val="24"/>
        </w:rPr>
        <w:t>9,0%</w:t>
      </w:r>
      <w:r>
        <w:rPr>
          <w:rFonts w:ascii="Arial" w:hAnsi="Arial"/>
          <w:sz w:val="24"/>
        </w:rPr>
        <w:t xml:space="preserve"> (muito alto). Satisfação baixa com o ambiente leva a 25,4% de saída, e equilíbrio vida-trabalho "ruim" a 31,2%. Nos demais níveis, as taxas ficam próximas da média.</w:t>
      </w:r>
    </w:p>
    <w:p>
      <w:pPr>
        <w:keepNext/>
        <w:spacing w:line="240" w:lineRule="auto" w:before="120" w:after="40"/>
        <w:jc w:val="center"/>
      </w:pPr>
      <w:r>
        <w:rPr>
          <w:rFonts w:ascii="Arial" w:hAnsi="Arial"/>
          <w:b/>
          <w:sz w:val="20"/>
        </w:rPr>
        <w:t>Figura 7</w:t>
      </w:r>
      <w:r>
        <w:rPr>
          <w:rFonts w:ascii="Arial" w:hAnsi="Arial"/>
          <w:sz w:val="20"/>
        </w:rPr>
        <w:t xml:space="preserve"> – Taxa de saída por nível de envolvimento, satisfação e equilíbrio vida-trabalho</w:t>
      </w:r>
    </w:p>
    <w:p>
      <w:pPr>
        <w:keepNext/>
        <w:spacing w:after="0"/>
        <w:jc w:val="center"/>
      </w:pPr>
      <w:r>
        <w:drawing>
          <wp:inline>
            <wp:extent cx="5760000" cy="4022523"/>
            <wp:docPr id="7" name="Picture 7"/>
            <wp:cNvGraphicFramePr>
              <a:graphicFrameLocks noChangeAspect="1"/>
            </wp:cNvGraphicFramePr>
            <a:graphic>
              <a:graphicData uri="http://schemas.openxmlformats.org/drawingml/2006/picture">
                <pic:pic>
                  <pic:nvPicPr>
                    <pic:cNvPr id="0" name="fig07_q3_envolvimento_ambiente.png"/>
                    <pic:cNvPicPr/>
                  </pic:nvPicPr>
                  <pic:blipFill>
                    <a:blip r:embed="rId16"/>
                    <a:stretch>
                      <a:fillRect/>
                    </a:stretch>
                  </pic:blipFill>
                  <pic:spPr>
                    <a:xfrm>
                      <a:off x="0" y="0"/>
                      <a:ext cx="5760000" cy="4022523"/>
                    </a:xfrm>
                    <a:prstGeom prst="rect"/>
                  </pic:spPr>
                </pic:pic>
              </a:graphicData>
            </a:graphic>
          </wp:inline>
        </w:drawing>
      </w:r>
    </w:p>
    <w:p>
      <w:pPr>
        <w:keepNext w:val="0"/>
        <w:spacing w:line="240" w:lineRule="auto" w:before="40" w:after="200"/>
        <w:jc w:val="left"/>
      </w:pPr>
      <w:r>
        <w:rPr>
          <w:rFonts w:ascii="Arial" w:hAnsi="Arial"/>
          <w:sz w:val="20"/>
        </w:rPr>
        <w:t>Barras de erro: IC 95% (Wilson). Laranja: maior taxa. Fonte: elaboração própria a partir de IBM HR Analytics (Kaggle, 2017).</w:t>
      </w:r>
    </w:p>
    <w:p>
      <w:pPr>
        <w:pStyle w:val="Heading2"/>
        <w:spacing w:before="240" w:after="120"/>
      </w:pPr>
      <w:r>
        <w:rPr>
          <w:b/>
          <w:sz w:val="24"/>
        </w:rPr>
        <w:t>3.6 Hora extra (Q4)</w:t>
      </w:r>
    </w:p>
    <w:p>
      <w:pPr>
        <w:spacing w:line="360" w:lineRule="auto" w:after="120" w:before="0"/>
        <w:ind w:firstLine="709"/>
        <w:jc w:val="both"/>
      </w:pPr>
      <w:r>
        <w:rPr>
          <w:rFonts w:ascii="Arial" w:hAnsi="Arial"/>
          <w:sz w:val="24"/>
        </w:rPr>
        <w:t xml:space="preserve">Hora extra é a variável com a maior diferença entre grupos: </w:t>
      </w:r>
      <w:r>
        <w:rPr>
          <w:rFonts w:ascii="Arial" w:hAnsi="Arial"/>
          <w:b/>
          <w:sz w:val="24"/>
        </w:rPr>
        <w:t>30,5%</w:t>
      </w:r>
      <w:r>
        <w:rPr>
          <w:rFonts w:ascii="Arial" w:hAnsi="Arial"/>
          <w:sz w:val="24"/>
        </w:rPr>
        <w:t xml:space="preserve"> de saída entre quem faz hora extra, contra </w:t>
      </w:r>
      <w:r>
        <w:rPr>
          <w:rFonts w:ascii="Arial" w:hAnsi="Arial"/>
          <w:b/>
          <w:sz w:val="24"/>
        </w:rPr>
        <w:t>10,4%</w:t>
      </w:r>
      <w:r>
        <w:rPr>
          <w:rFonts w:ascii="Arial" w:hAnsi="Arial"/>
          <w:sz w:val="24"/>
        </w:rPr>
        <w:t xml:space="preserve"> entre quem não faz. O efeito aparece em todos os quartis de renda e é extremo no quartil mais baixo, onde mais da metade de quem faz hora extra saiu (Figura 8). </w:t>
      </w:r>
      <w:r>
        <w:rPr>
          <w:rFonts w:ascii="Arial" w:hAnsi="Arial"/>
          <w:b/>
          <w:sz w:val="24"/>
        </w:rPr>
        <w:t>Hora extra e salário baixo somam risco.</w:t>
      </w:r>
    </w:p>
    <w:p>
      <w:pPr>
        <w:keepNext/>
        <w:spacing w:line="240" w:lineRule="auto" w:before="120" w:after="40"/>
        <w:jc w:val="center"/>
      </w:pPr>
      <w:r>
        <w:rPr>
          <w:rFonts w:ascii="Arial" w:hAnsi="Arial"/>
          <w:b/>
          <w:sz w:val="20"/>
        </w:rPr>
        <w:t>Figura 8</w:t>
      </w:r>
      <w:r>
        <w:rPr>
          <w:rFonts w:ascii="Arial" w:hAnsi="Arial"/>
          <w:sz w:val="20"/>
        </w:rPr>
        <w:t xml:space="preserve"> – Hora extra e rotatividade, no total e por quartil de renda</w:t>
      </w:r>
    </w:p>
    <w:p>
      <w:pPr>
        <w:keepNext/>
        <w:spacing w:after="0"/>
        <w:jc w:val="center"/>
      </w:pPr>
      <w:r>
        <w:drawing>
          <wp:inline>
            <wp:extent cx="5760000" cy="2216127"/>
            <wp:docPr id="8" name="Picture 8"/>
            <wp:cNvGraphicFramePr>
              <a:graphicFrameLocks noChangeAspect="1"/>
            </wp:cNvGraphicFramePr>
            <a:graphic>
              <a:graphicData uri="http://schemas.openxmlformats.org/drawingml/2006/picture">
                <pic:pic>
                  <pic:nvPicPr>
                    <pic:cNvPr id="0" name="fig08_q4_hora_extra.png"/>
                    <pic:cNvPicPr/>
                  </pic:nvPicPr>
                  <pic:blipFill>
                    <a:blip r:embed="rId17"/>
                    <a:stretch>
                      <a:fillRect/>
                    </a:stretch>
                  </pic:blipFill>
                  <pic:spPr>
                    <a:xfrm>
                      <a:off x="0" y="0"/>
                      <a:ext cx="5760000" cy="2216127"/>
                    </a:xfrm>
                    <a:prstGeom prst="rect"/>
                  </pic:spPr>
                </pic:pic>
              </a:graphicData>
            </a:graphic>
          </wp:inline>
        </w:drawing>
      </w:r>
    </w:p>
    <w:p>
      <w:pPr>
        <w:keepNext w:val="0"/>
        <w:spacing w:line="240" w:lineRule="auto" w:before="40" w:after="200"/>
        <w:jc w:val="left"/>
      </w:pPr>
      <w:r>
        <w:rPr>
          <w:rFonts w:ascii="Arial" w:hAnsi="Arial"/>
          <w:sz w:val="20"/>
        </w:rPr>
        <w:t>Fonte: elaboração própria a partir de IBM HR Analytics (Kaggle, 2017).</w:t>
      </w:r>
    </w:p>
    <w:p>
      <w:pPr>
        <w:pStyle w:val="Heading2"/>
        <w:spacing w:before="240" w:after="120"/>
      </w:pPr>
      <w:r>
        <w:rPr>
          <w:b/>
          <w:sz w:val="24"/>
        </w:rPr>
        <w:t>3.7 Desempenho, envolvimento e reajuste (Q5)</w:t>
      </w:r>
    </w:p>
    <w:p>
      <w:pPr>
        <w:spacing w:line="360" w:lineRule="auto" w:after="120" w:before="0"/>
        <w:ind w:firstLine="709"/>
        <w:jc w:val="both"/>
      </w:pPr>
      <w:r>
        <w:rPr>
          <w:rFonts w:ascii="Arial" w:hAnsi="Arial"/>
          <w:sz w:val="24"/>
        </w:rPr>
        <w:t xml:space="preserve">O reajuste salarial segue uma </w:t>
      </w:r>
      <w:r>
        <w:rPr>
          <w:rFonts w:ascii="Arial" w:hAnsi="Arial"/>
          <w:b/>
          <w:sz w:val="24"/>
        </w:rPr>
        <w:t>regra fixa atrelada à nota</w:t>
      </w:r>
      <w:r>
        <w:rPr>
          <w:rFonts w:ascii="Arial" w:hAnsi="Arial"/>
          <w:sz w:val="24"/>
        </w:rPr>
        <w:t xml:space="preserve">: toda nota 3 recebeu entre 11% e 19%, e toda nota 4 entre 20% e 25%. O reajuste médio </w:t>
      </w:r>
      <w:r>
        <w:rPr>
          <w:rFonts w:ascii="Arial" w:hAnsi="Arial"/>
          <w:b/>
          <w:sz w:val="24"/>
        </w:rPr>
        <w:t>não varia</w:t>
      </w:r>
      <w:r>
        <w:rPr>
          <w:rFonts w:ascii="Arial" w:hAnsi="Arial"/>
          <w:sz w:val="24"/>
        </w:rPr>
        <w:t xml:space="preserve"> com o nível de envolvimento nem com a renda (Figura 9). Além disso, a taxa de saída é praticamente igual nas duas notas (16,1% × 16,4%): </w:t>
      </w:r>
      <w:r>
        <w:rPr>
          <w:rFonts w:ascii="Arial" w:hAnsi="Arial"/>
          <w:b/>
          <w:sz w:val="24"/>
        </w:rPr>
        <w:t>a avaliação de desempenho não diferencia quem sai de quem fica.</w:t>
      </w:r>
    </w:p>
    <w:p>
      <w:pPr>
        <w:keepNext/>
        <w:spacing w:line="240" w:lineRule="auto" w:before="120" w:after="40"/>
        <w:jc w:val="center"/>
      </w:pPr>
      <w:r>
        <w:rPr>
          <w:rFonts w:ascii="Arial" w:hAnsi="Arial"/>
          <w:b/>
          <w:sz w:val="20"/>
        </w:rPr>
        <w:t>Figura 9</w:t>
      </w:r>
      <w:r>
        <w:rPr>
          <w:rFonts w:ascii="Arial" w:hAnsi="Arial"/>
          <w:sz w:val="20"/>
        </w:rPr>
        <w:t xml:space="preserve"> – Avaliação de desempenho, envolvimento e reajuste salarial</w:t>
      </w:r>
    </w:p>
    <w:p>
      <w:pPr>
        <w:keepNext/>
        <w:spacing w:after="0"/>
        <w:jc w:val="center"/>
      </w:pPr>
      <w:r>
        <w:drawing>
          <wp:inline>
            <wp:extent cx="5760000" cy="1794030"/>
            <wp:docPr id="9" name="Picture 9"/>
            <wp:cNvGraphicFramePr>
              <a:graphicFrameLocks noChangeAspect="1"/>
            </wp:cNvGraphicFramePr>
            <a:graphic>
              <a:graphicData uri="http://schemas.openxmlformats.org/drawingml/2006/picture">
                <pic:pic>
                  <pic:nvPicPr>
                    <pic:cNvPr id="0" name="fig09_q5_desempenho_reajuste.png"/>
                    <pic:cNvPicPr/>
                  </pic:nvPicPr>
                  <pic:blipFill>
                    <a:blip r:embed="rId18"/>
                    <a:stretch>
                      <a:fillRect/>
                    </a:stretch>
                  </pic:blipFill>
                  <pic:spPr>
                    <a:xfrm>
                      <a:off x="0" y="0"/>
                      <a:ext cx="5760000" cy="1794030"/>
                    </a:xfrm>
                    <a:prstGeom prst="rect"/>
                  </pic:spPr>
                </pic:pic>
              </a:graphicData>
            </a:graphic>
          </wp:inline>
        </w:drawing>
      </w:r>
    </w:p>
    <w:p>
      <w:pPr>
        <w:keepNext w:val="0"/>
        <w:spacing w:line="240" w:lineRule="auto" w:before="40" w:after="200"/>
        <w:jc w:val="left"/>
      </w:pPr>
      <w:r>
        <w:rPr>
          <w:rFonts w:ascii="Arial" w:hAnsi="Arial"/>
          <w:sz w:val="20"/>
        </w:rPr>
        <w:t>Fonte: elaboração própria a partir de IBM HR Analytics (Kaggle, 2017).</w:t>
      </w:r>
    </w:p>
    <w:p>
      <w:pPr>
        <w:pStyle w:val="Heading2"/>
        <w:spacing w:before="240" w:after="120"/>
      </w:pPr>
      <w:r>
        <w:rPr>
          <w:b/>
          <w:sz w:val="24"/>
        </w:rPr>
        <w:t>3.8 Correlações e perfil de risco</w:t>
      </w:r>
    </w:p>
    <w:p>
      <w:pPr>
        <w:spacing w:line="360" w:lineRule="auto" w:after="120" w:before="0"/>
        <w:ind w:firstLine="709"/>
        <w:jc w:val="both"/>
      </w:pPr>
      <w:r>
        <w:rPr>
          <w:rFonts w:ascii="Arial" w:hAnsi="Arial"/>
          <w:sz w:val="24"/>
        </w:rPr>
        <w:t xml:space="preserve">Na matriz de correlação (Figura 10), a saída tem correlação positiva mais forte com </w:t>
      </w:r>
      <w:r>
        <w:rPr>
          <w:rFonts w:ascii="Arial" w:hAnsi="Arial"/>
          <w:b/>
          <w:sz w:val="24"/>
        </w:rPr>
        <w:t>hora extra</w:t>
      </w:r>
      <w:r>
        <w:rPr>
          <w:rFonts w:ascii="Arial" w:hAnsi="Arial"/>
          <w:sz w:val="24"/>
        </w:rPr>
        <w:t xml:space="preserve"> (ρ ≈ 0,25) e negativas com </w:t>
      </w:r>
      <w:r>
        <w:rPr>
          <w:rFonts w:ascii="Arial" w:hAnsi="Arial"/>
          <w:b/>
          <w:sz w:val="24"/>
        </w:rPr>
        <w:t>nível do cargo, renda, experiência, tempo de casa e idade</w:t>
      </w:r>
      <w:r>
        <w:rPr>
          <w:rFonts w:ascii="Arial" w:hAnsi="Arial"/>
          <w:sz w:val="24"/>
        </w:rPr>
        <w:t xml:space="preserve"> (ρ entre −0,17 e −0,20). Todas são fracas individualmente, o que indica que </w:t>
      </w:r>
      <w:r>
        <w:rPr>
          <w:rFonts w:ascii="Arial" w:hAnsi="Arial"/>
          <w:b/>
          <w:sz w:val="24"/>
        </w:rPr>
        <w:t>a rotatividade é multifatorial</w:t>
      </w:r>
      <w:r>
        <w:rPr>
          <w:rFonts w:ascii="Arial" w:hAnsi="Arial"/>
          <w:sz w:val="24"/>
        </w:rPr>
        <w:t xml:space="preserve">. Renda, nível do cargo e experiência são fortemente correlacionados entre si (ρ de 0,71 a 0,92), ou seja, medem a senioridade. As escalas de satisfação </w:t>
      </w:r>
      <w:r>
        <w:rPr>
          <w:rFonts w:ascii="Arial" w:hAnsi="Arial"/>
          <w:b/>
          <w:sz w:val="24"/>
        </w:rPr>
        <w:t>não se correlacionam entre si</w:t>
      </w:r>
      <w:r>
        <w:rPr>
          <w:rFonts w:ascii="Arial" w:hAnsi="Arial"/>
          <w:sz w:val="24"/>
        </w:rPr>
        <w:t>: são dimensões independentes, e cada uma exige ação própria.</w:t>
      </w:r>
    </w:p>
    <w:p>
      <w:pPr>
        <w:keepNext/>
        <w:spacing w:line="240" w:lineRule="auto" w:before="120" w:after="40"/>
        <w:jc w:val="center"/>
      </w:pPr>
      <w:r>
        <w:rPr>
          <w:rFonts w:ascii="Arial" w:hAnsi="Arial"/>
          <w:b/>
          <w:sz w:val="20"/>
        </w:rPr>
        <w:t>Figura 10</w:t>
      </w:r>
      <w:r>
        <w:rPr>
          <w:rFonts w:ascii="Arial" w:hAnsi="Arial"/>
          <w:sz w:val="20"/>
        </w:rPr>
        <w:t xml:space="preserve"> – Matriz de correlação de Spearman</w:t>
      </w:r>
    </w:p>
    <w:p>
      <w:pPr>
        <w:keepNext/>
        <w:spacing w:after="0"/>
        <w:jc w:val="center"/>
      </w:pPr>
      <w:r>
        <w:drawing>
          <wp:inline>
            <wp:extent cx="5580000" cy="4855325"/>
            <wp:docPr id="10" name="Picture 10"/>
            <wp:cNvGraphicFramePr>
              <a:graphicFrameLocks noChangeAspect="1"/>
            </wp:cNvGraphicFramePr>
            <a:graphic>
              <a:graphicData uri="http://schemas.openxmlformats.org/drawingml/2006/picture">
                <pic:pic>
                  <pic:nvPicPr>
                    <pic:cNvPr id="0" name="fig10_matriz_correlacao.png"/>
                    <pic:cNvPicPr/>
                  </pic:nvPicPr>
                  <pic:blipFill>
                    <a:blip r:embed="rId19"/>
                    <a:stretch>
                      <a:fillRect/>
                    </a:stretch>
                  </pic:blipFill>
                  <pic:spPr>
                    <a:xfrm>
                      <a:off x="0" y="0"/>
                      <a:ext cx="5580000" cy="4855325"/>
                    </a:xfrm>
                    <a:prstGeom prst="rect"/>
                  </pic:spPr>
                </pic:pic>
              </a:graphicData>
            </a:graphic>
          </wp:inline>
        </w:drawing>
      </w:r>
    </w:p>
    <w:p>
      <w:pPr>
        <w:keepNext w:val="0"/>
        <w:spacing w:line="240" w:lineRule="auto" w:before="40" w:after="200"/>
        <w:jc w:val="left"/>
      </w:pPr>
      <w:r>
        <w:rPr>
          <w:rFonts w:ascii="Arial" w:hAnsi="Arial"/>
          <w:sz w:val="20"/>
        </w:rPr>
        <w:t>Fonte: elaboração própria a partir de IBM HR Analytics (Kaggle, 2017).</w:t>
      </w:r>
    </w:p>
    <w:p>
      <w:pPr>
        <w:spacing w:line="360" w:lineRule="auto" w:after="120" w:before="0"/>
        <w:ind w:firstLine="709"/>
        <w:jc w:val="both"/>
      </w:pPr>
      <w:r>
        <w:rPr>
          <w:rFonts w:ascii="Arial" w:hAnsi="Arial"/>
          <w:sz w:val="24"/>
        </w:rPr>
        <w:t xml:space="preserve">O perfil complementar (Figura 11) confirma que o risco se concentra no </w:t>
      </w:r>
      <w:r>
        <w:rPr>
          <w:rFonts w:ascii="Arial" w:hAnsi="Arial"/>
          <w:b/>
          <w:sz w:val="24"/>
        </w:rPr>
        <w:t>início da jornada</w:t>
      </w:r>
      <w:r>
        <w:rPr>
          <w:rFonts w:ascii="Arial" w:hAnsi="Arial"/>
          <w:sz w:val="24"/>
        </w:rPr>
        <w:t>: jovens de 18 a 25 anos, funcionários com até 2 anos de casa e solteiros têm as maiores taxas de saída. Quem viaja com frequência também sai mais.</w:t>
      </w:r>
    </w:p>
    <w:p>
      <w:pPr>
        <w:keepNext/>
        <w:spacing w:line="240" w:lineRule="auto" w:before="120" w:after="40"/>
        <w:jc w:val="center"/>
      </w:pPr>
      <w:r>
        <w:rPr>
          <w:rFonts w:ascii="Arial" w:hAnsi="Arial"/>
          <w:b/>
          <w:sz w:val="20"/>
        </w:rPr>
        <w:t>Figura 11</w:t>
      </w:r>
      <w:r>
        <w:rPr>
          <w:rFonts w:ascii="Arial" w:hAnsi="Arial"/>
          <w:sz w:val="20"/>
        </w:rPr>
        <w:t xml:space="preserve"> – Taxa de saída por perfil demográfico e de carreira</w:t>
      </w:r>
    </w:p>
    <w:p>
      <w:pPr>
        <w:keepNext/>
        <w:spacing w:after="0"/>
        <w:jc w:val="center"/>
      </w:pPr>
      <w:r>
        <w:drawing>
          <wp:inline>
            <wp:extent cx="5760000" cy="3932562"/>
            <wp:docPr id="11" name="Picture 11"/>
            <wp:cNvGraphicFramePr>
              <a:graphicFrameLocks noChangeAspect="1"/>
            </wp:cNvGraphicFramePr>
            <a:graphic>
              <a:graphicData uri="http://schemas.openxmlformats.org/drawingml/2006/picture">
                <pic:pic>
                  <pic:nvPicPr>
                    <pic:cNvPr id="0" name="fig11_perfil_complementar.png"/>
                    <pic:cNvPicPr/>
                  </pic:nvPicPr>
                  <pic:blipFill>
                    <a:blip r:embed="rId20"/>
                    <a:stretch>
                      <a:fillRect/>
                    </a:stretch>
                  </pic:blipFill>
                  <pic:spPr>
                    <a:xfrm>
                      <a:off x="0" y="0"/>
                      <a:ext cx="5760000" cy="3932562"/>
                    </a:xfrm>
                    <a:prstGeom prst="rect"/>
                  </pic:spPr>
                </pic:pic>
              </a:graphicData>
            </a:graphic>
          </wp:inline>
        </w:drawing>
      </w:r>
    </w:p>
    <w:p>
      <w:pPr>
        <w:keepNext w:val="0"/>
        <w:spacing w:line="240" w:lineRule="auto" w:before="40" w:after="200"/>
        <w:jc w:val="left"/>
      </w:pPr>
      <w:r>
        <w:rPr>
          <w:rFonts w:ascii="Arial" w:hAnsi="Arial"/>
          <w:sz w:val="20"/>
        </w:rPr>
        <w:t>Fonte: elaboração própria a partir de IBM HR Analytics (Kaggle, 2017).</w:t>
      </w:r>
    </w:p>
    <w:p w:rsidR="00000000" w:rsidDel="00000000" w:rsidP="00000000" w:rsidRDefault="00000000" w:rsidRPr="00000000" w14:paraId="00000055">
      <w:pPr>
        <w:pStyle w:val="Heading1"/>
        <w:keepNext w:val="0"/>
        <w:keepLines w:val="0"/>
        <w:pageBreakBefore/>
        <w:spacing w:after="0" w:before="0" w:line="360" w:lineRule="auto"/>
        <w:jc w:val="both"/>
        <w:rPr>
          <w:sz w:val="24"/>
          <w:szCs w:val="24"/>
        </w:rPr>
      </w:pPr>
      <w:bookmarkStart w:colFirst="0" w:colLast="0" w:name="_1i66wftp1421" w:id="10"/>
      <w:bookmarkEnd w:id="10"/>
      <w:r w:rsidDel="00000000" w:rsidR="00000000" w:rsidRPr="00000000">
        <w:rPr>
          <w:sz w:val="24"/>
          <w:szCs w:val="24"/>
          <w:rtl w:val="0"/>
        </w:rPr>
        <w:t xml:space="preserve">4. Análise Inferencial</w:t>
      </w:r>
    </w:p>
    <w:p>
      <w:pPr>
        <w:spacing w:line="360" w:lineRule="auto" w:after="120" w:before="0"/>
        <w:ind w:firstLine="709"/>
        <w:jc w:val="both"/>
      </w:pPr>
      <w:r>
        <w:rPr>
          <w:rFonts w:ascii="Arial" w:hAnsi="Arial"/>
          <w:sz w:val="24"/>
        </w:rPr>
        <w:t xml:space="preserve">Esta seção verifica se as diferenças observadas na análise descritiva são </w:t>
      </w:r>
      <w:r>
        <w:rPr>
          <w:rFonts w:ascii="Arial" w:hAnsi="Arial"/>
          <w:b/>
          <w:sz w:val="24"/>
        </w:rPr>
        <w:t>estatisticamente significativas</w:t>
      </w:r>
      <w:r>
        <w:rPr>
          <w:rFonts w:ascii="Arial" w:hAnsi="Arial"/>
          <w:sz w:val="24"/>
        </w:rPr>
        <w:t xml:space="preserve"> ou podem ser atribuídas ao acaso. Em todos os testes, α = 0,05: se p-valor &lt; 0,05, rejeita-se H₀. Por se tratar de estudo observacional, os resultados indicam </w:t>
      </w:r>
      <w:r>
        <w:rPr>
          <w:rFonts w:ascii="Arial" w:hAnsi="Arial"/>
          <w:b/>
          <w:sz w:val="24"/>
        </w:rPr>
        <w:t>associação, e não causalidade</w:t>
      </w:r>
      <w:r>
        <w:rPr>
          <w:rFonts w:ascii="Arial" w:hAnsi="Arial"/>
          <w:sz w:val="24"/>
        </w:rPr>
        <w:t>.</w:t>
      </w:r>
    </w:p>
    <w:p>
      <w:pPr>
        <w:pStyle w:val="Heading2"/>
        <w:spacing w:before="240" w:after="120"/>
      </w:pPr>
      <w:r>
        <w:rPr>
          <w:b/>
          <w:sz w:val="24"/>
        </w:rPr>
        <w:t>4.1 Q1: Taxa de rotatividade e departamento</w:t>
      </w:r>
    </w:p>
    <w:p>
      <w:pPr>
        <w:spacing w:line="360" w:lineRule="auto" w:after="120" w:before="0"/>
        <w:ind w:firstLine="709"/>
        <w:jc w:val="both"/>
      </w:pPr>
      <w:r>
        <w:rPr>
          <w:rFonts w:ascii="Arial" w:hAnsi="Arial"/>
          <w:b/>
          <w:sz w:val="24"/>
        </w:rPr>
        <w:t>Intervalo de confiança.</w:t>
      </w:r>
      <w:r>
        <w:rPr>
          <w:rFonts w:ascii="Arial" w:hAnsi="Arial"/>
          <w:sz w:val="24"/>
        </w:rPr>
        <w:t xml:space="preserve"> A taxa de rotatividade estimada é de 16,1%, com </w:t>
      </w:r>
      <w:r>
        <w:rPr>
          <w:rFonts w:ascii="Arial" w:hAnsi="Arial"/>
          <w:b/>
          <w:sz w:val="24"/>
        </w:rPr>
        <w:t>IC 95% (Wilson) de 14,3% a 18,1%</w:t>
      </w:r>
      <w:r>
        <w:rPr>
          <w:rFonts w:ascii="Arial" w:hAnsi="Arial"/>
          <w:sz w:val="24"/>
        </w:rPr>
        <w:t>: de cada 100 funcionários, entre 14 e 18 deixam a empresa. Esse valor é a linha de base para metas de retenção.</w:t>
      </w:r>
    </w:p>
    <w:p>
      <w:pPr>
        <w:spacing w:line="360" w:lineRule="auto" w:after="120" w:before="0"/>
        <w:ind w:firstLine="709"/>
        <w:jc w:val="both"/>
      </w:pPr>
      <w:r>
        <w:rPr>
          <w:rFonts w:ascii="Arial" w:hAnsi="Arial"/>
          <w:b/>
          <w:sz w:val="24"/>
        </w:rPr>
        <w:t>Qui-Quadrado.</w:t>
      </w:r>
      <w:r>
        <w:rPr>
          <w:rFonts w:ascii="Arial" w:hAnsi="Arial"/>
          <w:sz w:val="24"/>
        </w:rPr>
        <w:t xml:space="preserve"> H₀: departamento e rotatividade são independentes; H₁: estão associados. O pressuposto de frequências esperadas ≥ 5 foi atendido (menor = 10,2). Resultado: χ²(2) = 10,80, p = 0,0045. </w:t>
      </w:r>
      <w:r>
        <w:rPr>
          <w:rFonts w:ascii="Arial" w:hAnsi="Arial"/>
          <w:b/>
          <w:sz w:val="24"/>
        </w:rPr>
        <w:t>Rejeita-se H₀</w:t>
      </w:r>
      <w:r>
        <w:rPr>
          <w:rFonts w:ascii="Arial" w:hAnsi="Arial"/>
          <w:sz w:val="24"/>
        </w:rPr>
        <w:t xml:space="preserve">: a taxa difere entre departamentos. Porém o V de Cramér = 0,086 é desprezível. O teste complementar por </w:t>
      </w:r>
      <w:r>
        <w:rPr>
          <w:rFonts w:ascii="Arial" w:hAnsi="Arial"/>
          <w:b/>
          <w:sz w:val="24"/>
        </w:rPr>
        <w:t>cargo</w:t>
      </w:r>
      <w:r>
        <w:rPr>
          <w:rFonts w:ascii="Arial" w:hAnsi="Arial"/>
          <w:sz w:val="24"/>
        </w:rPr>
        <w:t xml:space="preserve"> também rejeita H₀ (χ² = 86,2, p &lt; 0,001), com efeito quase três vezes maior (V = 0,242). </w:t>
      </w:r>
      <w:r>
        <w:rPr>
          <w:rFonts w:ascii="Arial" w:hAnsi="Arial"/>
          <w:b/>
          <w:sz w:val="24"/>
        </w:rPr>
        <w:t>Interpretação:</w:t>
      </w:r>
      <w:r>
        <w:rPr>
          <w:rFonts w:ascii="Arial" w:hAnsi="Arial"/>
          <w:sz w:val="24"/>
        </w:rPr>
        <w:t xml:space="preserve"> a retenção deve ser direcionada por </w:t>
      </w:r>
      <w:r>
        <w:rPr>
          <w:rFonts w:ascii="Arial" w:hAnsi="Arial"/>
          <w:b/>
          <w:sz w:val="24"/>
        </w:rPr>
        <w:t>cargo</w:t>
      </w:r>
      <w:r>
        <w:rPr>
          <w:rFonts w:ascii="Arial" w:hAnsi="Arial"/>
          <w:sz w:val="24"/>
        </w:rPr>
        <w:t>, e não por departamento.</w:t>
      </w:r>
    </w:p>
    <w:p>
      <w:pPr>
        <w:pStyle w:val="Heading2"/>
        <w:spacing w:before="240" w:after="120"/>
      </w:pPr>
      <w:r>
        <w:rPr>
          <w:b/>
          <w:sz w:val="24"/>
        </w:rPr>
        <w:t>4.2 Q2: Renda de quem sai × quem fica</w:t>
      </w:r>
    </w:p>
    <w:p>
      <w:pPr>
        <w:spacing w:line="360" w:lineRule="auto" w:after="120" w:before="0"/>
        <w:ind w:firstLine="709"/>
        <w:jc w:val="both"/>
      </w:pPr>
      <w:r>
        <w:rPr>
          <w:rFonts w:ascii="Arial" w:hAnsi="Arial"/>
          <w:sz w:val="24"/>
        </w:rPr>
        <w:t xml:space="preserve">H₀: μ(renda | saiu) = μ(renda | ficou); H₁: as médias são diferentes (bilateral). </w:t>
      </w:r>
      <w:r>
        <w:rPr>
          <w:rFonts w:ascii="Arial" w:hAnsi="Arial"/>
          <w:b/>
          <w:sz w:val="24"/>
        </w:rPr>
        <w:t>Pressupostos:</w:t>
      </w:r>
      <w:r>
        <w:rPr>
          <w:rFonts w:ascii="Arial" w:hAnsi="Arial"/>
          <w:sz w:val="24"/>
        </w:rPr>
        <w:t xml:space="preserve"> o Shapiro-Wilk rejeitou a normalidade nos dois grupos (renda assimétrica, ver Apêndice A), mas com n = 237 e n = 1.233 o Teorema Central do Limite garante a normalidade aproximada da média amostral. O teste de Levene rejeitou a igualdade de variâncias (p &lt; 0,001), então foi aplicado o </w:t>
      </w:r>
      <w:r>
        <w:rPr>
          <w:rFonts w:ascii="Arial" w:hAnsi="Arial"/>
          <w:b/>
          <w:sz w:val="24"/>
        </w:rPr>
        <w:t>teste t de Welch</w:t>
      </w:r>
      <w:r>
        <w:rPr>
          <w:rFonts w:ascii="Arial" w:hAnsi="Arial"/>
          <w:sz w:val="24"/>
        </w:rPr>
        <w:t>.</w:t>
      </w:r>
    </w:p>
    <w:p>
      <w:pPr>
        <w:spacing w:line="360" w:lineRule="auto" w:after="120" w:before="0"/>
        <w:ind w:firstLine="709"/>
        <w:jc w:val="both"/>
      </w:pPr>
      <w:r>
        <w:rPr>
          <w:rFonts w:ascii="Arial" w:hAnsi="Arial"/>
          <w:b/>
          <w:sz w:val="24"/>
        </w:rPr>
        <w:t>Resultado:</w:t>
      </w:r>
      <w:r>
        <w:rPr>
          <w:rFonts w:ascii="Arial" w:hAnsi="Arial"/>
          <w:sz w:val="24"/>
        </w:rPr>
        <w:t xml:space="preserve"> t(412,7) = -7,48, p &lt; 0,001. </w:t>
      </w:r>
      <w:r>
        <w:rPr>
          <w:rFonts w:ascii="Arial" w:hAnsi="Arial"/>
          <w:b/>
          <w:sz w:val="24"/>
        </w:rPr>
        <w:t>Rejeita-se H₀.</w:t>
      </w:r>
      <w:r>
        <w:rPr>
          <w:rFonts w:ascii="Arial" w:hAnsi="Arial"/>
          <w:sz w:val="24"/>
        </w:rPr>
        <w:t xml:space="preserve"> Quem sai ganha em média </w:t>
      </w:r>
      <w:r>
        <w:rPr>
          <w:rFonts w:ascii="Arial" w:hAnsi="Arial"/>
          <w:b/>
          <w:sz w:val="24"/>
        </w:rPr>
        <w:t>US$ 2.046 a menos por mês</w:t>
      </w:r>
      <w:r>
        <w:rPr>
          <w:rFonts w:ascii="Arial" w:hAnsi="Arial"/>
          <w:sz w:val="24"/>
        </w:rPr>
        <w:t xml:space="preserve"> (IC 95%: US$ 1.508 a US$ 2.583 a menos), com efeito pequeno a médio (d de Cohen = -0,44). Como verificação de robustez, o teste t sobre o </w:t>
      </w:r>
      <w:r>
        <w:rPr>
          <w:rFonts w:ascii="Arial" w:hAnsi="Arial"/>
          <w:b/>
          <w:sz w:val="24"/>
        </w:rPr>
        <w:t>logaritmo da renda</w:t>
      </w:r>
      <w:r>
        <w:rPr>
          <w:rFonts w:ascii="Arial" w:hAnsi="Arial"/>
          <w:sz w:val="24"/>
        </w:rPr>
        <w:t xml:space="preserve"> (escala em que as variâncias são iguais e a distribuição é quase simétrica) leva à mesma conclusão (t = -7,748, p &lt; 0,001). </w:t>
      </w:r>
      <w:r>
        <w:rPr>
          <w:rFonts w:ascii="Arial" w:hAnsi="Arial"/>
          <w:b/>
          <w:sz w:val="24"/>
        </w:rPr>
        <w:t>Interpretação:</w:t>
      </w:r>
      <w:r>
        <w:rPr>
          <w:rFonts w:ascii="Arial" w:hAnsi="Arial"/>
          <w:sz w:val="24"/>
        </w:rPr>
        <w:t xml:space="preserve"> a diferença existe, mas reflete principalmente a concentração das saídas em cargos de entrada (Seção 3.4). O foco deve ser a atratividade da carreira inicial.</w:t>
      </w:r>
    </w:p>
    <w:p>
      <w:pPr>
        <w:pStyle w:val="Heading2"/>
        <w:spacing w:before="240" w:after="120"/>
      </w:pPr>
      <w:r>
        <w:rPr>
          <w:b/>
          <w:sz w:val="24"/>
        </w:rPr>
        <w:t>4.3 Q3: Envolvimento, ambiente, satisfação e vida-trabalho</w:t>
      </w:r>
    </w:p>
    <w:p>
      <w:pPr>
        <w:spacing w:line="360" w:lineRule="auto" w:after="120" w:before="0"/>
        <w:ind w:firstLine="709"/>
        <w:jc w:val="both"/>
      </w:pPr>
      <w:r>
        <w:rPr>
          <w:rFonts w:ascii="Arial" w:hAnsi="Arial"/>
          <w:sz w:val="24"/>
        </w:rPr>
        <w:t xml:space="preserve">Para cada fator: H₀: o fator e a rotatividade são independentes; H₁: estão associados. Foram aplicados quatro testes Qui-Quadrado (todas as frequências esperadas ≥ 12,9). Como quatro testes simultâneos aumentam a chance de falso positivo, os p-valores foram ajustados pela </w:t>
      </w:r>
      <w:r>
        <w:rPr>
          <w:rFonts w:ascii="Arial" w:hAnsi="Arial"/>
          <w:b/>
          <w:sz w:val="24"/>
        </w:rPr>
        <w:t>correção de Holm</w:t>
      </w:r>
      <w:r>
        <w:rPr>
          <w:rFonts w:ascii="Arial" w:hAnsi="Arial"/>
          <w:sz w:val="24"/>
        </w:rPr>
        <w:t xml:space="preserve"> (Tabela 6).</w:t>
      </w:r>
    </w:p>
    <w:p>
      <w:pPr>
        <w:keepNext/>
        <w:spacing w:line="240" w:lineRule="auto" w:before="120" w:after="40"/>
        <w:jc w:val="center"/>
      </w:pPr>
      <w:r>
        <w:rPr>
          <w:rFonts w:ascii="Arial" w:hAnsi="Arial"/>
          <w:b/>
          <w:sz w:val="20"/>
        </w:rPr>
        <w:t>Tabela 6</w:t>
      </w:r>
      <w:r>
        <w:rPr>
          <w:rFonts w:ascii="Arial" w:hAnsi="Arial"/>
          <w:sz w:val="20"/>
        </w:rPr>
        <w:t xml:space="preserve"> – Testes Qui-Quadrado dos fatores de envolvimento e ambiente × rotatividade</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2835"/>
        <w:gridCol w:w="1020"/>
        <w:gridCol w:w="567"/>
        <w:gridCol w:w="1361"/>
        <w:gridCol w:w="1361"/>
        <w:gridCol w:w="1474"/>
      </w:tblGrid>
      <w:tr>
        <w:trPr>
          <w:tblHeader w:val="true"/>
          <w:cantSplit/>
        </w:trPr>
        <w:tc>
          <w:tcPr>
            <w:tcW w:type="dxa" w:w="2835"/>
            <w:shd w:val="clear" w:color="auto" w:fill="E8EEF7"/>
          </w:tcPr>
          <w:p>
            <w:pPr>
              <w:spacing w:after="20" w:before="20" w:line="240" w:lineRule="auto"/>
              <w:jc w:val="left"/>
            </w:pPr>
            <w:r/>
            <w:r>
              <w:rPr>
                <w:rFonts w:ascii="Arial" w:hAnsi="Arial"/>
                <w:b/>
                <w:sz w:val="18"/>
              </w:rPr>
              <w:t>Fator</w:t>
            </w:r>
          </w:p>
        </w:tc>
        <w:tc>
          <w:tcPr>
            <w:tcW w:type="dxa" w:w="1020"/>
            <w:shd w:val="clear" w:color="auto" w:fill="E8EEF7"/>
          </w:tcPr>
          <w:p>
            <w:pPr>
              <w:spacing w:after="20" w:before="20" w:line="240" w:lineRule="auto"/>
              <w:jc w:val="left"/>
            </w:pPr>
            <w:r/>
            <w:r>
              <w:rPr>
                <w:rFonts w:ascii="Arial" w:hAnsi="Arial"/>
                <w:b/>
                <w:sz w:val="18"/>
              </w:rPr>
              <w:t>χ²</w:t>
            </w:r>
          </w:p>
        </w:tc>
        <w:tc>
          <w:tcPr>
            <w:tcW w:type="dxa" w:w="567"/>
            <w:shd w:val="clear" w:color="auto" w:fill="E8EEF7"/>
          </w:tcPr>
          <w:p>
            <w:pPr>
              <w:spacing w:after="20" w:before="20" w:line="240" w:lineRule="auto"/>
              <w:jc w:val="left"/>
            </w:pPr>
            <w:r/>
            <w:r>
              <w:rPr>
                <w:rFonts w:ascii="Arial" w:hAnsi="Arial"/>
                <w:b/>
                <w:sz w:val="18"/>
              </w:rPr>
              <w:t>gl</w:t>
            </w:r>
          </w:p>
        </w:tc>
        <w:tc>
          <w:tcPr>
            <w:tcW w:type="dxa" w:w="1361"/>
            <w:shd w:val="clear" w:color="auto" w:fill="E8EEF7"/>
          </w:tcPr>
          <w:p>
            <w:pPr>
              <w:spacing w:after="20" w:before="20" w:line="240" w:lineRule="auto"/>
              <w:jc w:val="left"/>
            </w:pPr>
            <w:r/>
            <w:r>
              <w:rPr>
                <w:rFonts w:ascii="Arial" w:hAnsi="Arial"/>
                <w:b/>
                <w:sz w:val="18"/>
              </w:rPr>
              <w:t>p (Holm)</w:t>
            </w:r>
          </w:p>
        </w:tc>
        <w:tc>
          <w:tcPr>
            <w:tcW w:type="dxa" w:w="1361"/>
            <w:shd w:val="clear" w:color="auto" w:fill="E8EEF7"/>
          </w:tcPr>
          <w:p>
            <w:pPr>
              <w:spacing w:after="20" w:before="20" w:line="240" w:lineRule="auto"/>
              <w:jc w:val="left"/>
            </w:pPr>
            <w:r/>
            <w:r>
              <w:rPr>
                <w:rFonts w:ascii="Arial" w:hAnsi="Arial"/>
                <w:b/>
                <w:sz w:val="18"/>
              </w:rPr>
              <w:t>V de Cramér</w:t>
            </w:r>
          </w:p>
        </w:tc>
        <w:tc>
          <w:tcPr>
            <w:tcW w:type="dxa" w:w="1474"/>
            <w:shd w:val="clear" w:color="auto" w:fill="E8EEF7"/>
          </w:tcPr>
          <w:p>
            <w:pPr>
              <w:spacing w:after="20" w:before="20" w:line="240" w:lineRule="auto"/>
              <w:jc w:val="left"/>
            </w:pPr>
            <w:r/>
            <w:r>
              <w:rPr>
                <w:rFonts w:ascii="Arial" w:hAnsi="Arial"/>
                <w:b/>
                <w:sz w:val="18"/>
              </w:rPr>
              <w:t>Decisão</w:t>
            </w:r>
          </w:p>
        </w:tc>
      </w:tr>
      <w:tr>
        <w:trPr>
          <w:cantSplit/>
        </w:trPr>
        <w:tc>
          <w:tcPr>
            <w:tcW w:type="dxa" w:w="2835"/>
          </w:tcPr>
          <w:p>
            <w:pPr>
              <w:spacing w:after="20" w:before="20" w:line="240" w:lineRule="auto"/>
              <w:jc w:val="left"/>
            </w:pPr>
            <w:r/>
            <w:r>
              <w:rPr>
                <w:rFonts w:ascii="Arial" w:hAnsi="Arial"/>
                <w:sz w:val="18"/>
              </w:rPr>
              <w:t>Envolvimento com o trabalho</w:t>
            </w:r>
          </w:p>
        </w:tc>
        <w:tc>
          <w:tcPr>
            <w:tcW w:type="dxa" w:w="1020"/>
          </w:tcPr>
          <w:p>
            <w:pPr>
              <w:spacing w:after="20" w:before="20" w:line="240" w:lineRule="auto"/>
              <w:jc w:val="left"/>
            </w:pPr>
            <w:r/>
            <w:r>
              <w:rPr>
                <w:rFonts w:ascii="Arial" w:hAnsi="Arial"/>
                <w:sz w:val="18"/>
              </w:rPr>
              <w:t>28,49</w:t>
            </w:r>
          </w:p>
        </w:tc>
        <w:tc>
          <w:tcPr>
            <w:tcW w:type="dxa" w:w="567"/>
          </w:tcPr>
          <w:p>
            <w:pPr>
              <w:spacing w:after="20" w:before="20" w:line="240" w:lineRule="auto"/>
              <w:jc w:val="left"/>
            </w:pPr>
            <w:r/>
            <w:r>
              <w:rPr>
                <w:rFonts w:ascii="Arial" w:hAnsi="Arial"/>
                <w:sz w:val="18"/>
              </w:rPr>
              <w:t>3</w:t>
            </w:r>
          </w:p>
        </w:tc>
        <w:tc>
          <w:tcPr>
            <w:tcW w:type="dxa" w:w="1361"/>
          </w:tcPr>
          <w:p>
            <w:pPr>
              <w:spacing w:after="20" w:before="20" w:line="240" w:lineRule="auto"/>
              <w:jc w:val="left"/>
            </w:pPr>
            <w:r/>
            <w:r>
              <w:rPr>
                <w:rFonts w:ascii="Arial" w:hAnsi="Arial"/>
                <w:sz w:val="18"/>
              </w:rPr>
              <w:t>&lt; 0,001</w:t>
            </w:r>
          </w:p>
        </w:tc>
        <w:tc>
          <w:tcPr>
            <w:tcW w:type="dxa" w:w="1361"/>
          </w:tcPr>
          <w:p>
            <w:pPr>
              <w:spacing w:after="20" w:before="20" w:line="240" w:lineRule="auto"/>
              <w:jc w:val="left"/>
            </w:pPr>
            <w:r/>
            <w:r>
              <w:rPr>
                <w:rFonts w:ascii="Arial" w:hAnsi="Arial"/>
                <w:sz w:val="18"/>
              </w:rPr>
              <w:t>0,139</w:t>
            </w:r>
          </w:p>
        </w:tc>
        <w:tc>
          <w:tcPr>
            <w:tcW w:type="dxa" w:w="1474"/>
          </w:tcPr>
          <w:p>
            <w:pPr>
              <w:spacing w:after="20" w:before="20" w:line="240" w:lineRule="auto"/>
              <w:jc w:val="left"/>
            </w:pPr>
            <w:r/>
            <w:r>
              <w:rPr>
                <w:rFonts w:ascii="Arial" w:hAnsi="Arial"/>
                <w:sz w:val="18"/>
              </w:rPr>
              <w:t>Rejeita H₀</w:t>
            </w:r>
          </w:p>
        </w:tc>
      </w:tr>
      <w:tr>
        <w:trPr>
          <w:cantSplit/>
        </w:trPr>
        <w:tc>
          <w:tcPr>
            <w:tcW w:type="dxa" w:w="2835"/>
          </w:tcPr>
          <w:p>
            <w:pPr>
              <w:spacing w:after="20" w:before="20" w:line="240" w:lineRule="auto"/>
              <w:jc w:val="left"/>
            </w:pPr>
            <w:r/>
            <w:r>
              <w:rPr>
                <w:rFonts w:ascii="Arial" w:hAnsi="Arial"/>
                <w:sz w:val="18"/>
              </w:rPr>
              <w:t>Satisfação com o ambiente</w:t>
            </w:r>
          </w:p>
        </w:tc>
        <w:tc>
          <w:tcPr>
            <w:tcW w:type="dxa" w:w="1020"/>
          </w:tcPr>
          <w:p>
            <w:pPr>
              <w:spacing w:after="20" w:before="20" w:line="240" w:lineRule="auto"/>
              <w:jc w:val="left"/>
            </w:pPr>
            <w:r/>
            <w:r>
              <w:rPr>
                <w:rFonts w:ascii="Arial" w:hAnsi="Arial"/>
                <w:sz w:val="18"/>
              </w:rPr>
              <w:t>22,50</w:t>
            </w:r>
          </w:p>
        </w:tc>
        <w:tc>
          <w:tcPr>
            <w:tcW w:type="dxa" w:w="567"/>
          </w:tcPr>
          <w:p>
            <w:pPr>
              <w:spacing w:after="20" w:before="20" w:line="240" w:lineRule="auto"/>
              <w:jc w:val="left"/>
            </w:pPr>
            <w:r/>
            <w:r>
              <w:rPr>
                <w:rFonts w:ascii="Arial" w:hAnsi="Arial"/>
                <w:sz w:val="18"/>
              </w:rPr>
              <w:t>3</w:t>
            </w:r>
          </w:p>
        </w:tc>
        <w:tc>
          <w:tcPr>
            <w:tcW w:type="dxa" w:w="1361"/>
          </w:tcPr>
          <w:p>
            <w:pPr>
              <w:spacing w:after="20" w:before="20" w:line="240" w:lineRule="auto"/>
              <w:jc w:val="left"/>
            </w:pPr>
            <w:r/>
            <w:r>
              <w:rPr>
                <w:rFonts w:ascii="Arial" w:hAnsi="Arial"/>
                <w:sz w:val="18"/>
              </w:rPr>
              <w:t>&lt; 0,001</w:t>
            </w:r>
          </w:p>
        </w:tc>
        <w:tc>
          <w:tcPr>
            <w:tcW w:type="dxa" w:w="1361"/>
          </w:tcPr>
          <w:p>
            <w:pPr>
              <w:spacing w:after="20" w:before="20" w:line="240" w:lineRule="auto"/>
              <w:jc w:val="left"/>
            </w:pPr>
            <w:r/>
            <w:r>
              <w:rPr>
                <w:rFonts w:ascii="Arial" w:hAnsi="Arial"/>
                <w:sz w:val="18"/>
              </w:rPr>
              <w:t>0,124</w:t>
            </w:r>
          </w:p>
        </w:tc>
        <w:tc>
          <w:tcPr>
            <w:tcW w:type="dxa" w:w="1474"/>
          </w:tcPr>
          <w:p>
            <w:pPr>
              <w:spacing w:after="20" w:before="20" w:line="240" w:lineRule="auto"/>
              <w:jc w:val="left"/>
            </w:pPr>
            <w:r/>
            <w:r>
              <w:rPr>
                <w:rFonts w:ascii="Arial" w:hAnsi="Arial"/>
                <w:sz w:val="18"/>
              </w:rPr>
              <w:t>Rejeita H₀</w:t>
            </w:r>
          </w:p>
        </w:tc>
      </w:tr>
      <w:tr>
        <w:trPr>
          <w:cantSplit/>
        </w:trPr>
        <w:tc>
          <w:tcPr>
            <w:tcW w:type="dxa" w:w="2835"/>
          </w:tcPr>
          <w:p>
            <w:pPr>
              <w:spacing w:after="20" w:before="20" w:line="240" w:lineRule="auto"/>
              <w:jc w:val="left"/>
            </w:pPr>
            <w:r/>
            <w:r>
              <w:rPr>
                <w:rFonts w:ascii="Arial" w:hAnsi="Arial"/>
                <w:sz w:val="18"/>
              </w:rPr>
              <w:t>Satisfação com o trabalho</w:t>
            </w:r>
          </w:p>
        </w:tc>
        <w:tc>
          <w:tcPr>
            <w:tcW w:type="dxa" w:w="1020"/>
          </w:tcPr>
          <w:p>
            <w:pPr>
              <w:spacing w:after="20" w:before="20" w:line="240" w:lineRule="auto"/>
              <w:jc w:val="left"/>
            </w:pPr>
            <w:r/>
            <w:r>
              <w:rPr>
                <w:rFonts w:ascii="Arial" w:hAnsi="Arial"/>
                <w:sz w:val="18"/>
              </w:rPr>
              <w:t>17,51</w:t>
            </w:r>
          </w:p>
        </w:tc>
        <w:tc>
          <w:tcPr>
            <w:tcW w:type="dxa" w:w="567"/>
          </w:tcPr>
          <w:p>
            <w:pPr>
              <w:spacing w:after="20" w:before="20" w:line="240" w:lineRule="auto"/>
              <w:jc w:val="left"/>
            </w:pPr>
            <w:r/>
            <w:r>
              <w:rPr>
                <w:rFonts w:ascii="Arial" w:hAnsi="Arial"/>
                <w:sz w:val="18"/>
              </w:rPr>
              <w:t>3</w:t>
            </w:r>
          </w:p>
        </w:tc>
        <w:tc>
          <w:tcPr>
            <w:tcW w:type="dxa" w:w="1361"/>
          </w:tcPr>
          <w:p>
            <w:pPr>
              <w:spacing w:after="20" w:before="20" w:line="240" w:lineRule="auto"/>
              <w:jc w:val="left"/>
            </w:pPr>
            <w:r/>
            <w:r>
              <w:rPr>
                <w:rFonts w:ascii="Arial" w:hAnsi="Arial"/>
                <w:sz w:val="18"/>
              </w:rPr>
              <w:t>0,0011</w:t>
            </w:r>
          </w:p>
        </w:tc>
        <w:tc>
          <w:tcPr>
            <w:tcW w:type="dxa" w:w="1361"/>
          </w:tcPr>
          <w:p>
            <w:pPr>
              <w:spacing w:after="20" w:before="20" w:line="240" w:lineRule="auto"/>
              <w:jc w:val="left"/>
            </w:pPr>
            <w:r/>
            <w:r>
              <w:rPr>
                <w:rFonts w:ascii="Arial" w:hAnsi="Arial"/>
                <w:sz w:val="18"/>
              </w:rPr>
              <w:t>0,109</w:t>
            </w:r>
          </w:p>
        </w:tc>
        <w:tc>
          <w:tcPr>
            <w:tcW w:type="dxa" w:w="1474"/>
          </w:tcPr>
          <w:p>
            <w:pPr>
              <w:spacing w:after="20" w:before="20" w:line="240" w:lineRule="auto"/>
              <w:jc w:val="left"/>
            </w:pPr>
            <w:r/>
            <w:r>
              <w:rPr>
                <w:rFonts w:ascii="Arial" w:hAnsi="Arial"/>
                <w:sz w:val="18"/>
              </w:rPr>
              <w:t>Rejeita H₀</w:t>
            </w:r>
          </w:p>
        </w:tc>
      </w:tr>
      <w:tr>
        <w:trPr>
          <w:cantSplit/>
        </w:trPr>
        <w:tc>
          <w:tcPr>
            <w:tcW w:type="dxa" w:w="2835"/>
          </w:tcPr>
          <w:p>
            <w:pPr>
              <w:spacing w:after="20" w:before="20" w:line="240" w:lineRule="auto"/>
              <w:jc w:val="left"/>
            </w:pPr>
            <w:r/>
            <w:r>
              <w:rPr>
                <w:rFonts w:ascii="Arial" w:hAnsi="Arial"/>
                <w:sz w:val="18"/>
              </w:rPr>
              <w:t>Equilíbrio vida-trabalho</w:t>
            </w:r>
          </w:p>
        </w:tc>
        <w:tc>
          <w:tcPr>
            <w:tcW w:type="dxa" w:w="1020"/>
          </w:tcPr>
          <w:p>
            <w:pPr>
              <w:spacing w:after="20" w:before="20" w:line="240" w:lineRule="auto"/>
              <w:jc w:val="left"/>
            </w:pPr>
            <w:r/>
            <w:r>
              <w:rPr>
                <w:rFonts w:ascii="Arial" w:hAnsi="Arial"/>
                <w:sz w:val="18"/>
              </w:rPr>
              <w:t>16,33</w:t>
            </w:r>
          </w:p>
        </w:tc>
        <w:tc>
          <w:tcPr>
            <w:tcW w:type="dxa" w:w="567"/>
          </w:tcPr>
          <w:p>
            <w:pPr>
              <w:spacing w:after="20" w:before="20" w:line="240" w:lineRule="auto"/>
              <w:jc w:val="left"/>
            </w:pPr>
            <w:r/>
            <w:r>
              <w:rPr>
                <w:rFonts w:ascii="Arial" w:hAnsi="Arial"/>
                <w:sz w:val="18"/>
              </w:rPr>
              <w:t>3</w:t>
            </w:r>
          </w:p>
        </w:tc>
        <w:tc>
          <w:tcPr>
            <w:tcW w:type="dxa" w:w="1361"/>
          </w:tcPr>
          <w:p>
            <w:pPr>
              <w:spacing w:after="20" w:before="20" w:line="240" w:lineRule="auto"/>
              <w:jc w:val="left"/>
            </w:pPr>
            <w:r/>
            <w:r>
              <w:rPr>
                <w:rFonts w:ascii="Arial" w:hAnsi="Arial"/>
                <w:sz w:val="18"/>
              </w:rPr>
              <w:t>0,0011</w:t>
            </w:r>
          </w:p>
        </w:tc>
        <w:tc>
          <w:tcPr>
            <w:tcW w:type="dxa" w:w="1361"/>
          </w:tcPr>
          <w:p>
            <w:pPr>
              <w:spacing w:after="20" w:before="20" w:line="240" w:lineRule="auto"/>
              <w:jc w:val="left"/>
            </w:pPr>
            <w:r/>
            <w:r>
              <w:rPr>
                <w:rFonts w:ascii="Arial" w:hAnsi="Arial"/>
                <w:sz w:val="18"/>
              </w:rPr>
              <w:t>0,105</w:t>
            </w:r>
          </w:p>
        </w:tc>
        <w:tc>
          <w:tcPr>
            <w:tcW w:type="dxa" w:w="1474"/>
          </w:tcPr>
          <w:p>
            <w:pPr>
              <w:spacing w:after="20" w:before="20" w:line="240" w:lineRule="auto"/>
              <w:jc w:val="left"/>
            </w:pPr>
            <w:r/>
            <w:r>
              <w:rPr>
                <w:rFonts w:ascii="Arial" w:hAnsi="Arial"/>
                <w:sz w:val="18"/>
              </w:rPr>
              <w:t>Rejeita H₀</w:t>
            </w:r>
          </w:p>
        </w:tc>
      </w:tr>
    </w:tbl>
    <w:p>
      <w:pPr>
        <w:keepNext w:val="0"/>
        <w:spacing w:line="240" w:lineRule="auto" w:before="40" w:after="200"/>
        <w:jc w:val="left"/>
      </w:pPr>
      <w:r>
        <w:rPr>
          <w:rFonts w:ascii="Arial" w:hAnsi="Arial"/>
          <w:sz w:val="20"/>
        </w:rPr>
        <w:t>Fonte: elaboração própria a partir de IBM HR Analytics (Kaggle, 2017).</w:t>
      </w:r>
    </w:p>
    <w:p>
      <w:pPr>
        <w:spacing w:line="360" w:lineRule="auto" w:after="120" w:before="0"/>
        <w:ind w:firstLine="709"/>
        <w:jc w:val="both"/>
      </w:pPr>
      <w:r>
        <w:rPr>
          <w:rFonts w:ascii="Arial" w:hAnsi="Arial"/>
          <w:b/>
          <w:sz w:val="24"/>
        </w:rPr>
        <w:t>Os quatro testes rejeitam H₀</w:t>
      </w:r>
      <w:r>
        <w:rPr>
          <w:rFonts w:ascii="Arial" w:hAnsi="Arial"/>
          <w:sz w:val="24"/>
        </w:rPr>
        <w:t xml:space="preserve">, mesmo após o ajuste. O </w:t>
      </w:r>
      <w:r>
        <w:rPr>
          <w:rFonts w:ascii="Arial" w:hAnsi="Arial"/>
          <w:b/>
          <w:sz w:val="24"/>
        </w:rPr>
        <w:t>envolvimento</w:t>
      </w:r>
      <w:r>
        <w:rPr>
          <w:rFonts w:ascii="Arial" w:hAnsi="Arial"/>
          <w:sz w:val="24"/>
        </w:rPr>
        <w:t xml:space="preserve"> tem o maior efeito (V = 0,139): 33,7% de saída no nível baixo, contra 9,0% no muito alto. Os efeitos individuais são pequenos, mas, como as quatro dimensões são independentes entre si, </w:t>
      </w:r>
      <w:r>
        <w:rPr>
          <w:rFonts w:ascii="Arial" w:hAnsi="Arial"/>
          <w:b/>
          <w:sz w:val="24"/>
        </w:rPr>
        <w:t>o risco se acumula</w:t>
      </w:r>
      <w:r>
        <w:rPr>
          <w:rFonts w:ascii="Arial" w:hAnsi="Arial"/>
          <w:sz w:val="24"/>
        </w:rPr>
        <w:t xml:space="preserve"> em quem tem várias dimensões no nível baixo. </w:t>
      </w:r>
      <w:r>
        <w:rPr>
          <w:rFonts w:ascii="Arial" w:hAnsi="Arial"/>
          <w:b/>
          <w:sz w:val="24"/>
        </w:rPr>
        <w:t>Interpretação:</w:t>
      </w:r>
      <w:r>
        <w:rPr>
          <w:rFonts w:ascii="Arial" w:hAnsi="Arial"/>
          <w:sz w:val="24"/>
        </w:rPr>
        <w:t xml:space="preserve"> pesquisas de clima que identifiquem respostas "baixo" funcionam como alerta precoce de saída.</w:t>
      </w:r>
    </w:p>
    <w:p>
      <w:pPr>
        <w:pStyle w:val="Heading2"/>
        <w:spacing w:before="240" w:after="120"/>
      </w:pPr>
      <w:r>
        <w:rPr>
          <w:b/>
          <w:sz w:val="24"/>
        </w:rPr>
        <w:t>4.4 Q4: Hora extra</w:t>
      </w:r>
    </w:p>
    <w:p>
      <w:pPr>
        <w:spacing w:line="360" w:lineRule="auto" w:after="120" w:before="0"/>
        <w:ind w:firstLine="709"/>
        <w:jc w:val="both"/>
      </w:pPr>
      <w:r>
        <w:rPr>
          <w:rFonts w:ascii="Arial" w:hAnsi="Arial"/>
          <w:sz w:val="24"/>
        </w:rPr>
        <w:t xml:space="preserve">H₀: hora extra e rotatividade são independentes; H₁: estão associadas. Foi aplicado o </w:t>
      </w:r>
      <w:r>
        <w:rPr>
          <w:rFonts w:ascii="Arial" w:hAnsi="Arial"/>
          <w:b/>
          <w:sz w:val="24"/>
        </w:rPr>
        <w:t>Qui-Quadrado 2×2</w:t>
      </w:r>
      <w:r>
        <w:rPr>
          <w:rFonts w:ascii="Arial" w:hAnsi="Arial"/>
          <w:sz w:val="24"/>
        </w:rPr>
        <w:t xml:space="preserve"> (com correção de Yates), complementado pelo </w:t>
      </w:r>
      <w:r>
        <w:rPr>
          <w:rFonts w:ascii="Arial" w:hAnsi="Arial"/>
          <w:b/>
          <w:sz w:val="24"/>
        </w:rPr>
        <w:t>IC 95% da diferença de proporções</w:t>
      </w:r>
      <w:r>
        <w:rPr>
          <w:rFonts w:ascii="Arial" w:hAnsi="Arial"/>
          <w:sz w:val="24"/>
        </w:rPr>
        <w:t xml:space="preserve"> (Newcombe). Resultado: χ²(1) = 87,56, p &lt; 0,001. </w:t>
      </w:r>
      <w:r>
        <w:rPr>
          <w:rFonts w:ascii="Arial" w:hAnsi="Arial"/>
          <w:b/>
          <w:sz w:val="24"/>
        </w:rPr>
        <w:t>Rejeita-se H₀.</w:t>
      </w:r>
      <w:r>
        <w:rPr>
          <w:rFonts w:ascii="Arial" w:hAnsi="Arial"/>
          <w:sz w:val="24"/>
        </w:rPr>
        <w:t xml:space="preserve"> A taxa de saída é 30,5% com hora extra e 10,4% sem hora extra: diferença de </w:t>
      </w:r>
      <w:r>
        <w:rPr>
          <w:rFonts w:ascii="Arial" w:hAnsi="Arial"/>
          <w:b/>
          <w:sz w:val="24"/>
        </w:rPr>
        <w:t>20,1 pontos percentuais</w:t>
      </w:r>
      <w:r>
        <w:rPr>
          <w:rFonts w:ascii="Arial" w:hAnsi="Arial"/>
          <w:sz w:val="24"/>
        </w:rPr>
        <w:t xml:space="preserve"> (IC 95%: 15,4 a 25,0 p.p.) e </w:t>
      </w:r>
      <w:r>
        <w:rPr>
          <w:rFonts w:ascii="Arial" w:hAnsi="Arial"/>
          <w:b/>
          <w:sz w:val="24"/>
        </w:rPr>
        <w:t>risco relativo de 2,93</w:t>
      </w:r>
      <w:r>
        <w:rPr>
          <w:rFonts w:ascii="Arial" w:hAnsi="Arial"/>
          <w:sz w:val="24"/>
        </w:rPr>
        <w:t xml:space="preserve">. É a associação mais forte do estudo (V = 0,244). </w:t>
      </w:r>
      <w:r>
        <w:rPr>
          <w:rFonts w:ascii="Arial" w:hAnsi="Arial"/>
          <w:b/>
          <w:sz w:val="24"/>
        </w:rPr>
        <w:t>Interpretação:</w:t>
      </w:r>
      <w:r>
        <w:rPr>
          <w:rFonts w:ascii="Arial" w:hAnsi="Arial"/>
          <w:sz w:val="24"/>
        </w:rPr>
        <w:t xml:space="preserve"> se a taxa de quem faz hora extra caísse ao nível de quem não faz, seriam cerca de </w:t>
      </w:r>
      <w:r>
        <w:rPr>
          <w:rFonts w:ascii="Arial" w:hAnsi="Arial"/>
          <w:b/>
          <w:sz w:val="24"/>
        </w:rPr>
        <w:t>84 saídas a menos</w:t>
      </w:r>
      <w:r>
        <w:rPr>
          <w:rFonts w:ascii="Arial" w:hAnsi="Arial"/>
          <w:sz w:val="24"/>
        </w:rPr>
        <w:t xml:space="preserve"> (35% do total). É um potencial, já que a relação é de associação.</w:t>
      </w:r>
    </w:p>
    <w:p>
      <w:pPr>
        <w:pStyle w:val="Heading2"/>
        <w:spacing w:before="240" w:after="120"/>
      </w:pPr>
      <w:r>
        <w:rPr>
          <w:b/>
          <w:sz w:val="24"/>
        </w:rPr>
        <w:t>4.5 Q5: Desempenho, envolvimento e reajuste</w:t>
      </w:r>
    </w:p>
    <w:p>
      <w:pPr>
        <w:spacing w:line="360" w:lineRule="auto" w:after="120" w:before="0"/>
        <w:ind w:firstLine="709"/>
        <w:jc w:val="both"/>
      </w:pPr>
      <w:r>
        <w:rPr>
          <w:rFonts w:ascii="Arial" w:hAnsi="Arial"/>
          <w:b/>
          <w:sz w:val="24"/>
        </w:rPr>
        <w:t>(a) Teste t (nota 4 × nota 3).</w:t>
      </w:r>
      <w:r>
        <w:rPr>
          <w:rFonts w:ascii="Arial" w:hAnsi="Arial"/>
          <w:sz w:val="24"/>
        </w:rPr>
        <w:t xml:space="preserve"> H₀: o reajuste médio é igual nas duas notas. Levene rejeitou a igualdade de variâncias, então foi usado o </w:t>
      </w:r>
      <w:r>
        <w:rPr>
          <w:rFonts w:ascii="Arial" w:hAnsi="Arial"/>
          <w:b/>
          <w:sz w:val="24"/>
        </w:rPr>
        <w:t>t de Welch</w:t>
      </w:r>
      <w:r>
        <w:rPr>
          <w:rFonts w:ascii="Arial" w:hAnsi="Arial"/>
          <w:sz w:val="24"/>
        </w:rPr>
        <w:t xml:space="preserve"> (n = 226 e 1.244; TCL aplicável). Resultado: t = 63,4, p &lt; 0,001. </w:t>
      </w:r>
      <w:r>
        <w:rPr>
          <w:rFonts w:ascii="Arial" w:hAnsi="Arial"/>
          <w:b/>
          <w:sz w:val="24"/>
        </w:rPr>
        <w:t>Rejeita-se H₀</w:t>
      </w:r>
      <w:r>
        <w:rPr>
          <w:rFonts w:ascii="Arial" w:hAnsi="Arial"/>
          <w:sz w:val="24"/>
        </w:rPr>
        <w:t>: nota 4 recebe em média 21,8% contra 14,0% (diferença com IC 95% de 7,6 a 8,1 p.p.). As faixas não se sobrepõem: há uma regra fixa.</w:t>
      </w:r>
    </w:p>
    <w:p>
      <w:pPr>
        <w:spacing w:line="360" w:lineRule="auto" w:after="120" w:before="0"/>
        <w:ind w:firstLine="709"/>
        <w:jc w:val="both"/>
      </w:pPr>
      <w:r>
        <w:rPr>
          <w:rFonts w:ascii="Arial" w:hAnsi="Arial"/>
          <w:b/>
          <w:sz w:val="24"/>
        </w:rPr>
        <w:t>(b) ANOVA (reajuste × 4 níveis de envolvimento).</w:t>
      </w:r>
      <w:r>
        <w:rPr>
          <w:rFonts w:ascii="Arial" w:hAnsi="Arial"/>
          <w:sz w:val="24"/>
        </w:rPr>
        <w:t xml:space="preserve"> H₀: as médias são iguais nos quatro níveis. Levene não rejeitou a igualdade de variâncias (p = 0,72), então foi usada a ANOVA clássica (todos os grupos com n ≥ 83). Resultado: F(3; 1466) = 1,08, p = 0,3579. </w:t>
      </w:r>
      <w:r>
        <w:rPr>
          <w:rFonts w:ascii="Arial" w:hAnsi="Arial"/>
          <w:b/>
          <w:sz w:val="24"/>
        </w:rPr>
        <w:t>Não se rejeita H₀</w:t>
      </w:r>
      <w:r>
        <w:rPr>
          <w:rFonts w:ascii="Arial" w:hAnsi="Arial"/>
          <w:sz w:val="24"/>
        </w:rPr>
        <w:t xml:space="preserve"> (η² = 0,002): o envolvimento </w:t>
      </w:r>
      <w:r>
        <w:rPr>
          <w:rFonts w:ascii="Arial" w:hAnsi="Arial"/>
          <w:b/>
          <w:sz w:val="24"/>
        </w:rPr>
        <w:t>não é recompensado</w:t>
      </w:r>
      <w:r>
        <w:rPr>
          <w:rFonts w:ascii="Arial" w:hAnsi="Arial"/>
          <w:sz w:val="24"/>
        </w:rPr>
        <w:t xml:space="preserve"> no reajuste.</w:t>
      </w:r>
    </w:p>
    <w:p>
      <w:pPr>
        <w:spacing w:line="360" w:lineRule="auto" w:after="120" w:before="0"/>
        <w:ind w:firstLine="709"/>
        <w:jc w:val="both"/>
      </w:pPr>
      <w:r>
        <w:rPr>
          <w:rFonts w:ascii="Arial" w:hAnsi="Arial"/>
          <w:b/>
          <w:sz w:val="24"/>
        </w:rPr>
        <w:t>(c) Correlação (renda × reajuste).</w:t>
      </w:r>
      <w:r>
        <w:rPr>
          <w:rFonts w:ascii="Arial" w:hAnsi="Arial"/>
          <w:sz w:val="24"/>
        </w:rPr>
        <w:t xml:space="preserve"> H₀: ρ = 0. Como a renda é assimétrica e com outliers, o coeficiente principal é o de </w:t>
      </w:r>
      <w:r>
        <w:rPr>
          <w:rFonts w:ascii="Arial" w:hAnsi="Arial"/>
          <w:b/>
          <w:sz w:val="24"/>
        </w:rPr>
        <w:t>Spearman</w:t>
      </w:r>
      <w:r>
        <w:rPr>
          <w:rFonts w:ascii="Arial" w:hAnsi="Arial"/>
          <w:sz w:val="24"/>
        </w:rPr>
        <w:t xml:space="preserve">: ρ = -0,034, p = 0,1957. </w:t>
      </w:r>
      <w:r>
        <w:rPr>
          <w:rFonts w:ascii="Arial" w:hAnsi="Arial"/>
          <w:b/>
          <w:sz w:val="24"/>
        </w:rPr>
        <w:t>Não se rejeita H₀.</w:t>
      </w:r>
      <w:r>
        <w:rPr>
          <w:rFonts w:ascii="Arial" w:hAnsi="Arial"/>
          <w:sz w:val="24"/>
        </w:rPr>
        <w:t xml:space="preserve"> </w:t>
      </w:r>
      <w:r>
        <w:rPr>
          <w:rFonts w:ascii="Arial" w:hAnsi="Arial"/>
          <w:b/>
          <w:sz w:val="24"/>
        </w:rPr>
        <w:t>Interpretação da Q5:</w:t>
      </w:r>
      <w:r>
        <w:rPr>
          <w:rFonts w:ascii="Arial" w:hAnsi="Arial"/>
          <w:sz w:val="24"/>
        </w:rPr>
        <w:t xml:space="preserve"> o reajuste depende apenas da nota, e a nota não está associada à saída. A principal ferramenta de recompensa </w:t>
      </w:r>
      <w:r>
        <w:rPr>
          <w:rFonts w:ascii="Arial" w:hAnsi="Arial"/>
          <w:b/>
          <w:sz w:val="24"/>
        </w:rPr>
        <w:t>não atua sobre os fatores que explicam a rotatividade</w:t>
      </w:r>
      <w:r>
        <w:rPr>
          <w:rFonts w:ascii="Arial" w:hAnsi="Arial"/>
          <w:sz w:val="24"/>
        </w:rPr>
        <w:t>.</w:t>
      </w:r>
    </w:p>
    <w:p>
      <w:pPr>
        <w:pStyle w:val="Heading2"/>
        <w:spacing w:before="240" w:after="120"/>
      </w:pPr>
      <w:r>
        <w:rPr>
          <w:b/>
          <w:sz w:val="24"/>
        </w:rPr>
        <w:t>4.6 Síntese dos resultados inferenciais</w:t>
      </w:r>
    </w:p>
    <w:p>
      <w:pPr>
        <w:keepNext/>
        <w:spacing w:line="240" w:lineRule="auto" w:before="120" w:after="40"/>
        <w:jc w:val="center"/>
      </w:pPr>
      <w:r>
        <w:rPr>
          <w:rFonts w:ascii="Arial" w:hAnsi="Arial"/>
          <w:b/>
          <w:sz w:val="20"/>
        </w:rPr>
        <w:t>Tabela 7</w:t>
      </w:r>
      <w:r>
        <w:rPr>
          <w:rFonts w:ascii="Arial" w:hAnsi="Arial"/>
          <w:sz w:val="20"/>
        </w:rPr>
        <w:t xml:space="preserve"> – Resumo de todos os testes de hipóteses (α = 0,05)</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1077"/>
        <w:gridCol w:w="1417"/>
        <w:gridCol w:w="1984"/>
        <w:gridCol w:w="1134"/>
        <w:gridCol w:w="1077"/>
        <w:gridCol w:w="1020"/>
        <w:gridCol w:w="1474"/>
      </w:tblGrid>
      <w:tr>
        <w:trPr>
          <w:tblHeader w:val="true"/>
          <w:cantSplit/>
        </w:trPr>
        <w:tc>
          <w:tcPr>
            <w:tcW w:type="dxa" w:w="1077"/>
            <w:shd w:val="clear" w:color="auto" w:fill="E8EEF7"/>
          </w:tcPr>
          <w:p>
            <w:pPr>
              <w:spacing w:after="20" w:before="20" w:line="240" w:lineRule="auto"/>
              <w:jc w:val="left"/>
            </w:pPr>
            <w:r/>
            <w:r>
              <w:rPr>
                <w:rFonts w:ascii="Arial" w:hAnsi="Arial"/>
                <w:b/>
                <w:sz w:val="15"/>
              </w:rPr>
              <w:t>Pergunta</w:t>
            </w:r>
          </w:p>
        </w:tc>
        <w:tc>
          <w:tcPr>
            <w:tcW w:type="dxa" w:w="1417"/>
            <w:shd w:val="clear" w:color="auto" w:fill="E8EEF7"/>
          </w:tcPr>
          <w:p>
            <w:pPr>
              <w:spacing w:after="20" w:before="20" w:line="240" w:lineRule="auto"/>
              <w:jc w:val="left"/>
            </w:pPr>
            <w:r/>
            <w:r>
              <w:rPr>
                <w:rFonts w:ascii="Arial" w:hAnsi="Arial"/>
                <w:b/>
                <w:sz w:val="15"/>
              </w:rPr>
              <w:t>Teste</w:t>
            </w:r>
          </w:p>
        </w:tc>
        <w:tc>
          <w:tcPr>
            <w:tcW w:type="dxa" w:w="1984"/>
            <w:shd w:val="clear" w:color="auto" w:fill="E8EEF7"/>
          </w:tcPr>
          <w:p>
            <w:pPr>
              <w:spacing w:after="20" w:before="20" w:line="240" w:lineRule="auto"/>
              <w:jc w:val="left"/>
            </w:pPr>
            <w:r/>
            <w:r>
              <w:rPr>
                <w:rFonts w:ascii="Arial" w:hAnsi="Arial"/>
                <w:b/>
                <w:sz w:val="15"/>
              </w:rPr>
              <w:t>Variáveis</w:t>
            </w:r>
          </w:p>
        </w:tc>
        <w:tc>
          <w:tcPr>
            <w:tcW w:type="dxa" w:w="1134"/>
            <w:shd w:val="clear" w:color="auto" w:fill="E8EEF7"/>
          </w:tcPr>
          <w:p>
            <w:pPr>
              <w:spacing w:after="20" w:before="20" w:line="240" w:lineRule="auto"/>
              <w:jc w:val="left"/>
            </w:pPr>
            <w:r/>
            <w:r>
              <w:rPr>
                <w:rFonts w:ascii="Arial" w:hAnsi="Arial"/>
                <w:b/>
                <w:sz w:val="15"/>
              </w:rPr>
              <w:t>Estatística</w:t>
            </w:r>
          </w:p>
        </w:tc>
        <w:tc>
          <w:tcPr>
            <w:tcW w:type="dxa" w:w="1077"/>
            <w:shd w:val="clear" w:color="auto" w:fill="E8EEF7"/>
          </w:tcPr>
          <w:p>
            <w:pPr>
              <w:spacing w:after="20" w:before="20" w:line="240" w:lineRule="auto"/>
              <w:jc w:val="left"/>
            </w:pPr>
            <w:r/>
            <w:r>
              <w:rPr>
                <w:rFonts w:ascii="Arial" w:hAnsi="Arial"/>
                <w:b/>
                <w:sz w:val="15"/>
              </w:rPr>
              <w:t>p-valor</w:t>
            </w:r>
          </w:p>
        </w:tc>
        <w:tc>
          <w:tcPr>
            <w:tcW w:type="dxa" w:w="1020"/>
            <w:shd w:val="clear" w:color="auto" w:fill="E8EEF7"/>
          </w:tcPr>
          <w:p>
            <w:pPr>
              <w:spacing w:after="20" w:before="20" w:line="240" w:lineRule="auto"/>
              <w:jc w:val="left"/>
            </w:pPr>
            <w:r/>
            <w:r>
              <w:rPr>
                <w:rFonts w:ascii="Arial" w:hAnsi="Arial"/>
                <w:b/>
                <w:sz w:val="15"/>
              </w:rPr>
              <w:t>Decisão</w:t>
            </w:r>
          </w:p>
        </w:tc>
        <w:tc>
          <w:tcPr>
            <w:tcW w:type="dxa" w:w="1474"/>
            <w:shd w:val="clear" w:color="auto" w:fill="E8EEF7"/>
          </w:tcPr>
          <w:p>
            <w:pPr>
              <w:spacing w:after="20" w:before="20" w:line="240" w:lineRule="auto"/>
              <w:jc w:val="left"/>
            </w:pPr>
            <w:r/>
            <w:r>
              <w:rPr>
                <w:rFonts w:ascii="Arial" w:hAnsi="Arial"/>
                <w:b/>
                <w:sz w:val="15"/>
              </w:rPr>
              <w:t>Efeito</w:t>
            </w:r>
          </w:p>
        </w:tc>
      </w:tr>
      <w:tr>
        <w:trPr>
          <w:cantSplit/>
        </w:trPr>
        <w:tc>
          <w:tcPr>
            <w:tcW w:type="dxa" w:w="1077"/>
          </w:tcPr>
          <w:p>
            <w:pPr>
              <w:spacing w:after="20" w:before="20" w:line="240" w:lineRule="auto"/>
              <w:jc w:val="left"/>
            </w:pPr>
            <w:r/>
            <w:r>
              <w:rPr>
                <w:rFonts w:ascii="Arial" w:hAnsi="Arial"/>
                <w:sz w:val="15"/>
              </w:rPr>
              <w:t>Q1</w:t>
            </w:r>
          </w:p>
        </w:tc>
        <w:tc>
          <w:tcPr>
            <w:tcW w:type="dxa" w:w="1417"/>
          </w:tcPr>
          <w:p>
            <w:pPr>
              <w:spacing w:after="20" w:before="20" w:line="240" w:lineRule="auto"/>
              <w:jc w:val="left"/>
            </w:pPr>
            <w:r/>
            <w:r>
              <w:rPr>
                <w:rFonts w:ascii="Arial" w:hAnsi="Arial"/>
                <w:sz w:val="15"/>
              </w:rPr>
              <w:t>Qui-Quadrado</w:t>
            </w:r>
          </w:p>
        </w:tc>
        <w:tc>
          <w:tcPr>
            <w:tcW w:type="dxa" w:w="1984"/>
          </w:tcPr>
          <w:p>
            <w:pPr>
              <w:spacing w:after="20" w:before="20" w:line="240" w:lineRule="auto"/>
              <w:jc w:val="left"/>
            </w:pPr>
            <w:r/>
            <w:r>
              <w:rPr>
                <w:rFonts w:ascii="Arial" w:hAnsi="Arial"/>
                <w:sz w:val="15"/>
              </w:rPr>
              <w:t>Departamento × Saída</w:t>
            </w:r>
          </w:p>
        </w:tc>
        <w:tc>
          <w:tcPr>
            <w:tcW w:type="dxa" w:w="1134"/>
          </w:tcPr>
          <w:p>
            <w:pPr>
              <w:spacing w:after="20" w:before="20" w:line="240" w:lineRule="auto"/>
              <w:jc w:val="left"/>
            </w:pPr>
            <w:r/>
            <w:r>
              <w:rPr>
                <w:rFonts w:ascii="Arial" w:hAnsi="Arial"/>
                <w:sz w:val="15"/>
              </w:rPr>
              <w:t>χ² = 10,796</w:t>
            </w:r>
          </w:p>
        </w:tc>
        <w:tc>
          <w:tcPr>
            <w:tcW w:type="dxa" w:w="1077"/>
          </w:tcPr>
          <w:p>
            <w:pPr>
              <w:spacing w:after="20" w:before="20" w:line="240" w:lineRule="auto"/>
              <w:jc w:val="left"/>
            </w:pPr>
            <w:r/>
            <w:r>
              <w:rPr>
                <w:rFonts w:ascii="Arial" w:hAnsi="Arial"/>
                <w:sz w:val="15"/>
              </w:rPr>
              <w:t>0,0045</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0,086 (desprezível)</w:t>
            </w:r>
          </w:p>
        </w:tc>
      </w:tr>
      <w:tr>
        <w:trPr>
          <w:cantSplit/>
        </w:trPr>
        <w:tc>
          <w:tcPr>
            <w:tcW w:type="dxa" w:w="1077"/>
          </w:tcPr>
          <w:p>
            <w:pPr>
              <w:spacing w:after="20" w:before="20" w:line="240" w:lineRule="auto"/>
              <w:jc w:val="left"/>
            </w:pPr>
            <w:r/>
            <w:r>
              <w:rPr>
                <w:rFonts w:ascii="Arial" w:hAnsi="Arial"/>
                <w:sz w:val="15"/>
              </w:rPr>
              <w:t>Q1</w:t>
            </w:r>
          </w:p>
        </w:tc>
        <w:tc>
          <w:tcPr>
            <w:tcW w:type="dxa" w:w="1417"/>
          </w:tcPr>
          <w:p>
            <w:pPr>
              <w:spacing w:after="20" w:before="20" w:line="240" w:lineRule="auto"/>
              <w:jc w:val="left"/>
            </w:pPr>
            <w:r/>
            <w:r>
              <w:rPr>
                <w:rFonts w:ascii="Arial" w:hAnsi="Arial"/>
                <w:sz w:val="15"/>
              </w:rPr>
              <w:t>Qui-Quadrado</w:t>
            </w:r>
          </w:p>
        </w:tc>
        <w:tc>
          <w:tcPr>
            <w:tcW w:type="dxa" w:w="1984"/>
          </w:tcPr>
          <w:p>
            <w:pPr>
              <w:spacing w:after="20" w:before="20" w:line="240" w:lineRule="auto"/>
              <w:jc w:val="left"/>
            </w:pPr>
            <w:r/>
            <w:r>
              <w:rPr>
                <w:rFonts w:ascii="Arial" w:hAnsi="Arial"/>
                <w:sz w:val="15"/>
              </w:rPr>
              <w:t>Cargo × Saída</w:t>
            </w:r>
          </w:p>
        </w:tc>
        <w:tc>
          <w:tcPr>
            <w:tcW w:type="dxa" w:w="1134"/>
          </w:tcPr>
          <w:p>
            <w:pPr>
              <w:spacing w:after="20" w:before="20" w:line="240" w:lineRule="auto"/>
              <w:jc w:val="left"/>
            </w:pPr>
            <w:r/>
            <w:r>
              <w:rPr>
                <w:rFonts w:ascii="Arial" w:hAnsi="Arial"/>
                <w:sz w:val="15"/>
              </w:rPr>
              <w:t>χ² = 86,190</w:t>
            </w:r>
          </w:p>
        </w:tc>
        <w:tc>
          <w:tcPr>
            <w:tcW w:type="dxa" w:w="1077"/>
          </w:tcPr>
          <w:p>
            <w:pPr>
              <w:spacing w:after="20" w:before="20" w:line="240" w:lineRule="auto"/>
              <w:jc w:val="left"/>
            </w:pPr>
            <w:r/>
            <w:r>
              <w:rPr>
                <w:rFonts w:ascii="Arial" w:hAnsi="Arial"/>
                <w:sz w:val="15"/>
              </w:rPr>
              <w:t>&lt; 0,001</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0,242 (pequeno)</w:t>
            </w:r>
          </w:p>
        </w:tc>
      </w:tr>
      <w:tr>
        <w:trPr>
          <w:cantSplit/>
        </w:trPr>
        <w:tc>
          <w:tcPr>
            <w:tcW w:type="dxa" w:w="1077"/>
          </w:tcPr>
          <w:p>
            <w:pPr>
              <w:spacing w:after="20" w:before="20" w:line="240" w:lineRule="auto"/>
              <w:jc w:val="left"/>
            </w:pPr>
            <w:r/>
            <w:r>
              <w:rPr>
                <w:rFonts w:ascii="Arial" w:hAnsi="Arial"/>
                <w:sz w:val="15"/>
              </w:rPr>
              <w:t>Q2</w:t>
            </w:r>
          </w:p>
        </w:tc>
        <w:tc>
          <w:tcPr>
            <w:tcW w:type="dxa" w:w="1417"/>
          </w:tcPr>
          <w:p>
            <w:pPr>
              <w:spacing w:after="20" w:before="20" w:line="240" w:lineRule="auto"/>
              <w:jc w:val="left"/>
            </w:pPr>
            <w:r/>
            <w:r>
              <w:rPr>
                <w:rFonts w:ascii="Arial" w:hAnsi="Arial"/>
                <w:sz w:val="15"/>
              </w:rPr>
              <w:t>t de Welch</w:t>
            </w:r>
          </w:p>
        </w:tc>
        <w:tc>
          <w:tcPr>
            <w:tcW w:type="dxa" w:w="1984"/>
          </w:tcPr>
          <w:p>
            <w:pPr>
              <w:spacing w:after="20" w:before="20" w:line="240" w:lineRule="auto"/>
              <w:jc w:val="left"/>
            </w:pPr>
            <w:r/>
            <w:r>
              <w:rPr>
                <w:rFonts w:ascii="Arial" w:hAnsi="Arial"/>
                <w:sz w:val="15"/>
              </w:rPr>
              <w:t>Renda mensal (Saiu × Ficou)</w:t>
            </w:r>
          </w:p>
        </w:tc>
        <w:tc>
          <w:tcPr>
            <w:tcW w:type="dxa" w:w="1134"/>
          </w:tcPr>
          <w:p>
            <w:pPr>
              <w:spacing w:after="20" w:before="20" w:line="240" w:lineRule="auto"/>
              <w:jc w:val="left"/>
            </w:pPr>
            <w:r/>
            <w:r>
              <w:rPr>
                <w:rFonts w:ascii="Arial" w:hAnsi="Arial"/>
                <w:sz w:val="15"/>
              </w:rPr>
              <w:t>t = -7,483</w:t>
            </w:r>
          </w:p>
        </w:tc>
        <w:tc>
          <w:tcPr>
            <w:tcW w:type="dxa" w:w="1077"/>
          </w:tcPr>
          <w:p>
            <w:pPr>
              <w:spacing w:after="20" w:before="20" w:line="240" w:lineRule="auto"/>
              <w:jc w:val="left"/>
            </w:pPr>
            <w:r/>
            <w:r>
              <w:rPr>
                <w:rFonts w:ascii="Arial" w:hAnsi="Arial"/>
                <w:sz w:val="15"/>
              </w:rPr>
              <w:t>&lt; 0,001</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d de Cohen = -0,440 (pequeno)</w:t>
            </w:r>
          </w:p>
        </w:tc>
      </w:tr>
      <w:tr>
        <w:trPr>
          <w:cantSplit/>
        </w:trPr>
        <w:tc>
          <w:tcPr>
            <w:tcW w:type="dxa" w:w="1077"/>
          </w:tcPr>
          <w:p>
            <w:pPr>
              <w:spacing w:after="20" w:before="20" w:line="240" w:lineRule="auto"/>
              <w:jc w:val="left"/>
            </w:pPr>
            <w:r/>
            <w:r>
              <w:rPr>
                <w:rFonts w:ascii="Arial" w:hAnsi="Arial"/>
                <w:sz w:val="15"/>
              </w:rPr>
              <w:t>Q2 (robustez)</w:t>
            </w:r>
          </w:p>
        </w:tc>
        <w:tc>
          <w:tcPr>
            <w:tcW w:type="dxa" w:w="1417"/>
          </w:tcPr>
          <w:p>
            <w:pPr>
              <w:spacing w:after="20" w:before="20" w:line="240" w:lineRule="auto"/>
              <w:jc w:val="left"/>
            </w:pPr>
            <w:r/>
            <w:r>
              <w:rPr>
                <w:rFonts w:ascii="Arial" w:hAnsi="Arial"/>
                <w:sz w:val="15"/>
              </w:rPr>
              <w:t>t de Student</w:t>
            </w:r>
          </w:p>
        </w:tc>
        <w:tc>
          <w:tcPr>
            <w:tcW w:type="dxa" w:w="1984"/>
          </w:tcPr>
          <w:p>
            <w:pPr>
              <w:spacing w:after="20" w:before="20" w:line="240" w:lineRule="auto"/>
              <w:jc w:val="left"/>
            </w:pPr>
            <w:r/>
            <w:r>
              <w:rPr>
                <w:rFonts w:ascii="Arial" w:hAnsi="Arial"/>
                <w:sz w:val="15"/>
              </w:rPr>
              <w:t>log(Renda mensal) (Saiu × Ficou)</w:t>
            </w:r>
          </w:p>
        </w:tc>
        <w:tc>
          <w:tcPr>
            <w:tcW w:type="dxa" w:w="1134"/>
          </w:tcPr>
          <w:p>
            <w:pPr>
              <w:spacing w:after="20" w:before="20" w:line="240" w:lineRule="auto"/>
              <w:jc w:val="left"/>
            </w:pPr>
            <w:r/>
            <w:r>
              <w:rPr>
                <w:rFonts w:ascii="Arial" w:hAnsi="Arial"/>
                <w:sz w:val="15"/>
              </w:rPr>
              <w:t>t = -7,748</w:t>
            </w:r>
          </w:p>
        </w:tc>
        <w:tc>
          <w:tcPr>
            <w:tcW w:type="dxa" w:w="1077"/>
          </w:tcPr>
          <w:p>
            <w:pPr>
              <w:spacing w:after="20" w:before="20" w:line="240" w:lineRule="auto"/>
              <w:jc w:val="left"/>
            </w:pPr>
            <w:r/>
            <w:r>
              <w:rPr>
                <w:rFonts w:ascii="Arial" w:hAnsi="Arial"/>
                <w:sz w:val="15"/>
              </w:rPr>
              <w:t>&lt; 0,001</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d de Cohen = -0,550 (médio)</w:t>
            </w:r>
          </w:p>
        </w:tc>
      </w:tr>
      <w:tr>
        <w:trPr>
          <w:cantSplit/>
        </w:trPr>
        <w:tc>
          <w:tcPr>
            <w:tcW w:type="dxa" w:w="1077"/>
          </w:tcPr>
          <w:p>
            <w:pPr>
              <w:spacing w:after="20" w:before="20" w:line="240" w:lineRule="auto"/>
              <w:jc w:val="left"/>
            </w:pPr>
            <w:r/>
            <w:r>
              <w:rPr>
                <w:rFonts w:ascii="Arial" w:hAnsi="Arial"/>
                <w:sz w:val="15"/>
              </w:rPr>
              <w:t>Q3</w:t>
            </w:r>
          </w:p>
        </w:tc>
        <w:tc>
          <w:tcPr>
            <w:tcW w:type="dxa" w:w="1417"/>
          </w:tcPr>
          <w:p>
            <w:pPr>
              <w:spacing w:after="20" w:before="20" w:line="240" w:lineRule="auto"/>
              <w:jc w:val="left"/>
            </w:pPr>
            <w:r/>
            <w:r>
              <w:rPr>
                <w:rFonts w:ascii="Arial" w:hAnsi="Arial"/>
                <w:sz w:val="15"/>
              </w:rPr>
              <w:t>Qui-Quadrado</w:t>
            </w:r>
          </w:p>
        </w:tc>
        <w:tc>
          <w:tcPr>
            <w:tcW w:type="dxa" w:w="1984"/>
          </w:tcPr>
          <w:p>
            <w:pPr>
              <w:spacing w:after="20" w:before="20" w:line="240" w:lineRule="auto"/>
              <w:jc w:val="left"/>
            </w:pPr>
            <w:r/>
            <w:r>
              <w:rPr>
                <w:rFonts w:ascii="Arial" w:hAnsi="Arial"/>
                <w:sz w:val="15"/>
              </w:rPr>
              <w:t>Envolvimento com o trabalho × Saída</w:t>
            </w:r>
          </w:p>
        </w:tc>
        <w:tc>
          <w:tcPr>
            <w:tcW w:type="dxa" w:w="1134"/>
          </w:tcPr>
          <w:p>
            <w:pPr>
              <w:spacing w:after="20" w:before="20" w:line="240" w:lineRule="auto"/>
              <w:jc w:val="left"/>
            </w:pPr>
            <w:r/>
            <w:r>
              <w:rPr>
                <w:rFonts w:ascii="Arial" w:hAnsi="Arial"/>
                <w:sz w:val="15"/>
              </w:rPr>
              <w:t>χ² = 28,492</w:t>
            </w:r>
          </w:p>
        </w:tc>
        <w:tc>
          <w:tcPr>
            <w:tcW w:type="dxa" w:w="1077"/>
          </w:tcPr>
          <w:p>
            <w:pPr>
              <w:spacing w:after="20" w:before="20" w:line="240" w:lineRule="auto"/>
              <w:jc w:val="left"/>
            </w:pPr>
            <w:r/>
            <w:r>
              <w:rPr>
                <w:rFonts w:ascii="Arial" w:hAnsi="Arial"/>
                <w:sz w:val="15"/>
              </w:rPr>
              <w:t>&lt; 0,001 (Holm)</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0,139 (pequeno)</w:t>
            </w:r>
          </w:p>
        </w:tc>
      </w:tr>
      <w:tr>
        <w:trPr>
          <w:cantSplit/>
        </w:trPr>
        <w:tc>
          <w:tcPr>
            <w:tcW w:type="dxa" w:w="1077"/>
          </w:tcPr>
          <w:p>
            <w:pPr>
              <w:spacing w:after="20" w:before="20" w:line="240" w:lineRule="auto"/>
              <w:jc w:val="left"/>
            </w:pPr>
            <w:r/>
            <w:r>
              <w:rPr>
                <w:rFonts w:ascii="Arial" w:hAnsi="Arial"/>
                <w:sz w:val="15"/>
              </w:rPr>
              <w:t>Q3</w:t>
            </w:r>
          </w:p>
        </w:tc>
        <w:tc>
          <w:tcPr>
            <w:tcW w:type="dxa" w:w="1417"/>
          </w:tcPr>
          <w:p>
            <w:pPr>
              <w:spacing w:after="20" w:before="20" w:line="240" w:lineRule="auto"/>
              <w:jc w:val="left"/>
            </w:pPr>
            <w:r/>
            <w:r>
              <w:rPr>
                <w:rFonts w:ascii="Arial" w:hAnsi="Arial"/>
                <w:sz w:val="15"/>
              </w:rPr>
              <w:t>Qui-Quadrado</w:t>
            </w:r>
          </w:p>
        </w:tc>
        <w:tc>
          <w:tcPr>
            <w:tcW w:type="dxa" w:w="1984"/>
          </w:tcPr>
          <w:p>
            <w:pPr>
              <w:spacing w:after="20" w:before="20" w:line="240" w:lineRule="auto"/>
              <w:jc w:val="left"/>
            </w:pPr>
            <w:r/>
            <w:r>
              <w:rPr>
                <w:rFonts w:ascii="Arial" w:hAnsi="Arial"/>
                <w:sz w:val="15"/>
              </w:rPr>
              <w:t>Satisfação com o ambiente × Saída</w:t>
            </w:r>
          </w:p>
        </w:tc>
        <w:tc>
          <w:tcPr>
            <w:tcW w:type="dxa" w:w="1134"/>
          </w:tcPr>
          <w:p>
            <w:pPr>
              <w:spacing w:after="20" w:before="20" w:line="240" w:lineRule="auto"/>
              <w:jc w:val="left"/>
            </w:pPr>
            <w:r/>
            <w:r>
              <w:rPr>
                <w:rFonts w:ascii="Arial" w:hAnsi="Arial"/>
                <w:sz w:val="15"/>
              </w:rPr>
              <w:t>χ² = 22,504</w:t>
            </w:r>
          </w:p>
        </w:tc>
        <w:tc>
          <w:tcPr>
            <w:tcW w:type="dxa" w:w="1077"/>
          </w:tcPr>
          <w:p>
            <w:pPr>
              <w:spacing w:after="20" w:before="20" w:line="240" w:lineRule="auto"/>
              <w:jc w:val="left"/>
            </w:pPr>
            <w:r/>
            <w:r>
              <w:rPr>
                <w:rFonts w:ascii="Arial" w:hAnsi="Arial"/>
                <w:sz w:val="15"/>
              </w:rPr>
              <w:t>&lt; 0,001 (Holm)</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0,124 (pequeno)</w:t>
            </w:r>
          </w:p>
        </w:tc>
      </w:tr>
      <w:tr>
        <w:trPr>
          <w:cantSplit/>
        </w:trPr>
        <w:tc>
          <w:tcPr>
            <w:tcW w:type="dxa" w:w="1077"/>
          </w:tcPr>
          <w:p>
            <w:pPr>
              <w:spacing w:after="20" w:before="20" w:line="240" w:lineRule="auto"/>
              <w:jc w:val="left"/>
            </w:pPr>
            <w:r/>
            <w:r>
              <w:rPr>
                <w:rFonts w:ascii="Arial" w:hAnsi="Arial"/>
                <w:sz w:val="15"/>
              </w:rPr>
              <w:t>Q3</w:t>
            </w:r>
          </w:p>
        </w:tc>
        <w:tc>
          <w:tcPr>
            <w:tcW w:type="dxa" w:w="1417"/>
          </w:tcPr>
          <w:p>
            <w:pPr>
              <w:spacing w:after="20" w:before="20" w:line="240" w:lineRule="auto"/>
              <w:jc w:val="left"/>
            </w:pPr>
            <w:r/>
            <w:r>
              <w:rPr>
                <w:rFonts w:ascii="Arial" w:hAnsi="Arial"/>
                <w:sz w:val="15"/>
              </w:rPr>
              <w:t>Qui-Quadrado</w:t>
            </w:r>
          </w:p>
        </w:tc>
        <w:tc>
          <w:tcPr>
            <w:tcW w:type="dxa" w:w="1984"/>
          </w:tcPr>
          <w:p>
            <w:pPr>
              <w:spacing w:after="20" w:before="20" w:line="240" w:lineRule="auto"/>
              <w:jc w:val="left"/>
            </w:pPr>
            <w:r/>
            <w:r>
              <w:rPr>
                <w:rFonts w:ascii="Arial" w:hAnsi="Arial"/>
                <w:sz w:val="15"/>
              </w:rPr>
              <w:t>Satisfação com o trabalho × Saída</w:t>
            </w:r>
          </w:p>
        </w:tc>
        <w:tc>
          <w:tcPr>
            <w:tcW w:type="dxa" w:w="1134"/>
          </w:tcPr>
          <w:p>
            <w:pPr>
              <w:spacing w:after="20" w:before="20" w:line="240" w:lineRule="auto"/>
              <w:jc w:val="left"/>
            </w:pPr>
            <w:r/>
            <w:r>
              <w:rPr>
                <w:rFonts w:ascii="Arial" w:hAnsi="Arial"/>
                <w:sz w:val="15"/>
              </w:rPr>
              <w:t>χ² = 17,505</w:t>
            </w:r>
          </w:p>
        </w:tc>
        <w:tc>
          <w:tcPr>
            <w:tcW w:type="dxa" w:w="1077"/>
          </w:tcPr>
          <w:p>
            <w:pPr>
              <w:spacing w:after="20" w:before="20" w:line="240" w:lineRule="auto"/>
              <w:jc w:val="left"/>
            </w:pPr>
            <w:r/>
            <w:r>
              <w:rPr>
                <w:rFonts w:ascii="Arial" w:hAnsi="Arial"/>
                <w:sz w:val="15"/>
              </w:rPr>
              <w:t>0,0011 (Holm)</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0,109 (pequeno)</w:t>
            </w:r>
          </w:p>
        </w:tc>
      </w:tr>
      <w:tr>
        <w:trPr>
          <w:cantSplit/>
        </w:trPr>
        <w:tc>
          <w:tcPr>
            <w:tcW w:type="dxa" w:w="1077"/>
          </w:tcPr>
          <w:p>
            <w:pPr>
              <w:spacing w:after="20" w:before="20" w:line="240" w:lineRule="auto"/>
              <w:jc w:val="left"/>
            </w:pPr>
            <w:r/>
            <w:r>
              <w:rPr>
                <w:rFonts w:ascii="Arial" w:hAnsi="Arial"/>
                <w:sz w:val="15"/>
              </w:rPr>
              <w:t>Q3</w:t>
            </w:r>
          </w:p>
        </w:tc>
        <w:tc>
          <w:tcPr>
            <w:tcW w:type="dxa" w:w="1417"/>
          </w:tcPr>
          <w:p>
            <w:pPr>
              <w:spacing w:after="20" w:before="20" w:line="240" w:lineRule="auto"/>
              <w:jc w:val="left"/>
            </w:pPr>
            <w:r/>
            <w:r>
              <w:rPr>
                <w:rFonts w:ascii="Arial" w:hAnsi="Arial"/>
                <w:sz w:val="15"/>
              </w:rPr>
              <w:t>Qui-Quadrado</w:t>
            </w:r>
          </w:p>
        </w:tc>
        <w:tc>
          <w:tcPr>
            <w:tcW w:type="dxa" w:w="1984"/>
          </w:tcPr>
          <w:p>
            <w:pPr>
              <w:spacing w:after="20" w:before="20" w:line="240" w:lineRule="auto"/>
              <w:jc w:val="left"/>
            </w:pPr>
            <w:r/>
            <w:r>
              <w:rPr>
                <w:rFonts w:ascii="Arial" w:hAnsi="Arial"/>
                <w:sz w:val="15"/>
              </w:rPr>
              <w:t>Equilíbrio vida-trabalho × Saída</w:t>
            </w:r>
          </w:p>
        </w:tc>
        <w:tc>
          <w:tcPr>
            <w:tcW w:type="dxa" w:w="1134"/>
          </w:tcPr>
          <w:p>
            <w:pPr>
              <w:spacing w:after="20" w:before="20" w:line="240" w:lineRule="auto"/>
              <w:jc w:val="left"/>
            </w:pPr>
            <w:r/>
            <w:r>
              <w:rPr>
                <w:rFonts w:ascii="Arial" w:hAnsi="Arial"/>
                <w:sz w:val="15"/>
              </w:rPr>
              <w:t>χ² = 16,325</w:t>
            </w:r>
          </w:p>
        </w:tc>
        <w:tc>
          <w:tcPr>
            <w:tcW w:type="dxa" w:w="1077"/>
          </w:tcPr>
          <w:p>
            <w:pPr>
              <w:spacing w:after="20" w:before="20" w:line="240" w:lineRule="auto"/>
              <w:jc w:val="left"/>
            </w:pPr>
            <w:r/>
            <w:r>
              <w:rPr>
                <w:rFonts w:ascii="Arial" w:hAnsi="Arial"/>
                <w:sz w:val="15"/>
              </w:rPr>
              <w:t>0,0011 (Holm)</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0,105 (pequeno)</w:t>
            </w:r>
          </w:p>
        </w:tc>
      </w:tr>
      <w:tr>
        <w:trPr>
          <w:cantSplit/>
        </w:trPr>
        <w:tc>
          <w:tcPr>
            <w:tcW w:type="dxa" w:w="1077"/>
          </w:tcPr>
          <w:p>
            <w:pPr>
              <w:spacing w:after="20" w:before="20" w:line="240" w:lineRule="auto"/>
              <w:jc w:val="left"/>
            </w:pPr>
            <w:r/>
            <w:r>
              <w:rPr>
                <w:rFonts w:ascii="Arial" w:hAnsi="Arial"/>
                <w:sz w:val="15"/>
              </w:rPr>
              <w:t>Q4</w:t>
            </w:r>
          </w:p>
        </w:tc>
        <w:tc>
          <w:tcPr>
            <w:tcW w:type="dxa" w:w="1417"/>
          </w:tcPr>
          <w:p>
            <w:pPr>
              <w:spacing w:after="20" w:before="20" w:line="240" w:lineRule="auto"/>
              <w:jc w:val="left"/>
            </w:pPr>
            <w:r/>
            <w:r>
              <w:rPr>
                <w:rFonts w:ascii="Arial" w:hAnsi="Arial"/>
                <w:sz w:val="15"/>
              </w:rPr>
              <w:t>Qui-Quadrado (Yates)</w:t>
            </w:r>
          </w:p>
        </w:tc>
        <w:tc>
          <w:tcPr>
            <w:tcW w:type="dxa" w:w="1984"/>
          </w:tcPr>
          <w:p>
            <w:pPr>
              <w:spacing w:after="20" w:before="20" w:line="240" w:lineRule="auto"/>
              <w:jc w:val="left"/>
            </w:pPr>
            <w:r/>
            <w:r>
              <w:rPr>
                <w:rFonts w:ascii="Arial" w:hAnsi="Arial"/>
                <w:sz w:val="15"/>
              </w:rPr>
              <w:t>Hora extra × Saída</w:t>
            </w:r>
          </w:p>
        </w:tc>
        <w:tc>
          <w:tcPr>
            <w:tcW w:type="dxa" w:w="1134"/>
          </w:tcPr>
          <w:p>
            <w:pPr>
              <w:spacing w:after="20" w:before="20" w:line="240" w:lineRule="auto"/>
              <w:jc w:val="left"/>
            </w:pPr>
            <w:r/>
            <w:r>
              <w:rPr>
                <w:rFonts w:ascii="Arial" w:hAnsi="Arial"/>
                <w:sz w:val="15"/>
              </w:rPr>
              <w:t>χ² = 87,564</w:t>
            </w:r>
          </w:p>
        </w:tc>
        <w:tc>
          <w:tcPr>
            <w:tcW w:type="dxa" w:w="1077"/>
          </w:tcPr>
          <w:p>
            <w:pPr>
              <w:spacing w:after="20" w:before="20" w:line="240" w:lineRule="auto"/>
              <w:jc w:val="left"/>
            </w:pPr>
            <w:r/>
            <w:r>
              <w:rPr>
                <w:rFonts w:ascii="Arial" w:hAnsi="Arial"/>
                <w:sz w:val="15"/>
              </w:rPr>
              <w:t>&lt; 0,001</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V de Cramér = 0,244 (pequeno)</w:t>
            </w:r>
          </w:p>
        </w:tc>
      </w:tr>
      <w:tr>
        <w:trPr>
          <w:cantSplit/>
        </w:trPr>
        <w:tc>
          <w:tcPr>
            <w:tcW w:type="dxa" w:w="1077"/>
          </w:tcPr>
          <w:p>
            <w:pPr>
              <w:spacing w:after="20" w:before="20" w:line="240" w:lineRule="auto"/>
              <w:jc w:val="left"/>
            </w:pPr>
            <w:r/>
            <w:r>
              <w:rPr>
                <w:rFonts w:ascii="Arial" w:hAnsi="Arial"/>
                <w:sz w:val="15"/>
              </w:rPr>
              <w:t>Q5</w:t>
            </w:r>
          </w:p>
        </w:tc>
        <w:tc>
          <w:tcPr>
            <w:tcW w:type="dxa" w:w="1417"/>
          </w:tcPr>
          <w:p>
            <w:pPr>
              <w:spacing w:after="20" w:before="20" w:line="240" w:lineRule="auto"/>
              <w:jc w:val="left"/>
            </w:pPr>
            <w:r/>
            <w:r>
              <w:rPr>
                <w:rFonts w:ascii="Arial" w:hAnsi="Arial"/>
                <w:sz w:val="15"/>
              </w:rPr>
              <w:t>t de Welch</w:t>
            </w:r>
          </w:p>
        </w:tc>
        <w:tc>
          <w:tcPr>
            <w:tcW w:type="dxa" w:w="1984"/>
          </w:tcPr>
          <w:p>
            <w:pPr>
              <w:spacing w:after="20" w:before="20" w:line="240" w:lineRule="auto"/>
              <w:jc w:val="left"/>
            </w:pPr>
            <w:r/>
            <w:r>
              <w:rPr>
                <w:rFonts w:ascii="Arial" w:hAnsi="Arial"/>
                <w:sz w:val="15"/>
              </w:rPr>
              <w:t>Reajuste salarial (Nota 4 × Nota 3)</w:t>
            </w:r>
          </w:p>
        </w:tc>
        <w:tc>
          <w:tcPr>
            <w:tcW w:type="dxa" w:w="1134"/>
          </w:tcPr>
          <w:p>
            <w:pPr>
              <w:spacing w:after="20" w:before="20" w:line="240" w:lineRule="auto"/>
              <w:jc w:val="left"/>
            </w:pPr>
            <w:r/>
            <w:r>
              <w:rPr>
                <w:rFonts w:ascii="Arial" w:hAnsi="Arial"/>
                <w:sz w:val="15"/>
              </w:rPr>
              <w:t>t = 63,389</w:t>
            </w:r>
          </w:p>
        </w:tc>
        <w:tc>
          <w:tcPr>
            <w:tcW w:type="dxa" w:w="1077"/>
          </w:tcPr>
          <w:p>
            <w:pPr>
              <w:spacing w:after="20" w:before="20" w:line="240" w:lineRule="auto"/>
              <w:jc w:val="left"/>
            </w:pPr>
            <w:r/>
            <w:r>
              <w:rPr>
                <w:rFonts w:ascii="Arial" w:hAnsi="Arial"/>
                <w:sz w:val="15"/>
              </w:rPr>
              <w:t>&lt; 0,001</w:t>
            </w:r>
          </w:p>
        </w:tc>
        <w:tc>
          <w:tcPr>
            <w:tcW w:type="dxa" w:w="1020"/>
          </w:tcPr>
          <w:p>
            <w:pPr>
              <w:spacing w:after="20" w:before="20" w:line="240" w:lineRule="auto"/>
              <w:jc w:val="left"/>
            </w:pPr>
            <w:r/>
            <w:r>
              <w:rPr>
                <w:rFonts w:ascii="Arial" w:hAnsi="Arial"/>
                <w:sz w:val="15"/>
              </w:rPr>
              <w:t>Rejeita H₀</w:t>
            </w:r>
          </w:p>
        </w:tc>
        <w:tc>
          <w:tcPr>
            <w:tcW w:type="dxa" w:w="1474"/>
          </w:tcPr>
          <w:p>
            <w:pPr>
              <w:spacing w:after="20" w:before="20" w:line="240" w:lineRule="auto"/>
              <w:jc w:val="left"/>
            </w:pPr>
            <w:r/>
            <w:r>
              <w:rPr>
                <w:rFonts w:ascii="Arial" w:hAnsi="Arial"/>
                <w:sz w:val="15"/>
              </w:rPr>
              <w:t>d de Cohen = 3,382 (grande)</w:t>
            </w:r>
          </w:p>
        </w:tc>
      </w:tr>
      <w:tr>
        <w:trPr>
          <w:cantSplit/>
        </w:trPr>
        <w:tc>
          <w:tcPr>
            <w:tcW w:type="dxa" w:w="1077"/>
          </w:tcPr>
          <w:p>
            <w:pPr>
              <w:spacing w:after="20" w:before="20" w:line="240" w:lineRule="auto"/>
              <w:jc w:val="left"/>
            </w:pPr>
            <w:r/>
            <w:r>
              <w:rPr>
                <w:rFonts w:ascii="Arial" w:hAnsi="Arial"/>
                <w:sz w:val="15"/>
              </w:rPr>
              <w:t>Q5</w:t>
            </w:r>
          </w:p>
        </w:tc>
        <w:tc>
          <w:tcPr>
            <w:tcW w:type="dxa" w:w="1417"/>
          </w:tcPr>
          <w:p>
            <w:pPr>
              <w:spacing w:after="20" w:before="20" w:line="240" w:lineRule="auto"/>
              <w:jc w:val="left"/>
            </w:pPr>
            <w:r/>
            <w:r>
              <w:rPr>
                <w:rFonts w:ascii="Arial" w:hAnsi="Arial"/>
                <w:sz w:val="15"/>
              </w:rPr>
              <w:t>ANOVA (F de Fisher)</w:t>
            </w:r>
          </w:p>
        </w:tc>
        <w:tc>
          <w:tcPr>
            <w:tcW w:type="dxa" w:w="1984"/>
          </w:tcPr>
          <w:p>
            <w:pPr>
              <w:spacing w:after="20" w:before="20" w:line="240" w:lineRule="auto"/>
              <w:jc w:val="left"/>
            </w:pPr>
            <w:r/>
            <w:r>
              <w:rPr>
                <w:rFonts w:ascii="Arial" w:hAnsi="Arial"/>
                <w:sz w:val="15"/>
              </w:rPr>
              <w:t>Reajuste salarial por Envolvimento com o trabalho (4 grupos)</w:t>
            </w:r>
          </w:p>
        </w:tc>
        <w:tc>
          <w:tcPr>
            <w:tcW w:type="dxa" w:w="1134"/>
          </w:tcPr>
          <w:p>
            <w:pPr>
              <w:spacing w:after="20" w:before="20" w:line="240" w:lineRule="auto"/>
              <w:jc w:val="left"/>
            </w:pPr>
            <w:r/>
            <w:r>
              <w:rPr>
                <w:rFonts w:ascii="Arial" w:hAnsi="Arial"/>
                <w:sz w:val="15"/>
              </w:rPr>
              <w:t>F = 1,077</w:t>
            </w:r>
          </w:p>
        </w:tc>
        <w:tc>
          <w:tcPr>
            <w:tcW w:type="dxa" w:w="1077"/>
          </w:tcPr>
          <w:p>
            <w:pPr>
              <w:spacing w:after="20" w:before="20" w:line="240" w:lineRule="auto"/>
              <w:jc w:val="left"/>
            </w:pPr>
            <w:r/>
            <w:r>
              <w:rPr>
                <w:rFonts w:ascii="Arial" w:hAnsi="Arial"/>
                <w:sz w:val="15"/>
              </w:rPr>
              <w:t>0,3579</w:t>
            </w:r>
          </w:p>
        </w:tc>
        <w:tc>
          <w:tcPr>
            <w:tcW w:type="dxa" w:w="1020"/>
          </w:tcPr>
          <w:p>
            <w:pPr>
              <w:spacing w:after="20" w:before="20" w:line="240" w:lineRule="auto"/>
              <w:jc w:val="left"/>
            </w:pPr>
            <w:r/>
            <w:r>
              <w:rPr>
                <w:rFonts w:ascii="Arial" w:hAnsi="Arial"/>
                <w:sz w:val="15"/>
              </w:rPr>
              <w:t>Não rejeita H₀</w:t>
            </w:r>
          </w:p>
        </w:tc>
        <w:tc>
          <w:tcPr>
            <w:tcW w:type="dxa" w:w="1474"/>
          </w:tcPr>
          <w:p>
            <w:pPr>
              <w:spacing w:after="20" w:before="20" w:line="240" w:lineRule="auto"/>
              <w:jc w:val="left"/>
            </w:pPr>
            <w:r/>
            <w:r>
              <w:rPr>
                <w:rFonts w:ascii="Arial" w:hAnsi="Arial"/>
                <w:sz w:val="15"/>
              </w:rPr>
              <w:t>η² = 0,002 (desprezível)</w:t>
            </w:r>
          </w:p>
        </w:tc>
      </w:tr>
      <w:tr>
        <w:trPr>
          <w:cantSplit/>
        </w:trPr>
        <w:tc>
          <w:tcPr>
            <w:tcW w:type="dxa" w:w="1077"/>
          </w:tcPr>
          <w:p>
            <w:pPr>
              <w:spacing w:after="20" w:before="20" w:line="240" w:lineRule="auto"/>
              <w:jc w:val="left"/>
            </w:pPr>
            <w:r/>
            <w:r>
              <w:rPr>
                <w:rFonts w:ascii="Arial" w:hAnsi="Arial"/>
                <w:sz w:val="15"/>
              </w:rPr>
              <w:t>Q5</w:t>
            </w:r>
          </w:p>
        </w:tc>
        <w:tc>
          <w:tcPr>
            <w:tcW w:type="dxa" w:w="1417"/>
          </w:tcPr>
          <w:p>
            <w:pPr>
              <w:spacing w:after="20" w:before="20" w:line="240" w:lineRule="auto"/>
              <w:jc w:val="left"/>
            </w:pPr>
            <w:r/>
            <w:r>
              <w:rPr>
                <w:rFonts w:ascii="Arial" w:hAnsi="Arial"/>
                <w:sz w:val="15"/>
              </w:rPr>
              <w:t>Correlação de Spearman</w:t>
            </w:r>
          </w:p>
        </w:tc>
        <w:tc>
          <w:tcPr>
            <w:tcW w:type="dxa" w:w="1984"/>
          </w:tcPr>
          <w:p>
            <w:pPr>
              <w:spacing w:after="20" w:before="20" w:line="240" w:lineRule="auto"/>
              <w:jc w:val="left"/>
            </w:pPr>
            <w:r/>
            <w:r>
              <w:rPr>
                <w:rFonts w:ascii="Arial" w:hAnsi="Arial"/>
                <w:sz w:val="15"/>
              </w:rPr>
              <w:t>Renda mensal × Reajuste salarial</w:t>
            </w:r>
          </w:p>
        </w:tc>
        <w:tc>
          <w:tcPr>
            <w:tcW w:type="dxa" w:w="1134"/>
          </w:tcPr>
          <w:p>
            <w:pPr>
              <w:spacing w:after="20" w:before="20" w:line="240" w:lineRule="auto"/>
              <w:jc w:val="left"/>
            </w:pPr>
            <w:r/>
            <w:r>
              <w:rPr>
                <w:rFonts w:ascii="Arial" w:hAnsi="Arial"/>
                <w:sz w:val="15"/>
              </w:rPr>
              <w:t>ρ = -0,034</w:t>
            </w:r>
          </w:p>
        </w:tc>
        <w:tc>
          <w:tcPr>
            <w:tcW w:type="dxa" w:w="1077"/>
          </w:tcPr>
          <w:p>
            <w:pPr>
              <w:spacing w:after="20" w:before="20" w:line="240" w:lineRule="auto"/>
              <w:jc w:val="left"/>
            </w:pPr>
            <w:r/>
            <w:r>
              <w:rPr>
                <w:rFonts w:ascii="Arial" w:hAnsi="Arial"/>
                <w:sz w:val="15"/>
              </w:rPr>
              <w:t>0,1957</w:t>
            </w:r>
          </w:p>
        </w:tc>
        <w:tc>
          <w:tcPr>
            <w:tcW w:type="dxa" w:w="1020"/>
          </w:tcPr>
          <w:p>
            <w:pPr>
              <w:spacing w:after="20" w:before="20" w:line="240" w:lineRule="auto"/>
              <w:jc w:val="left"/>
            </w:pPr>
            <w:r/>
            <w:r>
              <w:rPr>
                <w:rFonts w:ascii="Arial" w:hAnsi="Arial"/>
                <w:sz w:val="15"/>
              </w:rPr>
              <w:t>Não rejeita H₀</w:t>
            </w:r>
          </w:p>
        </w:tc>
        <w:tc>
          <w:tcPr>
            <w:tcW w:type="dxa" w:w="1474"/>
          </w:tcPr>
          <w:p>
            <w:pPr>
              <w:spacing w:after="20" w:before="20" w:line="240" w:lineRule="auto"/>
              <w:jc w:val="left"/>
            </w:pPr>
            <w:r/>
            <w:r>
              <w:rPr>
                <w:rFonts w:ascii="Arial" w:hAnsi="Arial"/>
                <w:sz w:val="15"/>
              </w:rPr>
              <w:t>r² = 0,001 (desprezível)</w:t>
            </w:r>
          </w:p>
        </w:tc>
      </w:tr>
    </w:tbl>
    <w:p>
      <w:pPr>
        <w:keepNext w:val="0"/>
        <w:spacing w:line="240" w:lineRule="auto" w:before="40" w:after="200"/>
        <w:jc w:val="left"/>
      </w:pPr>
      <w:r>
        <w:rPr>
          <w:rFonts w:ascii="Arial" w:hAnsi="Arial"/>
          <w:sz w:val="20"/>
        </w:rPr>
        <w:t>Fonte: elaboração própria a partir de IBM HR Analytics (Kaggle, 2017).</w:t>
      </w:r>
    </w:p>
    <w:p>
      <w:pPr>
        <w:keepNext/>
        <w:spacing w:line="240" w:lineRule="auto" w:before="120" w:after="40"/>
        <w:jc w:val="center"/>
      </w:pPr>
      <w:r>
        <w:rPr>
          <w:rFonts w:ascii="Arial" w:hAnsi="Arial"/>
          <w:b/>
          <w:sz w:val="20"/>
        </w:rPr>
        <w:t>Tabela 8</w:t>
      </w:r>
      <w:r>
        <w:rPr>
          <w:rFonts w:ascii="Arial" w:hAnsi="Arial"/>
          <w:sz w:val="20"/>
        </w:rPr>
        <w:t xml:space="preserve"> – Intervalos de confiança de 95%</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1134"/>
        <w:gridCol w:w="3855"/>
        <w:gridCol w:w="1361"/>
        <w:gridCol w:w="1587"/>
        <w:gridCol w:w="1134"/>
      </w:tblGrid>
      <w:tr>
        <w:trPr>
          <w:tblHeader w:val="true"/>
          <w:cantSplit/>
        </w:trPr>
        <w:tc>
          <w:tcPr>
            <w:tcW w:type="dxa" w:w="1134"/>
            <w:shd w:val="clear" w:color="auto" w:fill="E8EEF7"/>
          </w:tcPr>
          <w:p>
            <w:pPr>
              <w:spacing w:after="20" w:before="20" w:line="240" w:lineRule="auto"/>
              <w:jc w:val="left"/>
            </w:pPr>
            <w:r/>
            <w:r>
              <w:rPr>
                <w:rFonts w:ascii="Arial" w:hAnsi="Arial"/>
                <w:b/>
                <w:sz w:val="17"/>
              </w:rPr>
              <w:t>Pergunta</w:t>
            </w:r>
          </w:p>
        </w:tc>
        <w:tc>
          <w:tcPr>
            <w:tcW w:type="dxa" w:w="3855"/>
            <w:shd w:val="clear" w:color="auto" w:fill="E8EEF7"/>
          </w:tcPr>
          <w:p>
            <w:pPr>
              <w:spacing w:after="20" w:before="20" w:line="240" w:lineRule="auto"/>
              <w:jc w:val="left"/>
            </w:pPr>
            <w:r/>
            <w:r>
              <w:rPr>
                <w:rFonts w:ascii="Arial" w:hAnsi="Arial"/>
                <w:b/>
                <w:sz w:val="17"/>
              </w:rPr>
              <w:t>Parâmetro</w:t>
            </w:r>
          </w:p>
        </w:tc>
        <w:tc>
          <w:tcPr>
            <w:tcW w:type="dxa" w:w="1361"/>
            <w:shd w:val="clear" w:color="auto" w:fill="E8EEF7"/>
          </w:tcPr>
          <w:p>
            <w:pPr>
              <w:spacing w:after="20" w:before="20" w:line="240" w:lineRule="auto"/>
              <w:jc w:val="left"/>
            </w:pPr>
            <w:r/>
            <w:r>
              <w:rPr>
                <w:rFonts w:ascii="Arial" w:hAnsi="Arial"/>
                <w:b/>
                <w:sz w:val="17"/>
              </w:rPr>
              <w:t>Estimativa</w:t>
            </w:r>
          </w:p>
        </w:tc>
        <w:tc>
          <w:tcPr>
            <w:tcW w:type="dxa" w:w="1587"/>
            <w:shd w:val="clear" w:color="auto" w:fill="E8EEF7"/>
          </w:tcPr>
          <w:p>
            <w:pPr>
              <w:spacing w:after="20" w:before="20" w:line="240" w:lineRule="auto"/>
              <w:jc w:val="left"/>
            </w:pPr>
            <w:r/>
            <w:r>
              <w:rPr>
                <w:rFonts w:ascii="Arial" w:hAnsi="Arial"/>
                <w:b/>
                <w:sz w:val="17"/>
              </w:rPr>
              <w:t>IC 95%</w:t>
            </w:r>
          </w:p>
        </w:tc>
        <w:tc>
          <w:tcPr>
            <w:tcW w:type="dxa" w:w="1134"/>
            <w:shd w:val="clear" w:color="auto" w:fill="E8EEF7"/>
          </w:tcPr>
          <w:p>
            <w:pPr>
              <w:spacing w:after="20" w:before="20" w:line="240" w:lineRule="auto"/>
              <w:jc w:val="left"/>
            </w:pPr>
            <w:r/>
            <w:r>
              <w:rPr>
                <w:rFonts w:ascii="Arial" w:hAnsi="Arial"/>
                <w:b/>
                <w:sz w:val="17"/>
              </w:rPr>
              <w:t>Método</w:t>
            </w:r>
          </w:p>
        </w:tc>
      </w:tr>
      <w:tr>
        <w:trPr>
          <w:cantSplit/>
        </w:trPr>
        <w:tc>
          <w:tcPr>
            <w:tcW w:type="dxa" w:w="1134"/>
          </w:tcPr>
          <w:p>
            <w:pPr>
              <w:spacing w:after="20" w:before="20" w:line="240" w:lineRule="auto"/>
              <w:jc w:val="left"/>
            </w:pPr>
            <w:r/>
            <w:r>
              <w:rPr>
                <w:rFonts w:ascii="Arial" w:hAnsi="Arial"/>
                <w:sz w:val="17"/>
              </w:rPr>
              <w:t>Q1</w:t>
            </w:r>
          </w:p>
        </w:tc>
        <w:tc>
          <w:tcPr>
            <w:tcW w:type="dxa" w:w="3855"/>
          </w:tcPr>
          <w:p>
            <w:pPr>
              <w:spacing w:after="20" w:before="20" w:line="240" w:lineRule="auto"/>
              <w:jc w:val="left"/>
            </w:pPr>
            <w:r/>
            <w:r>
              <w:rPr>
                <w:rFonts w:ascii="Arial" w:hAnsi="Arial"/>
                <w:sz w:val="17"/>
              </w:rPr>
              <w:t>Taxa de rotatividade geral</w:t>
            </w:r>
          </w:p>
        </w:tc>
        <w:tc>
          <w:tcPr>
            <w:tcW w:type="dxa" w:w="1361"/>
          </w:tcPr>
          <w:p>
            <w:pPr>
              <w:spacing w:after="20" w:before="20" w:line="240" w:lineRule="auto"/>
              <w:jc w:val="left"/>
            </w:pPr>
            <w:r/>
            <w:r>
              <w:rPr>
                <w:rFonts w:ascii="Arial" w:hAnsi="Arial"/>
                <w:sz w:val="17"/>
              </w:rPr>
              <w:t>16,1 %</w:t>
            </w:r>
          </w:p>
        </w:tc>
        <w:tc>
          <w:tcPr>
            <w:tcW w:type="dxa" w:w="1587"/>
          </w:tcPr>
          <w:p>
            <w:pPr>
              <w:spacing w:after="20" w:before="20" w:line="240" w:lineRule="auto"/>
              <w:jc w:val="left"/>
            </w:pPr>
            <w:r/>
            <w:r>
              <w:rPr>
                <w:rFonts w:ascii="Arial" w:hAnsi="Arial"/>
                <w:sz w:val="17"/>
              </w:rPr>
              <w:t>[14,3; 18,1]</w:t>
            </w:r>
          </w:p>
        </w:tc>
        <w:tc>
          <w:tcPr>
            <w:tcW w:type="dxa" w:w="1134"/>
          </w:tcPr>
          <w:p>
            <w:pPr>
              <w:spacing w:after="20" w:before="20" w:line="240" w:lineRule="auto"/>
              <w:jc w:val="left"/>
            </w:pPr>
            <w:r/>
            <w:r>
              <w:rPr>
                <w:rFonts w:ascii="Arial" w:hAnsi="Arial"/>
                <w:sz w:val="17"/>
              </w:rPr>
              <w:t>Wilson</w:t>
            </w:r>
          </w:p>
        </w:tc>
      </w:tr>
      <w:tr>
        <w:trPr>
          <w:cantSplit/>
        </w:trPr>
        <w:tc>
          <w:tcPr>
            <w:tcW w:type="dxa" w:w="1134"/>
          </w:tcPr>
          <w:p>
            <w:pPr>
              <w:spacing w:after="20" w:before="20" w:line="240" w:lineRule="auto"/>
              <w:jc w:val="left"/>
            </w:pPr>
            <w:r/>
            <w:r>
              <w:rPr>
                <w:rFonts w:ascii="Arial" w:hAnsi="Arial"/>
                <w:sz w:val="17"/>
              </w:rPr>
              <w:t>Q1</w:t>
            </w:r>
          </w:p>
        </w:tc>
        <w:tc>
          <w:tcPr>
            <w:tcW w:type="dxa" w:w="3855"/>
          </w:tcPr>
          <w:p>
            <w:pPr>
              <w:spacing w:after="20" w:before="20" w:line="240" w:lineRule="auto"/>
              <w:jc w:val="left"/>
            </w:pPr>
            <w:r/>
            <w:r>
              <w:rPr>
                <w:rFonts w:ascii="Arial" w:hAnsi="Arial"/>
                <w:sz w:val="17"/>
              </w:rPr>
              <w:t>Taxa de rotatividade — P&amp;D</w:t>
            </w:r>
          </w:p>
        </w:tc>
        <w:tc>
          <w:tcPr>
            <w:tcW w:type="dxa" w:w="1361"/>
          </w:tcPr>
          <w:p>
            <w:pPr>
              <w:spacing w:after="20" w:before="20" w:line="240" w:lineRule="auto"/>
              <w:jc w:val="left"/>
            </w:pPr>
            <w:r/>
            <w:r>
              <w:rPr>
                <w:rFonts w:ascii="Arial" w:hAnsi="Arial"/>
                <w:sz w:val="17"/>
              </w:rPr>
              <w:t>13,8 %</w:t>
            </w:r>
          </w:p>
        </w:tc>
        <w:tc>
          <w:tcPr>
            <w:tcW w:type="dxa" w:w="1587"/>
          </w:tcPr>
          <w:p>
            <w:pPr>
              <w:spacing w:after="20" w:before="20" w:line="240" w:lineRule="auto"/>
              <w:jc w:val="left"/>
            </w:pPr>
            <w:r/>
            <w:r>
              <w:rPr>
                <w:rFonts w:ascii="Arial" w:hAnsi="Arial"/>
                <w:sz w:val="17"/>
              </w:rPr>
              <w:t>[11,8; 16,2]</w:t>
            </w:r>
          </w:p>
        </w:tc>
        <w:tc>
          <w:tcPr>
            <w:tcW w:type="dxa" w:w="1134"/>
          </w:tcPr>
          <w:p>
            <w:pPr>
              <w:spacing w:after="20" w:before="20" w:line="240" w:lineRule="auto"/>
              <w:jc w:val="left"/>
            </w:pPr>
            <w:r/>
            <w:r>
              <w:rPr>
                <w:rFonts w:ascii="Arial" w:hAnsi="Arial"/>
                <w:sz w:val="17"/>
              </w:rPr>
              <w:t>Wilson</w:t>
            </w:r>
          </w:p>
        </w:tc>
      </w:tr>
      <w:tr>
        <w:trPr>
          <w:cantSplit/>
        </w:trPr>
        <w:tc>
          <w:tcPr>
            <w:tcW w:type="dxa" w:w="1134"/>
          </w:tcPr>
          <w:p>
            <w:pPr>
              <w:spacing w:after="20" w:before="20" w:line="240" w:lineRule="auto"/>
              <w:jc w:val="left"/>
            </w:pPr>
            <w:r/>
            <w:r>
              <w:rPr>
                <w:rFonts w:ascii="Arial" w:hAnsi="Arial"/>
                <w:sz w:val="17"/>
              </w:rPr>
              <w:t>Q1</w:t>
            </w:r>
          </w:p>
        </w:tc>
        <w:tc>
          <w:tcPr>
            <w:tcW w:type="dxa" w:w="3855"/>
          </w:tcPr>
          <w:p>
            <w:pPr>
              <w:spacing w:after="20" w:before="20" w:line="240" w:lineRule="auto"/>
              <w:jc w:val="left"/>
            </w:pPr>
            <w:r/>
            <w:r>
              <w:rPr>
                <w:rFonts w:ascii="Arial" w:hAnsi="Arial"/>
                <w:sz w:val="17"/>
              </w:rPr>
              <w:t>Taxa de rotatividade — Vendas</w:t>
            </w:r>
          </w:p>
        </w:tc>
        <w:tc>
          <w:tcPr>
            <w:tcW w:type="dxa" w:w="1361"/>
          </w:tcPr>
          <w:p>
            <w:pPr>
              <w:spacing w:after="20" w:before="20" w:line="240" w:lineRule="auto"/>
              <w:jc w:val="left"/>
            </w:pPr>
            <w:r/>
            <w:r>
              <w:rPr>
                <w:rFonts w:ascii="Arial" w:hAnsi="Arial"/>
                <w:sz w:val="17"/>
              </w:rPr>
              <w:t>20,6 %</w:t>
            </w:r>
          </w:p>
        </w:tc>
        <w:tc>
          <w:tcPr>
            <w:tcW w:type="dxa" w:w="1587"/>
          </w:tcPr>
          <w:p>
            <w:pPr>
              <w:spacing w:after="20" w:before="20" w:line="240" w:lineRule="auto"/>
              <w:jc w:val="left"/>
            </w:pPr>
            <w:r/>
            <w:r>
              <w:rPr>
                <w:rFonts w:ascii="Arial" w:hAnsi="Arial"/>
                <w:sz w:val="17"/>
              </w:rPr>
              <w:t>[17,1; 24,6]</w:t>
            </w:r>
          </w:p>
        </w:tc>
        <w:tc>
          <w:tcPr>
            <w:tcW w:type="dxa" w:w="1134"/>
          </w:tcPr>
          <w:p>
            <w:pPr>
              <w:spacing w:after="20" w:before="20" w:line="240" w:lineRule="auto"/>
              <w:jc w:val="left"/>
            </w:pPr>
            <w:r/>
            <w:r>
              <w:rPr>
                <w:rFonts w:ascii="Arial" w:hAnsi="Arial"/>
                <w:sz w:val="17"/>
              </w:rPr>
              <w:t>Wilson</w:t>
            </w:r>
          </w:p>
        </w:tc>
      </w:tr>
      <w:tr>
        <w:trPr>
          <w:cantSplit/>
        </w:trPr>
        <w:tc>
          <w:tcPr>
            <w:tcW w:type="dxa" w:w="1134"/>
          </w:tcPr>
          <w:p>
            <w:pPr>
              <w:spacing w:after="20" w:before="20" w:line="240" w:lineRule="auto"/>
              <w:jc w:val="left"/>
            </w:pPr>
            <w:r/>
            <w:r>
              <w:rPr>
                <w:rFonts w:ascii="Arial" w:hAnsi="Arial"/>
                <w:sz w:val="17"/>
              </w:rPr>
              <w:t>Q1</w:t>
            </w:r>
          </w:p>
        </w:tc>
        <w:tc>
          <w:tcPr>
            <w:tcW w:type="dxa" w:w="3855"/>
          </w:tcPr>
          <w:p>
            <w:pPr>
              <w:spacing w:after="20" w:before="20" w:line="240" w:lineRule="auto"/>
              <w:jc w:val="left"/>
            </w:pPr>
            <w:r/>
            <w:r>
              <w:rPr>
                <w:rFonts w:ascii="Arial" w:hAnsi="Arial"/>
                <w:sz w:val="17"/>
              </w:rPr>
              <w:t>Taxa de rotatividade — RH</w:t>
            </w:r>
          </w:p>
        </w:tc>
        <w:tc>
          <w:tcPr>
            <w:tcW w:type="dxa" w:w="1361"/>
          </w:tcPr>
          <w:p>
            <w:pPr>
              <w:spacing w:after="20" w:before="20" w:line="240" w:lineRule="auto"/>
              <w:jc w:val="left"/>
            </w:pPr>
            <w:r/>
            <w:r>
              <w:rPr>
                <w:rFonts w:ascii="Arial" w:hAnsi="Arial"/>
                <w:sz w:val="17"/>
              </w:rPr>
              <w:t>19,0 %</w:t>
            </w:r>
          </w:p>
        </w:tc>
        <w:tc>
          <w:tcPr>
            <w:tcW w:type="dxa" w:w="1587"/>
          </w:tcPr>
          <w:p>
            <w:pPr>
              <w:spacing w:after="20" w:before="20" w:line="240" w:lineRule="auto"/>
              <w:jc w:val="left"/>
            </w:pPr>
            <w:r/>
            <w:r>
              <w:rPr>
                <w:rFonts w:ascii="Arial" w:hAnsi="Arial"/>
                <w:sz w:val="17"/>
              </w:rPr>
              <w:t>[11,2; 30,4]</w:t>
            </w:r>
          </w:p>
        </w:tc>
        <w:tc>
          <w:tcPr>
            <w:tcW w:type="dxa" w:w="1134"/>
          </w:tcPr>
          <w:p>
            <w:pPr>
              <w:spacing w:after="20" w:before="20" w:line="240" w:lineRule="auto"/>
              <w:jc w:val="left"/>
            </w:pPr>
            <w:r/>
            <w:r>
              <w:rPr>
                <w:rFonts w:ascii="Arial" w:hAnsi="Arial"/>
                <w:sz w:val="17"/>
              </w:rPr>
              <w:t>Wilson</w:t>
            </w:r>
          </w:p>
        </w:tc>
      </w:tr>
      <w:tr>
        <w:trPr>
          <w:cantSplit/>
        </w:trPr>
        <w:tc>
          <w:tcPr>
            <w:tcW w:type="dxa" w:w="1134"/>
          </w:tcPr>
          <w:p>
            <w:pPr>
              <w:spacing w:after="20" w:before="20" w:line="240" w:lineRule="auto"/>
              <w:jc w:val="left"/>
            </w:pPr>
            <w:r/>
            <w:r>
              <w:rPr>
                <w:rFonts w:ascii="Arial" w:hAnsi="Arial"/>
                <w:sz w:val="17"/>
              </w:rPr>
              <w:t>Q2</w:t>
            </w:r>
          </w:p>
        </w:tc>
        <w:tc>
          <w:tcPr>
            <w:tcW w:type="dxa" w:w="3855"/>
          </w:tcPr>
          <w:p>
            <w:pPr>
              <w:spacing w:after="20" w:before="20" w:line="240" w:lineRule="auto"/>
              <w:jc w:val="left"/>
            </w:pPr>
            <w:r/>
            <w:r>
              <w:rPr>
                <w:rFonts w:ascii="Arial" w:hAnsi="Arial"/>
                <w:sz w:val="17"/>
              </w:rPr>
              <w:t>Diferença de renda média (Saiu − Ficou)</w:t>
            </w:r>
          </w:p>
        </w:tc>
        <w:tc>
          <w:tcPr>
            <w:tcW w:type="dxa" w:w="1361"/>
          </w:tcPr>
          <w:p>
            <w:pPr>
              <w:spacing w:after="20" w:before="20" w:line="240" w:lineRule="auto"/>
              <w:jc w:val="left"/>
            </w:pPr>
            <w:r/>
            <w:r>
              <w:rPr>
                <w:rFonts w:ascii="Arial" w:hAnsi="Arial"/>
                <w:sz w:val="17"/>
              </w:rPr>
              <w:t>-2.045,6 US$</w:t>
            </w:r>
          </w:p>
        </w:tc>
        <w:tc>
          <w:tcPr>
            <w:tcW w:type="dxa" w:w="1587"/>
          </w:tcPr>
          <w:p>
            <w:pPr>
              <w:spacing w:after="20" w:before="20" w:line="240" w:lineRule="auto"/>
              <w:jc w:val="left"/>
            </w:pPr>
            <w:r/>
            <w:r>
              <w:rPr>
                <w:rFonts w:ascii="Arial" w:hAnsi="Arial"/>
                <w:sz w:val="17"/>
              </w:rPr>
              <w:t>[-2.583,1; -1.508,2]</w:t>
            </w:r>
          </w:p>
        </w:tc>
        <w:tc>
          <w:tcPr>
            <w:tcW w:type="dxa" w:w="1134"/>
          </w:tcPr>
          <w:p>
            <w:pPr>
              <w:spacing w:after="20" w:before="20" w:line="240" w:lineRule="auto"/>
              <w:jc w:val="left"/>
            </w:pPr>
            <w:r/>
            <w:r>
              <w:rPr>
                <w:rFonts w:ascii="Arial" w:hAnsi="Arial"/>
                <w:sz w:val="17"/>
              </w:rPr>
              <w:t>t de Welch</w:t>
            </w:r>
          </w:p>
        </w:tc>
      </w:tr>
      <w:tr>
        <w:trPr>
          <w:cantSplit/>
        </w:trPr>
        <w:tc>
          <w:tcPr>
            <w:tcW w:type="dxa" w:w="1134"/>
          </w:tcPr>
          <w:p>
            <w:pPr>
              <w:spacing w:after="20" w:before="20" w:line="240" w:lineRule="auto"/>
              <w:jc w:val="left"/>
            </w:pPr>
            <w:r/>
            <w:r>
              <w:rPr>
                <w:rFonts w:ascii="Arial" w:hAnsi="Arial"/>
                <w:sz w:val="17"/>
              </w:rPr>
              <w:t>Q4</w:t>
            </w:r>
          </w:p>
        </w:tc>
        <w:tc>
          <w:tcPr>
            <w:tcW w:type="dxa" w:w="3855"/>
          </w:tcPr>
          <w:p>
            <w:pPr>
              <w:spacing w:after="20" w:before="20" w:line="240" w:lineRule="auto"/>
              <w:jc w:val="left"/>
            </w:pPr>
            <w:r/>
            <w:r>
              <w:rPr>
                <w:rFonts w:ascii="Arial" w:hAnsi="Arial"/>
                <w:sz w:val="17"/>
              </w:rPr>
              <w:t>Diferença na taxa de saída (com − sem hora extra)</w:t>
            </w:r>
          </w:p>
        </w:tc>
        <w:tc>
          <w:tcPr>
            <w:tcW w:type="dxa" w:w="1361"/>
          </w:tcPr>
          <w:p>
            <w:pPr>
              <w:spacing w:after="20" w:before="20" w:line="240" w:lineRule="auto"/>
              <w:jc w:val="left"/>
            </w:pPr>
            <w:r/>
            <w:r>
              <w:rPr>
                <w:rFonts w:ascii="Arial" w:hAnsi="Arial"/>
                <w:sz w:val="17"/>
              </w:rPr>
              <w:t>20,1 p.p.</w:t>
            </w:r>
          </w:p>
        </w:tc>
        <w:tc>
          <w:tcPr>
            <w:tcW w:type="dxa" w:w="1587"/>
          </w:tcPr>
          <w:p>
            <w:pPr>
              <w:spacing w:after="20" w:before="20" w:line="240" w:lineRule="auto"/>
              <w:jc w:val="left"/>
            </w:pPr>
            <w:r/>
            <w:r>
              <w:rPr>
                <w:rFonts w:ascii="Arial" w:hAnsi="Arial"/>
                <w:sz w:val="17"/>
              </w:rPr>
              <w:t>[15,4; 25,0]</w:t>
            </w:r>
          </w:p>
        </w:tc>
        <w:tc>
          <w:tcPr>
            <w:tcW w:type="dxa" w:w="1134"/>
          </w:tcPr>
          <w:p>
            <w:pPr>
              <w:spacing w:after="20" w:before="20" w:line="240" w:lineRule="auto"/>
              <w:jc w:val="left"/>
            </w:pPr>
            <w:r/>
            <w:r>
              <w:rPr>
                <w:rFonts w:ascii="Arial" w:hAnsi="Arial"/>
                <w:sz w:val="17"/>
              </w:rPr>
              <w:t>Newcombe</w:t>
            </w:r>
          </w:p>
        </w:tc>
      </w:tr>
      <w:tr>
        <w:trPr>
          <w:cantSplit/>
        </w:trPr>
        <w:tc>
          <w:tcPr>
            <w:tcW w:type="dxa" w:w="1134"/>
          </w:tcPr>
          <w:p>
            <w:pPr>
              <w:spacing w:after="20" w:before="20" w:line="240" w:lineRule="auto"/>
              <w:jc w:val="left"/>
            </w:pPr>
            <w:r/>
            <w:r>
              <w:rPr>
                <w:rFonts w:ascii="Arial" w:hAnsi="Arial"/>
                <w:sz w:val="17"/>
              </w:rPr>
              <w:t>Q5</w:t>
            </w:r>
          </w:p>
        </w:tc>
        <w:tc>
          <w:tcPr>
            <w:tcW w:type="dxa" w:w="3855"/>
          </w:tcPr>
          <w:p>
            <w:pPr>
              <w:spacing w:after="20" w:before="20" w:line="240" w:lineRule="auto"/>
              <w:jc w:val="left"/>
            </w:pPr>
            <w:r/>
            <w:r>
              <w:rPr>
                <w:rFonts w:ascii="Arial" w:hAnsi="Arial"/>
                <w:sz w:val="17"/>
              </w:rPr>
              <w:t>Diferença de reajuste médio (nota 4 − nota 3)</w:t>
            </w:r>
          </w:p>
        </w:tc>
        <w:tc>
          <w:tcPr>
            <w:tcW w:type="dxa" w:w="1361"/>
          </w:tcPr>
          <w:p>
            <w:pPr>
              <w:spacing w:after="20" w:before="20" w:line="240" w:lineRule="auto"/>
              <w:jc w:val="left"/>
            </w:pPr>
            <w:r/>
            <w:r>
              <w:rPr>
                <w:rFonts w:ascii="Arial" w:hAnsi="Arial"/>
                <w:sz w:val="17"/>
              </w:rPr>
              <w:t>7,8 p.p.</w:t>
            </w:r>
          </w:p>
        </w:tc>
        <w:tc>
          <w:tcPr>
            <w:tcW w:type="dxa" w:w="1587"/>
          </w:tcPr>
          <w:p>
            <w:pPr>
              <w:spacing w:after="20" w:before="20" w:line="240" w:lineRule="auto"/>
              <w:jc w:val="left"/>
            </w:pPr>
            <w:r/>
            <w:r>
              <w:rPr>
                <w:rFonts w:ascii="Arial" w:hAnsi="Arial"/>
                <w:sz w:val="17"/>
              </w:rPr>
              <w:t>[7,6; 8,1]</w:t>
            </w:r>
          </w:p>
        </w:tc>
        <w:tc>
          <w:tcPr>
            <w:tcW w:type="dxa" w:w="1134"/>
          </w:tcPr>
          <w:p>
            <w:pPr>
              <w:spacing w:after="20" w:before="20" w:line="240" w:lineRule="auto"/>
              <w:jc w:val="left"/>
            </w:pPr>
            <w:r/>
            <w:r>
              <w:rPr>
                <w:rFonts w:ascii="Arial" w:hAnsi="Arial"/>
                <w:sz w:val="17"/>
              </w:rPr>
              <w:t>t de Welch</w:t>
            </w:r>
          </w:p>
        </w:tc>
      </w:tr>
    </w:tbl>
    <w:p>
      <w:pPr>
        <w:keepNext w:val="0"/>
        <w:spacing w:line="240" w:lineRule="auto" w:before="40" w:after="200"/>
        <w:jc w:val="left"/>
      </w:pPr>
      <w:r>
        <w:rPr>
          <w:rFonts w:ascii="Arial" w:hAnsi="Arial"/>
          <w:sz w:val="20"/>
        </w:rPr>
        <w:t>Fonte: elaboração própria a partir de IBM HR Analytics (Kaggle, 2017).</w:t>
      </w:r>
    </w:p>
    <w:p>
      <w:pPr>
        <w:spacing w:line="360" w:lineRule="auto" w:after="120" w:before="0"/>
        <w:ind w:firstLine="709"/>
        <w:jc w:val="both"/>
      </w:pPr>
      <w:r>
        <w:rPr>
          <w:rFonts w:ascii="Arial" w:hAnsi="Arial"/>
          <w:sz w:val="24"/>
        </w:rPr>
        <w:t>A Figura 12 compara visualmente os intervalos das taxas de saída dos principais grupos.</w:t>
      </w:r>
    </w:p>
    <w:p>
      <w:pPr>
        <w:keepNext/>
        <w:spacing w:line="240" w:lineRule="auto" w:before="120" w:after="40"/>
        <w:jc w:val="center"/>
      </w:pPr>
      <w:r>
        <w:rPr>
          <w:rFonts w:ascii="Arial" w:hAnsi="Arial"/>
          <w:b/>
          <w:sz w:val="20"/>
        </w:rPr>
        <w:t>Figura 12</w:t>
      </w:r>
      <w:r>
        <w:rPr>
          <w:rFonts w:ascii="Arial" w:hAnsi="Arial"/>
          <w:sz w:val="20"/>
        </w:rPr>
        <w:t xml:space="preserve"> – Taxa de saída estimada e IC 95% por grupo</w:t>
      </w:r>
    </w:p>
    <w:p>
      <w:pPr>
        <w:keepNext/>
        <w:spacing w:after="0"/>
        <w:jc w:val="center"/>
      </w:pPr>
      <w:r>
        <w:drawing>
          <wp:inline>
            <wp:extent cx="5220000" cy="3134917"/>
            <wp:docPr id="12" name="Picture 12"/>
            <wp:cNvGraphicFramePr>
              <a:graphicFrameLocks noChangeAspect="1"/>
            </wp:cNvGraphicFramePr>
            <a:graphic>
              <a:graphicData uri="http://schemas.openxmlformats.org/drawingml/2006/picture">
                <pic:pic>
                  <pic:nvPicPr>
                    <pic:cNvPr id="0" name="fig13_intervalos_confianca.png"/>
                    <pic:cNvPicPr/>
                  </pic:nvPicPr>
                  <pic:blipFill>
                    <a:blip r:embed="rId21"/>
                    <a:stretch>
                      <a:fillRect/>
                    </a:stretch>
                  </pic:blipFill>
                  <pic:spPr>
                    <a:xfrm>
                      <a:off x="0" y="0"/>
                      <a:ext cx="5220000" cy="3134917"/>
                    </a:xfrm>
                    <a:prstGeom prst="rect"/>
                  </pic:spPr>
                </pic:pic>
              </a:graphicData>
            </a:graphic>
          </wp:inline>
        </w:drawing>
      </w:r>
    </w:p>
    <w:p>
      <w:pPr>
        <w:keepNext w:val="0"/>
        <w:spacing w:line="240" w:lineRule="auto" w:before="40" w:after="200"/>
        <w:jc w:val="left"/>
      </w:pPr>
      <w:r>
        <w:rPr>
          <w:rFonts w:ascii="Arial" w:hAnsi="Arial"/>
          <w:sz w:val="20"/>
        </w:rPr>
        <w:t>Intervalos que não se cruzam indicam grupos com taxas claramente diferentes. Fonte: elaboração própria a partir de IBM HR Analytics (Kaggle, 2017).</w:t>
      </w:r>
    </w:p>
    <w:p w:rsidR="00000000" w:rsidDel="00000000" w:rsidP="00000000" w:rsidRDefault="00000000" w:rsidRPr="00000000" w14:paraId="00000057">
      <w:pPr>
        <w:pStyle w:val="Heading1"/>
        <w:keepNext w:val="0"/>
        <w:keepLines w:val="0"/>
        <w:pageBreakBefore/>
        <w:spacing w:after="0" w:before="0" w:line="360" w:lineRule="auto"/>
        <w:jc w:val="both"/>
        <w:rPr>
          <w:sz w:val="24"/>
          <w:szCs w:val="24"/>
        </w:rPr>
      </w:pPr>
      <w:bookmarkStart w:colFirst="0" w:colLast="0" w:name="_kzu777rzqqiu" w:id="12"/>
      <w:bookmarkEnd w:id="12"/>
      <w:r w:rsidDel="00000000" w:rsidR="00000000" w:rsidRPr="00000000">
        <w:rPr>
          <w:sz w:val="24"/>
          <w:szCs w:val="24"/>
          <w:rtl w:val="0"/>
        </w:rPr>
        <w:t xml:space="preserve">5. Recomendações Práticas</w:t>
      </w:r>
    </w:p>
    <w:p>
      <w:pPr>
        <w:pStyle w:val="Heading2"/>
        <w:spacing w:before="240" w:after="120"/>
      </w:pPr>
      <w:r>
        <w:rPr>
          <w:b/>
          <w:sz w:val="24"/>
        </w:rPr>
        <w:t>5.1 Plano de ação</w:t>
      </w:r>
    </w:p>
    <w:p>
      <w:pPr>
        <w:spacing w:line="360" w:lineRule="auto" w:after="120" w:before="0"/>
        <w:ind w:firstLine="709"/>
        <w:jc w:val="both"/>
      </w:pPr>
      <w:r>
        <w:rPr>
          <w:rFonts w:ascii="Arial" w:hAnsi="Arial"/>
          <w:sz w:val="24"/>
        </w:rPr>
        <w:t xml:space="preserve">As recomendações abaixo estão ordenadas por prioridade, considerando o tamanho do efeito encontrado e o grau de controle da gestão sobre cada fator. </w:t>
      </w:r>
      <w:r>
        <w:rPr>
          <w:rFonts w:ascii="Arial" w:hAnsi="Arial"/>
          <w:b/>
          <w:sz w:val="24"/>
        </w:rPr>
        <w:t>Cada recomendação está ligada à evidência que a sustenta</w:t>
      </w:r>
      <w:r>
        <w:rPr>
          <w:rFonts w:ascii="Arial" w:hAnsi="Arial"/>
          <w:sz w:val="24"/>
        </w:rPr>
        <w:t xml:space="preserve"> (Tabela 9).</w:t>
      </w:r>
    </w:p>
    <w:p>
      <w:pPr>
        <w:keepNext/>
        <w:spacing w:line="240" w:lineRule="auto" w:before="120" w:after="40"/>
        <w:jc w:val="center"/>
      </w:pPr>
      <w:r>
        <w:rPr>
          <w:rFonts w:ascii="Arial" w:hAnsi="Arial"/>
          <w:b/>
          <w:sz w:val="20"/>
        </w:rPr>
        <w:t>Tabela 9</w:t>
      </w:r>
      <w:r>
        <w:rPr>
          <w:rFonts w:ascii="Arial" w:hAnsi="Arial"/>
          <w:sz w:val="20"/>
        </w:rPr>
        <w:t xml:space="preserve"> – Plano de ação: recomendação, evidência, indicador e prioridade</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3005"/>
        <w:gridCol w:w="2835"/>
        <w:gridCol w:w="2041"/>
        <w:gridCol w:w="1191"/>
      </w:tblGrid>
      <w:tr>
        <w:trPr>
          <w:tblHeader w:val="true"/>
          <w:cantSplit/>
        </w:trPr>
        <w:tc>
          <w:tcPr>
            <w:tcW w:type="dxa" w:w="3005"/>
            <w:shd w:val="clear" w:color="auto" w:fill="E8EEF7"/>
          </w:tcPr>
          <w:p>
            <w:pPr>
              <w:spacing w:after="20" w:before="20" w:line="240" w:lineRule="auto"/>
              <w:jc w:val="left"/>
            </w:pPr>
            <w:r/>
            <w:r>
              <w:rPr>
                <w:rFonts w:ascii="Arial" w:hAnsi="Arial"/>
                <w:b/>
                <w:sz w:val="16"/>
              </w:rPr>
              <w:t>Recomendação</w:t>
            </w:r>
          </w:p>
        </w:tc>
        <w:tc>
          <w:tcPr>
            <w:tcW w:type="dxa" w:w="2835"/>
            <w:shd w:val="clear" w:color="auto" w:fill="E8EEF7"/>
          </w:tcPr>
          <w:p>
            <w:pPr>
              <w:spacing w:after="20" w:before="20" w:line="240" w:lineRule="auto"/>
              <w:jc w:val="left"/>
            </w:pPr>
            <w:r/>
            <w:r>
              <w:rPr>
                <w:rFonts w:ascii="Arial" w:hAnsi="Arial"/>
                <w:b/>
                <w:sz w:val="16"/>
              </w:rPr>
              <w:t>Evidência</w:t>
            </w:r>
          </w:p>
        </w:tc>
        <w:tc>
          <w:tcPr>
            <w:tcW w:type="dxa" w:w="2041"/>
            <w:shd w:val="clear" w:color="auto" w:fill="E8EEF7"/>
          </w:tcPr>
          <w:p>
            <w:pPr>
              <w:spacing w:after="20" w:before="20" w:line="240" w:lineRule="auto"/>
              <w:jc w:val="left"/>
            </w:pPr>
            <w:r/>
            <w:r>
              <w:rPr>
                <w:rFonts w:ascii="Arial" w:hAnsi="Arial"/>
                <w:b/>
                <w:sz w:val="16"/>
              </w:rPr>
              <w:t>Indicador de acompanhamento</w:t>
            </w:r>
          </w:p>
        </w:tc>
        <w:tc>
          <w:tcPr>
            <w:tcW w:type="dxa" w:w="1191"/>
            <w:shd w:val="clear" w:color="auto" w:fill="E8EEF7"/>
          </w:tcPr>
          <w:p>
            <w:pPr>
              <w:spacing w:after="20" w:before="20" w:line="240" w:lineRule="auto"/>
              <w:jc w:val="left"/>
            </w:pPr>
            <w:r/>
            <w:r>
              <w:rPr>
                <w:rFonts w:ascii="Arial" w:hAnsi="Arial"/>
                <w:b/>
                <w:sz w:val="16"/>
              </w:rPr>
              <w:t>Prioridade</w:t>
            </w:r>
          </w:p>
        </w:tc>
      </w:tr>
      <w:tr>
        <w:trPr>
          <w:cantSplit/>
        </w:trPr>
        <w:tc>
          <w:tcPr>
            <w:tcW w:type="dxa" w:w="3005"/>
          </w:tcPr>
          <w:p>
            <w:pPr>
              <w:spacing w:after="20" w:before="20" w:line="240" w:lineRule="auto"/>
              <w:jc w:val="left"/>
            </w:pPr>
            <w:r/>
            <w:r>
              <w:rPr>
                <w:rFonts w:ascii="Arial" w:hAnsi="Arial"/>
                <w:sz w:val="16"/>
              </w:rPr>
              <w:t>1. Gestão ativa de horas extras: limite mensal por pessoa, redistribuição de carga e revisão de quadro nas equipes com hora extra recorrente</w:t>
            </w:r>
          </w:p>
        </w:tc>
        <w:tc>
          <w:tcPr>
            <w:tcW w:type="dxa" w:w="2835"/>
          </w:tcPr>
          <w:p>
            <w:pPr>
              <w:spacing w:after="20" w:before="20" w:line="240" w:lineRule="auto"/>
              <w:jc w:val="left"/>
            </w:pPr>
            <w:r/>
            <w:r>
              <w:rPr>
                <w:rFonts w:ascii="Arial" w:hAnsi="Arial"/>
                <w:sz w:val="16"/>
              </w:rPr>
              <w:t>Q4: χ² = 87,6, p &lt; 0,001; RR = 2,93; IC da diferença 15,4–25,0 p.p. (Fig. 8, Seção 4.4)</w:t>
            </w:r>
          </w:p>
        </w:tc>
        <w:tc>
          <w:tcPr>
            <w:tcW w:type="dxa" w:w="2041"/>
          </w:tcPr>
          <w:p>
            <w:pPr>
              <w:spacing w:after="20" w:before="20" w:line="240" w:lineRule="auto"/>
              <w:jc w:val="left"/>
            </w:pPr>
            <w:r/>
            <w:r>
              <w:rPr>
                <w:rFonts w:ascii="Arial" w:hAnsi="Arial"/>
                <w:sz w:val="16"/>
              </w:rPr>
              <w:t>% do quadro com hora extra; taxa de saída de quem faz hora extra</w:t>
            </w:r>
          </w:p>
        </w:tc>
        <w:tc>
          <w:tcPr>
            <w:tcW w:type="dxa" w:w="1191"/>
          </w:tcPr>
          <w:p>
            <w:pPr>
              <w:spacing w:after="20" w:before="20" w:line="240" w:lineRule="auto"/>
              <w:jc w:val="left"/>
            </w:pPr>
            <w:r/>
            <w:r>
              <w:rPr>
                <w:rFonts w:ascii="Arial" w:hAnsi="Arial"/>
                <w:sz w:val="16"/>
              </w:rPr>
              <w:t>Alta</w:t>
            </w:r>
          </w:p>
        </w:tc>
      </w:tr>
      <w:tr>
        <w:trPr>
          <w:cantSplit/>
        </w:trPr>
        <w:tc>
          <w:tcPr>
            <w:tcW w:type="dxa" w:w="3005"/>
          </w:tcPr>
          <w:p>
            <w:pPr>
              <w:spacing w:after="20" w:before="20" w:line="240" w:lineRule="auto"/>
              <w:jc w:val="left"/>
            </w:pPr>
            <w:r/>
            <w:r>
              <w:rPr>
                <w:rFonts w:ascii="Arial" w:hAnsi="Arial"/>
                <w:sz w:val="16"/>
              </w:rPr>
              <w:t>2. Programa de retenção para cargos de entrada (Representante de Vendas, Técnico de Laboratório, nível 1): integração estruturada, mentoria, trilha de progressão e revisão do salário de entrada</w:t>
            </w:r>
          </w:p>
        </w:tc>
        <w:tc>
          <w:tcPr>
            <w:tcW w:type="dxa" w:w="2835"/>
          </w:tcPr>
          <w:p>
            <w:pPr>
              <w:spacing w:after="20" w:before="20" w:line="240" w:lineRule="auto"/>
              <w:jc w:val="left"/>
            </w:pPr>
            <w:r/>
            <w:r>
              <w:rPr>
                <w:rFonts w:ascii="Arial" w:hAnsi="Arial"/>
                <w:sz w:val="16"/>
              </w:rPr>
              <w:t>Q1: cargo V = 0,24 (vs. 0,09 do departamento); Q2: t de Welch, p &lt; 0,001; renda igual dentro do nível (Fig. 5, 6 e 11)</w:t>
            </w:r>
          </w:p>
        </w:tc>
        <w:tc>
          <w:tcPr>
            <w:tcW w:type="dxa" w:w="2041"/>
          </w:tcPr>
          <w:p>
            <w:pPr>
              <w:spacing w:after="20" w:before="20" w:line="240" w:lineRule="auto"/>
              <w:jc w:val="left"/>
            </w:pPr>
            <w:r/>
            <w:r>
              <w:rPr>
                <w:rFonts w:ascii="Arial" w:hAnsi="Arial"/>
                <w:sz w:val="16"/>
              </w:rPr>
              <w:t>Taxa de saída nos 2 primeiros anos; taxa por cargo</w:t>
            </w:r>
          </w:p>
        </w:tc>
        <w:tc>
          <w:tcPr>
            <w:tcW w:type="dxa" w:w="1191"/>
          </w:tcPr>
          <w:p>
            <w:pPr>
              <w:spacing w:after="20" w:before="20" w:line="240" w:lineRule="auto"/>
              <w:jc w:val="left"/>
            </w:pPr>
            <w:r/>
            <w:r>
              <w:rPr>
                <w:rFonts w:ascii="Arial" w:hAnsi="Arial"/>
                <w:sz w:val="16"/>
              </w:rPr>
              <w:t>Alta</w:t>
            </w:r>
          </w:p>
        </w:tc>
      </w:tr>
      <w:tr>
        <w:trPr>
          <w:cantSplit/>
        </w:trPr>
        <w:tc>
          <w:tcPr>
            <w:tcW w:type="dxa" w:w="3005"/>
          </w:tcPr>
          <w:p>
            <w:pPr>
              <w:spacing w:after="20" w:before="20" w:line="240" w:lineRule="auto"/>
              <w:jc w:val="left"/>
            </w:pPr>
            <w:r/>
            <w:r>
              <w:rPr>
                <w:rFonts w:ascii="Arial" w:hAnsi="Arial"/>
                <w:sz w:val="16"/>
              </w:rPr>
              <w:t>3. Sistema de alerta precoce: pesquisa de clima periódica e ação individual com quem responde "baixo" em envolvimento, ambiente, satisfação ou vida-trabalho</w:t>
            </w:r>
          </w:p>
        </w:tc>
        <w:tc>
          <w:tcPr>
            <w:tcW w:type="dxa" w:w="2835"/>
          </w:tcPr>
          <w:p>
            <w:pPr>
              <w:spacing w:after="20" w:before="20" w:line="240" w:lineRule="auto"/>
              <w:jc w:val="left"/>
            </w:pPr>
            <w:r/>
            <w:r>
              <w:rPr>
                <w:rFonts w:ascii="Arial" w:hAnsi="Arial"/>
                <w:sz w:val="16"/>
              </w:rPr>
              <w:t>Q3: 4 testes χ² com Holm, todos p &lt; 0,002; envolvimento baixo = 33,7% (Fig. 7, Tabela 6)</w:t>
            </w:r>
          </w:p>
        </w:tc>
        <w:tc>
          <w:tcPr>
            <w:tcW w:type="dxa" w:w="2041"/>
          </w:tcPr>
          <w:p>
            <w:pPr>
              <w:spacing w:after="20" w:before="20" w:line="240" w:lineRule="auto"/>
              <w:jc w:val="left"/>
            </w:pPr>
            <w:r/>
            <w:r>
              <w:rPr>
                <w:rFonts w:ascii="Arial" w:hAnsi="Arial"/>
                <w:sz w:val="16"/>
              </w:rPr>
              <w:t>% de respostas "baixo"; taxa de saída desse grupo</w:t>
            </w:r>
          </w:p>
        </w:tc>
        <w:tc>
          <w:tcPr>
            <w:tcW w:type="dxa" w:w="1191"/>
          </w:tcPr>
          <w:p>
            <w:pPr>
              <w:spacing w:after="20" w:before="20" w:line="240" w:lineRule="auto"/>
              <w:jc w:val="left"/>
            </w:pPr>
            <w:r/>
            <w:r>
              <w:rPr>
                <w:rFonts w:ascii="Arial" w:hAnsi="Arial"/>
                <w:sz w:val="16"/>
              </w:rPr>
              <w:t>Média-alta</w:t>
            </w:r>
          </w:p>
        </w:tc>
      </w:tr>
      <w:tr>
        <w:trPr>
          <w:cantSplit/>
        </w:trPr>
        <w:tc>
          <w:tcPr>
            <w:tcW w:type="dxa" w:w="3005"/>
          </w:tcPr>
          <w:p>
            <w:pPr>
              <w:spacing w:after="20" w:before="20" w:line="240" w:lineRule="auto"/>
              <w:jc w:val="left"/>
            </w:pPr>
            <w:r/>
            <w:r>
              <w:rPr>
                <w:rFonts w:ascii="Arial" w:hAnsi="Arial"/>
                <w:sz w:val="16"/>
              </w:rPr>
              <w:t>4. Revisão da política de reconhecimento: incluir envolvimento e engajamento nos critérios de reajuste e calibrar a avaliação de desempenho (hoje só notas 3 e 4)</w:t>
            </w:r>
          </w:p>
        </w:tc>
        <w:tc>
          <w:tcPr>
            <w:tcW w:type="dxa" w:w="2835"/>
          </w:tcPr>
          <w:p>
            <w:pPr>
              <w:spacing w:after="20" w:before="20" w:line="240" w:lineRule="auto"/>
              <w:jc w:val="left"/>
            </w:pPr>
            <w:r/>
            <w:r>
              <w:rPr>
                <w:rFonts w:ascii="Arial" w:hAnsi="Arial"/>
                <w:sz w:val="16"/>
              </w:rPr>
              <w:t>Q5: t (nota → reajuste) p &lt; 0,001; ANOVA p = 0,3579; correlação p = 0,1957; saída igual nas duas notas (Fig. 9)</w:t>
            </w:r>
          </w:p>
        </w:tc>
        <w:tc>
          <w:tcPr>
            <w:tcW w:type="dxa" w:w="2041"/>
          </w:tcPr>
          <w:p>
            <w:pPr>
              <w:spacing w:after="20" w:before="20" w:line="240" w:lineRule="auto"/>
              <w:jc w:val="left"/>
            </w:pPr>
            <w:r/>
            <w:r>
              <w:rPr>
                <w:rFonts w:ascii="Arial" w:hAnsi="Arial"/>
                <w:sz w:val="16"/>
              </w:rPr>
              <w:t>Distribuição das notas; reajuste médio por nível de envolvimento</w:t>
            </w:r>
          </w:p>
        </w:tc>
        <w:tc>
          <w:tcPr>
            <w:tcW w:type="dxa" w:w="1191"/>
          </w:tcPr>
          <w:p>
            <w:pPr>
              <w:spacing w:after="20" w:before="20" w:line="240" w:lineRule="auto"/>
              <w:jc w:val="left"/>
            </w:pPr>
            <w:r/>
            <w:r>
              <w:rPr>
                <w:rFonts w:ascii="Arial" w:hAnsi="Arial"/>
                <w:sz w:val="16"/>
              </w:rPr>
              <w:t>Média</w:t>
            </w:r>
          </w:p>
        </w:tc>
      </w:tr>
    </w:tbl>
    <w:p>
      <w:pPr>
        <w:keepNext w:val="0"/>
        <w:spacing w:line="240" w:lineRule="auto" w:before="40" w:after="200"/>
        <w:jc w:val="left"/>
      </w:pPr>
      <w:r>
        <w:rPr>
          <w:rFonts w:ascii="Arial" w:hAnsi="Arial"/>
          <w:sz w:val="20"/>
        </w:rPr>
        <w:t>Fonte: elaboração própria a partir de IBM HR Analytics (Kaggle, 2017).</w:t>
      </w:r>
    </w:p>
    <w:p>
      <w:pPr>
        <w:spacing w:line="360" w:lineRule="auto" w:after="120" w:before="0"/>
        <w:ind w:firstLine="709"/>
        <w:jc w:val="both"/>
      </w:pPr>
      <w:r>
        <w:rPr>
          <w:rFonts w:ascii="Arial" w:hAnsi="Arial"/>
          <w:b/>
          <w:sz w:val="24"/>
        </w:rPr>
        <w:t>Recomendação 1 (prioridade alta).</w:t>
      </w:r>
      <w:r>
        <w:rPr>
          <w:rFonts w:ascii="Arial" w:hAnsi="Arial"/>
          <w:sz w:val="24"/>
        </w:rPr>
        <w:t xml:space="preserve"> Hora extra é o fator de maior efeito e o que está </w:t>
      </w:r>
      <w:r>
        <w:rPr>
          <w:rFonts w:ascii="Arial" w:hAnsi="Arial"/>
          <w:b/>
          <w:sz w:val="24"/>
        </w:rPr>
        <w:t>sob controle mais direto</w:t>
      </w:r>
      <w:r>
        <w:rPr>
          <w:rFonts w:ascii="Arial" w:hAnsi="Arial"/>
          <w:sz w:val="24"/>
        </w:rPr>
        <w:t xml:space="preserve"> da gestão. Se a taxa de saída de quem faz hora extra caísse ao nível de quem não faz, o potencial seria de cerca de </w:t>
      </w:r>
      <w:r>
        <w:rPr>
          <w:rFonts w:ascii="Arial" w:hAnsi="Arial"/>
          <w:b/>
          <w:sz w:val="24"/>
        </w:rPr>
        <w:t>84 saídas a menos por ciclo</w:t>
      </w:r>
      <w:r>
        <w:rPr>
          <w:rFonts w:ascii="Arial" w:hAnsi="Arial"/>
          <w:sz w:val="24"/>
        </w:rPr>
        <w:t>, o que levaria a taxa geral de 16,1% para cerca de 10,4%.</w:t>
      </w:r>
    </w:p>
    <w:p>
      <w:pPr>
        <w:spacing w:line="360" w:lineRule="auto" w:after="120" w:before="0"/>
        <w:ind w:firstLine="709"/>
        <w:jc w:val="both"/>
      </w:pPr>
      <w:r>
        <w:rPr>
          <w:rFonts w:ascii="Arial" w:hAnsi="Arial"/>
          <w:b/>
          <w:sz w:val="24"/>
        </w:rPr>
        <w:t>Recomendação 2 (prioridade alta).</w:t>
      </w:r>
      <w:r>
        <w:rPr>
          <w:rFonts w:ascii="Arial" w:hAnsi="Arial"/>
          <w:sz w:val="24"/>
        </w:rPr>
        <w:t xml:space="preserve"> As saídas se concentram em cargos de entrada, em funcionários jovens e com pouco tempo de casa. Como, no mesmo nível, quem sai não ganha menos que os pares, o problema é a </w:t>
      </w:r>
      <w:r>
        <w:rPr>
          <w:rFonts w:ascii="Arial" w:hAnsi="Arial"/>
          <w:b/>
          <w:sz w:val="24"/>
        </w:rPr>
        <w:t>atratividade da carreira inicial</w:t>
      </w:r>
      <w:r>
        <w:rPr>
          <w:rFonts w:ascii="Arial" w:hAnsi="Arial"/>
          <w:sz w:val="24"/>
        </w:rPr>
        <w:t xml:space="preserve"> como um todo (salário de entrada, perspectiva de crescimento e integração), e não reajustes individuais.</w:t>
      </w:r>
    </w:p>
    <w:p>
      <w:pPr>
        <w:spacing w:line="360" w:lineRule="auto" w:after="120" w:before="0"/>
        <w:ind w:firstLine="709"/>
        <w:jc w:val="both"/>
      </w:pPr>
      <w:r>
        <w:rPr>
          <w:rFonts w:ascii="Arial" w:hAnsi="Arial"/>
          <w:b/>
          <w:sz w:val="24"/>
        </w:rPr>
        <w:t>Recomendação 3 (prioridade média-alta).</w:t>
      </w:r>
      <w:r>
        <w:rPr>
          <w:rFonts w:ascii="Arial" w:hAnsi="Arial"/>
          <w:sz w:val="24"/>
        </w:rPr>
        <w:t xml:space="preserve"> Envolvimento, ambiente, satisfação e equilíbrio vida-trabalho são dimensões </w:t>
      </w:r>
      <w:r>
        <w:rPr>
          <w:rFonts w:ascii="Arial" w:hAnsi="Arial"/>
          <w:b/>
          <w:sz w:val="24"/>
        </w:rPr>
        <w:t>independentes</w:t>
      </w:r>
      <w:r>
        <w:rPr>
          <w:rFonts w:ascii="Arial" w:hAnsi="Arial"/>
          <w:sz w:val="24"/>
        </w:rPr>
        <w:t xml:space="preserve">, e o risco se concentra no nível mais baixo de cada uma. Um painel que cruze as respostas da pesquisa de clima permite </w:t>
      </w:r>
      <w:r>
        <w:rPr>
          <w:rFonts w:ascii="Arial" w:hAnsi="Arial"/>
          <w:b/>
          <w:sz w:val="24"/>
        </w:rPr>
        <w:t>agir antes do pedido de demissão</w:t>
      </w:r>
      <w:r>
        <w:rPr>
          <w:rFonts w:ascii="Arial" w:hAnsi="Arial"/>
          <w:sz w:val="24"/>
        </w:rPr>
        <w:t>.</w:t>
      </w:r>
    </w:p>
    <w:p>
      <w:pPr>
        <w:spacing w:line="360" w:lineRule="auto" w:after="120" w:before="0"/>
        <w:ind w:firstLine="709"/>
        <w:jc w:val="both"/>
      </w:pPr>
      <w:r>
        <w:rPr>
          <w:rFonts w:ascii="Arial" w:hAnsi="Arial"/>
          <w:b/>
          <w:sz w:val="24"/>
        </w:rPr>
        <w:t>Recomendação 4 (prioridade média).</w:t>
      </w:r>
      <w:r>
        <w:rPr>
          <w:rFonts w:ascii="Arial" w:hAnsi="Arial"/>
          <w:sz w:val="24"/>
        </w:rPr>
        <w:t xml:space="preserve"> Hoje o reajuste depende só da nota de desempenho, e a nota não diferencia quem sai. Incluir o envolvimento nos critérios de reconhecimento alinha a política de remuneração aos fatores que de fato estão associados à permanência.</w:t>
      </w:r>
    </w:p>
    <w:p>
      <w:pPr>
        <w:pStyle w:val="Heading2"/>
        <w:spacing w:before="240" w:after="120"/>
      </w:pPr>
      <w:r>
        <w:rPr>
          <w:b/>
          <w:sz w:val="24"/>
        </w:rPr>
        <w:t>5.2 Limitações e próximos passos</w:t>
      </w:r>
    </w:p>
    <w:p>
      <w:pPr>
        <w:spacing w:line="360" w:lineRule="auto" w:after="60"/>
        <w:ind w:left="567" w:hanging="283"/>
        <w:jc w:val="both"/>
      </w:pPr>
      <w:r>
        <w:rPr>
          <w:rFonts w:ascii="Arial" w:hAnsi="Arial"/>
          <w:sz w:val="24"/>
        </w:rPr>
        <w:t xml:space="preserve">•  Os dados são </w:t>
      </w:r>
      <w:r>
        <w:rPr>
          <w:rFonts w:ascii="Arial" w:hAnsi="Arial"/>
          <w:b/>
          <w:sz w:val="24"/>
        </w:rPr>
        <w:t>fictícios</w:t>
      </w:r>
      <w:r>
        <w:rPr>
          <w:rFonts w:ascii="Arial" w:hAnsi="Arial"/>
          <w:sz w:val="24"/>
        </w:rPr>
        <w:t xml:space="preserve"> (simulados pela IBM): as recomendações demonstram o método e devem ser validadas com dados reais da organização;</w:t>
      </w:r>
    </w:p>
    <w:p>
      <w:pPr>
        <w:spacing w:line="360" w:lineRule="auto" w:after="60"/>
        <w:ind w:left="567" w:hanging="283"/>
        <w:jc w:val="both"/>
      </w:pPr>
      <w:r>
        <w:rPr>
          <w:rFonts w:ascii="Arial" w:hAnsi="Arial"/>
          <w:sz w:val="24"/>
        </w:rPr>
        <w:t xml:space="preserve">•  O estudo é </w:t>
      </w:r>
      <w:r>
        <w:rPr>
          <w:rFonts w:ascii="Arial" w:hAnsi="Arial"/>
          <w:b/>
          <w:sz w:val="24"/>
        </w:rPr>
        <w:t>observacional</w:t>
      </w:r>
      <w:r>
        <w:rPr>
          <w:rFonts w:ascii="Arial" w:hAnsi="Arial"/>
          <w:sz w:val="24"/>
        </w:rPr>
        <w:t xml:space="preserve"> e de corte transversal: os testes indicam </w:t>
      </w:r>
      <w:r>
        <w:rPr>
          <w:rFonts w:ascii="Arial" w:hAnsi="Arial"/>
          <w:b/>
          <w:sz w:val="24"/>
        </w:rPr>
        <w:t>associação, não causalidade</w:t>
      </w:r>
      <w:r>
        <w:rPr>
          <w:rFonts w:ascii="Arial" w:hAnsi="Arial"/>
          <w:sz w:val="24"/>
        </w:rPr>
        <w:t>;</w:t>
      </w:r>
    </w:p>
    <w:p>
      <w:pPr>
        <w:spacing w:line="360" w:lineRule="auto" w:after="60"/>
        <w:ind w:left="567" w:hanging="283"/>
        <w:jc w:val="both"/>
      </w:pPr>
      <w:r>
        <w:rPr>
          <w:rFonts w:ascii="Arial" w:hAnsi="Arial"/>
          <w:sz w:val="24"/>
        </w:rPr>
        <w:t xml:space="preserve">•  Os fatores estão interligados (por exemplo, renda, nível e experiência). Um próximo passo é um </w:t>
      </w:r>
      <w:r>
        <w:rPr>
          <w:rFonts w:ascii="Arial" w:hAnsi="Arial"/>
          <w:b/>
          <w:sz w:val="24"/>
        </w:rPr>
        <w:t>modelo multivariado</w:t>
      </w:r>
      <w:r>
        <w:rPr>
          <w:rFonts w:ascii="Arial" w:hAnsi="Arial"/>
          <w:sz w:val="24"/>
        </w:rPr>
        <w:t xml:space="preserve"> (regressão logística) para estimar o efeito de cada fator controlando os demais;</w:t>
      </w:r>
    </w:p>
    <w:p>
      <w:pPr>
        <w:spacing w:line="360" w:lineRule="auto" w:after="60"/>
        <w:ind w:left="567" w:hanging="283"/>
        <w:jc w:val="both"/>
      </w:pPr>
      <w:r>
        <w:rPr>
          <w:rFonts w:ascii="Arial" w:hAnsi="Arial"/>
          <w:sz w:val="24"/>
        </w:rPr>
        <w:t>•  A avaliação de desempenho tem só duas notas, o que limita a análise da Q5.</w:t>
      </w:r>
    </w:p>
    <w:p w:rsidR="00000000" w:rsidDel="00000000" w:rsidP="00000000" w:rsidRDefault="00000000" w:rsidRPr="00000000" w14:paraId="00000059">
      <w:pPr>
        <w:pStyle w:val="Heading1"/>
        <w:keepNext w:val="0"/>
        <w:keepLines w:val="0"/>
        <w:pageBreakBefore/>
        <w:spacing w:after="0" w:before="0" w:line="360" w:lineRule="auto"/>
        <w:jc w:val="both"/>
        <w:rPr>
          <w:sz w:val="26"/>
          <w:szCs w:val="26"/>
        </w:rPr>
      </w:pPr>
      <w:bookmarkStart w:colFirst="0" w:colLast="0" w:name="_1fay7losb5zp" w:id="14"/>
      <w:bookmarkEnd w:id="14"/>
      <w:r w:rsidDel="00000000" w:rsidR="00000000" w:rsidRPr="00000000">
        <w:rPr>
          <w:sz w:val="24"/>
          <w:szCs w:val="24"/>
          <w:rtl w:val="0"/>
        </w:rPr>
        <w:t xml:space="preserve">6. Referências e Apêndices</w:t>
      </w:r>
      <w:r w:rsidDel="00000000" w:rsidR="00000000" w:rsidRPr="00000000">
        <w:rPr>
          <w:rtl w:val="0"/>
        </w:rPr>
      </w:r>
    </w:p>
    <w:p>
      <w:pPr>
        <w:pStyle w:val="Heading2"/>
        <w:spacing w:before="240" w:after="120"/>
      </w:pPr>
      <w:r>
        <w:rPr>
          <w:b/>
          <w:sz w:val="24"/>
        </w:rPr>
        <w:t>6.1 Referências</w:t>
      </w:r>
    </w:p>
    <w:p>
      <w:pPr>
        <w:spacing w:line="240" w:lineRule="auto" w:after="160" w:before="0"/>
        <w:jc w:val="left"/>
      </w:pPr>
      <w:r>
        <w:rPr>
          <w:rFonts w:ascii="Arial" w:hAnsi="Arial"/>
          <w:sz w:val="24"/>
        </w:rPr>
        <w:t xml:space="preserve">IBM. </w:t>
      </w:r>
      <w:r>
        <w:rPr>
          <w:rFonts w:ascii="Arial" w:hAnsi="Arial"/>
          <w:b/>
          <w:sz w:val="24"/>
        </w:rPr>
        <w:t>IBM HR Analytics Employee Attrition &amp; Performance</w:t>
      </w:r>
      <w:r>
        <w:rPr>
          <w:rFonts w:ascii="Arial" w:hAnsi="Arial"/>
          <w:sz w:val="24"/>
        </w:rPr>
        <w:t>. Kaggle, 2017. Disponível em: https://www.kaggle.com/datasets/pavansubhasht/ibm-hr-analytics-attrition-dataset/data. Acesso em: out. 2026.</w:t>
      </w:r>
    </w:p>
    <w:p>
      <w:pPr>
        <w:spacing w:line="240" w:lineRule="auto" w:after="160" w:before="0"/>
        <w:jc w:val="left"/>
      </w:pPr>
      <w:r>
        <w:rPr>
          <w:rFonts w:ascii="Arial" w:hAnsi="Arial"/>
          <w:sz w:val="24"/>
        </w:rPr>
        <w:t xml:space="preserve">COHEN, J. </w:t>
      </w:r>
      <w:r>
        <w:rPr>
          <w:rFonts w:ascii="Arial" w:hAnsi="Arial"/>
          <w:b/>
          <w:sz w:val="24"/>
        </w:rPr>
        <w:t>Statistical power analysis for the behavioral sciences</w:t>
      </w:r>
      <w:r>
        <w:rPr>
          <w:rFonts w:ascii="Arial" w:hAnsi="Arial"/>
          <w:sz w:val="24"/>
        </w:rPr>
        <w:t>. 2. ed. Hillsdale: Lawrence Erlbaum, 1988.</w:t>
      </w:r>
    </w:p>
    <w:p>
      <w:pPr>
        <w:spacing w:line="240" w:lineRule="auto" w:after="160" w:before="0"/>
        <w:jc w:val="left"/>
      </w:pPr>
      <w:r>
        <w:rPr>
          <w:rFonts w:ascii="Arial" w:hAnsi="Arial"/>
          <w:sz w:val="24"/>
        </w:rPr>
        <w:t xml:space="preserve">HOLM, S. A simple sequentially rejective multiple test procedure. </w:t>
      </w:r>
      <w:r>
        <w:rPr>
          <w:rFonts w:ascii="Arial" w:hAnsi="Arial"/>
          <w:b/>
          <w:sz w:val="24"/>
        </w:rPr>
        <w:t>Scandinavian Journal of Statistics</w:t>
      </w:r>
      <w:r>
        <w:rPr>
          <w:rFonts w:ascii="Arial" w:hAnsi="Arial"/>
          <w:sz w:val="24"/>
        </w:rPr>
        <w:t>, v. 6, n. 2, p. 65-70, 1979.</w:t>
      </w:r>
    </w:p>
    <w:p>
      <w:pPr>
        <w:spacing w:line="240" w:lineRule="auto" w:after="160" w:before="0"/>
        <w:jc w:val="left"/>
      </w:pPr>
      <w:r>
        <w:rPr>
          <w:rFonts w:ascii="Arial" w:hAnsi="Arial"/>
          <w:sz w:val="24"/>
        </w:rPr>
        <w:t xml:space="preserve">NEWCOMBE, R. G. Interval estimation for the difference between independent proportions: comparison of eleven methods. </w:t>
      </w:r>
      <w:r>
        <w:rPr>
          <w:rFonts w:ascii="Arial" w:hAnsi="Arial"/>
          <w:b/>
          <w:sz w:val="24"/>
        </w:rPr>
        <w:t>Statistics in Medicine</w:t>
      </w:r>
      <w:r>
        <w:rPr>
          <w:rFonts w:ascii="Arial" w:hAnsi="Arial"/>
          <w:sz w:val="24"/>
        </w:rPr>
        <w:t>, v. 17, n. 8, p. 873-890, 1998.</w:t>
      </w:r>
    </w:p>
    <w:p>
      <w:pPr>
        <w:spacing w:line="240" w:lineRule="auto" w:after="160" w:before="0"/>
        <w:jc w:val="left"/>
      </w:pPr>
      <w:r>
        <w:rPr>
          <w:rFonts w:ascii="Arial" w:hAnsi="Arial"/>
          <w:sz w:val="24"/>
        </w:rPr>
        <w:t xml:space="preserve">WELCH, B. L. The generalization of "Student's" problem when several different population variances are involved. </w:t>
      </w:r>
      <w:r>
        <w:rPr>
          <w:rFonts w:ascii="Arial" w:hAnsi="Arial"/>
          <w:b/>
          <w:sz w:val="24"/>
        </w:rPr>
        <w:t>Biometrika</w:t>
      </w:r>
      <w:r>
        <w:rPr>
          <w:rFonts w:ascii="Arial" w:hAnsi="Arial"/>
          <w:sz w:val="24"/>
        </w:rPr>
        <w:t>, v. 34, n. 1-2, p. 28-35, 1947.</w:t>
      </w:r>
    </w:p>
    <w:p>
      <w:pPr>
        <w:spacing w:line="240" w:lineRule="auto" w:after="160" w:before="0"/>
        <w:jc w:val="left"/>
      </w:pPr>
      <w:r>
        <w:rPr>
          <w:rFonts w:ascii="Arial" w:hAnsi="Arial"/>
          <w:sz w:val="24"/>
        </w:rPr>
        <w:t xml:space="preserve">WILSON, E. B. Probable inference, the law of succession, and statistical inference. </w:t>
      </w:r>
      <w:r>
        <w:rPr>
          <w:rFonts w:ascii="Arial" w:hAnsi="Arial"/>
          <w:b/>
          <w:sz w:val="24"/>
        </w:rPr>
        <w:t>Journal of the American Statistical Association</w:t>
      </w:r>
      <w:r>
        <w:rPr>
          <w:rFonts w:ascii="Arial" w:hAnsi="Arial"/>
          <w:sz w:val="24"/>
        </w:rPr>
        <w:t>, v. 22, n. 158, p. 209-212, 1927.</w:t>
      </w:r>
    </w:p>
    <w:p>
      <w:pPr>
        <w:spacing w:line="240" w:lineRule="auto" w:after="160" w:before="0"/>
        <w:jc w:val="left"/>
      </w:pPr>
      <w:r>
        <w:rPr>
          <w:rFonts w:ascii="Arial" w:hAnsi="Arial"/>
          <w:sz w:val="24"/>
        </w:rPr>
        <w:t xml:space="preserve">McKINNEY, W. Data structures for statistical computing in Python. In: </w:t>
      </w:r>
      <w:r>
        <w:rPr>
          <w:rFonts w:ascii="Arial" w:hAnsi="Arial"/>
          <w:b/>
          <w:sz w:val="24"/>
        </w:rPr>
        <w:t>Proceedings of the 9th Python in Science Conference</w:t>
      </w:r>
      <w:r>
        <w:rPr>
          <w:rFonts w:ascii="Arial" w:hAnsi="Arial"/>
          <w:sz w:val="24"/>
        </w:rPr>
        <w:t>, 2010. p. 56-61.</w:t>
      </w:r>
    </w:p>
    <w:p>
      <w:pPr>
        <w:spacing w:line="240" w:lineRule="auto" w:after="160" w:before="0"/>
        <w:jc w:val="left"/>
      </w:pPr>
      <w:r>
        <w:rPr>
          <w:rFonts w:ascii="Arial" w:hAnsi="Arial"/>
          <w:sz w:val="24"/>
        </w:rPr>
        <w:t xml:space="preserve">VIRTANEN, P. et al. SciPy 1.0: fundamental algorithms for scientific computing in Python. </w:t>
      </w:r>
      <w:r>
        <w:rPr>
          <w:rFonts w:ascii="Arial" w:hAnsi="Arial"/>
          <w:b/>
          <w:sz w:val="24"/>
        </w:rPr>
        <w:t>Nature Methods</w:t>
      </w:r>
      <w:r>
        <w:rPr>
          <w:rFonts w:ascii="Arial" w:hAnsi="Arial"/>
          <w:sz w:val="24"/>
        </w:rPr>
        <w:t>, v. 17, p. 261-272, 2020.</w:t>
      </w:r>
    </w:p>
    <w:p>
      <w:pPr>
        <w:spacing w:line="240" w:lineRule="auto" w:after="160" w:before="0"/>
        <w:jc w:val="left"/>
      </w:pPr>
      <w:r>
        <w:rPr>
          <w:rFonts w:ascii="Arial" w:hAnsi="Arial"/>
          <w:sz w:val="24"/>
        </w:rPr>
        <w:t xml:space="preserve">SEABOLD, S.; PERKTOLD, J. statsmodels: econometric and statistical modeling with Python. In: </w:t>
      </w:r>
      <w:r>
        <w:rPr>
          <w:rFonts w:ascii="Arial" w:hAnsi="Arial"/>
          <w:b/>
          <w:sz w:val="24"/>
        </w:rPr>
        <w:t>Proceedings of the 9th Python in Science Conference</w:t>
      </w:r>
      <w:r>
        <w:rPr>
          <w:rFonts w:ascii="Arial" w:hAnsi="Arial"/>
          <w:sz w:val="24"/>
        </w:rPr>
        <w:t>, 2010.</w:t>
      </w:r>
    </w:p>
    <w:p>
      <w:pPr>
        <w:spacing w:line="240" w:lineRule="auto" w:after="160" w:before="0"/>
        <w:jc w:val="left"/>
      </w:pPr>
      <w:r>
        <w:rPr>
          <w:rFonts w:ascii="Arial" w:hAnsi="Arial"/>
          <w:sz w:val="24"/>
        </w:rPr>
        <w:t xml:space="preserve">HUNTER, J. D. Matplotlib: a 2D graphics environment. </w:t>
      </w:r>
      <w:r>
        <w:rPr>
          <w:rFonts w:ascii="Arial" w:hAnsi="Arial"/>
          <w:b/>
          <w:sz w:val="24"/>
        </w:rPr>
        <w:t>Computing in Science &amp; Engineering</w:t>
      </w:r>
      <w:r>
        <w:rPr>
          <w:rFonts w:ascii="Arial" w:hAnsi="Arial"/>
          <w:sz w:val="24"/>
        </w:rPr>
        <w:t>, v. 9, n. 3, p. 90-95, 2007.</w:t>
      </w:r>
    </w:p>
    <w:p>
      <w:pPr>
        <w:spacing w:line="240" w:lineRule="auto" w:after="160" w:before="0"/>
        <w:jc w:val="left"/>
      </w:pPr>
      <w:r>
        <w:rPr>
          <w:rFonts w:ascii="Arial" w:hAnsi="Arial"/>
          <w:sz w:val="24"/>
        </w:rPr>
        <w:t xml:space="preserve">WASKOM, M. L. seaborn: statistical data visualization. </w:t>
      </w:r>
      <w:r>
        <w:rPr>
          <w:rFonts w:ascii="Arial" w:hAnsi="Arial"/>
          <w:b/>
          <w:sz w:val="24"/>
        </w:rPr>
        <w:t>Journal of Open Source Software</w:t>
      </w:r>
      <w:r>
        <w:rPr>
          <w:rFonts w:ascii="Arial" w:hAnsi="Arial"/>
          <w:sz w:val="24"/>
        </w:rPr>
        <w:t>, v. 6, n. 60, p. 3021, 2021.</w:t>
      </w:r>
    </w:p>
    <w:p>
      <w:pPr>
        <w:pStyle w:val="Heading2"/>
        <w:spacing w:before="240" w:after="120"/>
      </w:pPr>
      <w:r>
        <w:rPr>
          <w:b/>
          <w:sz w:val="24"/>
        </w:rPr>
        <w:t>6.2 Código-fonte e reprodutibilidade</w:t>
      </w:r>
    </w:p>
    <w:p>
      <w:pPr>
        <w:spacing w:line="360" w:lineRule="auto" w:after="120" w:before="0"/>
        <w:jc w:val="both"/>
      </w:pPr>
      <w:r>
        <w:rPr>
          <w:rFonts w:ascii="Arial" w:hAnsi="Arial"/>
          <w:sz w:val="24"/>
        </w:rPr>
        <w:t xml:space="preserve">Repositório do projeto: </w:t>
      </w:r>
      <w:r>
        <w:rPr>
          <w:rFonts w:ascii="Arial" w:hAnsi="Arial"/>
          <w:b/>
          <w:sz w:val="24"/>
        </w:rPr>
        <w:t>https://github.com/SEU-USUARIO/sisb110-ibm-hr-analytics</w:t>
      </w:r>
      <w:r>
        <w:rPr>
          <w:rFonts w:ascii="Arial" w:hAnsi="Arial"/>
          <w:sz w:val="24"/>
        </w:rPr>
        <w:t xml:space="preserve">. Para reproduzir a análise: criar o ambiente virtual, instalar </w:t>
      </w:r>
      <w:r>
        <w:rPr>
          <w:rFonts w:ascii="Arial" w:hAnsi="Arial"/>
          <w:i/>
          <w:sz w:val="24"/>
        </w:rPr>
        <w:t>requirements.txt</w:t>
      </w:r>
      <w:r>
        <w:rPr>
          <w:rFonts w:ascii="Arial" w:hAnsi="Arial"/>
          <w:sz w:val="24"/>
        </w:rPr>
        <w:t xml:space="preserve"> e executar </w:t>
      </w:r>
      <w:r>
        <w:rPr>
          <w:rFonts w:ascii="Arial" w:hAnsi="Arial"/>
          <w:i/>
          <w:sz w:val="24"/>
        </w:rPr>
        <w:t>python run_all.py</w:t>
      </w:r>
      <w:r>
        <w:rPr>
          <w:rFonts w:ascii="Arial" w:hAnsi="Arial"/>
          <w:sz w:val="24"/>
        </w:rPr>
        <w:t xml:space="preserve">. Os notebooks </w:t>
      </w:r>
      <w:r>
        <w:rPr>
          <w:rFonts w:ascii="Arial" w:hAnsi="Arial"/>
          <w:i/>
          <w:sz w:val="24"/>
        </w:rPr>
        <w:t>01_contexto_e_limpeza</w:t>
      </w:r>
      <w:r>
        <w:rPr>
          <w:rFonts w:ascii="Arial" w:hAnsi="Arial"/>
          <w:sz w:val="24"/>
        </w:rPr>
        <w:t xml:space="preserve">, </w:t>
      </w:r>
      <w:r>
        <w:rPr>
          <w:rFonts w:ascii="Arial" w:hAnsi="Arial"/>
          <w:i/>
          <w:sz w:val="24"/>
        </w:rPr>
        <w:t>02_analise_descritiva</w:t>
      </w:r>
      <w:r>
        <w:rPr>
          <w:rFonts w:ascii="Arial" w:hAnsi="Arial"/>
          <w:sz w:val="24"/>
        </w:rPr>
        <w:t xml:space="preserve"> e </w:t>
      </w:r>
      <w:r>
        <w:rPr>
          <w:rFonts w:ascii="Arial" w:hAnsi="Arial"/>
          <w:i/>
          <w:sz w:val="24"/>
        </w:rPr>
        <w:t>03_analise_inferencial</w:t>
      </w:r>
      <w:r>
        <w:rPr>
          <w:rFonts w:ascii="Arial" w:hAnsi="Arial"/>
          <w:sz w:val="24"/>
        </w:rPr>
        <w:t xml:space="preserve"> documentam cada decisão.</w:t>
      </w:r>
    </w:p>
    <w:p>
      <w:pPr>
        <w:pStyle w:val="Heading2"/>
        <w:spacing w:before="240" w:after="120"/>
      </w:pPr>
      <w:r>
        <w:rPr>
          <w:b/>
          <w:sz w:val="24"/>
        </w:rPr>
        <w:t>Apêndice A – Verificação dos pressupostos</w:t>
      </w:r>
    </w:p>
    <w:p>
      <w:pPr>
        <w:keepNext/>
        <w:spacing w:line="240" w:lineRule="auto" w:before="120" w:after="40"/>
        <w:jc w:val="center"/>
      </w:pPr>
      <w:r>
        <w:rPr>
          <w:rFonts w:ascii="Arial" w:hAnsi="Arial"/>
          <w:b/>
          <w:sz w:val="20"/>
        </w:rPr>
        <w:t>Tabela 10</w:t>
      </w:r>
      <w:r>
        <w:rPr>
          <w:rFonts w:ascii="Arial" w:hAnsi="Arial"/>
          <w:sz w:val="20"/>
        </w:rPr>
        <w:t xml:space="preserve"> – Verificação dos pressupostos dos testes</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1928"/>
        <w:gridCol w:w="2154"/>
        <w:gridCol w:w="2381"/>
        <w:gridCol w:w="2608"/>
      </w:tblGrid>
      <w:tr>
        <w:trPr>
          <w:tblHeader w:val="true"/>
          <w:cantSplit/>
        </w:trPr>
        <w:tc>
          <w:tcPr>
            <w:tcW w:type="dxa" w:w="1928"/>
            <w:shd w:val="clear" w:color="auto" w:fill="E8EEF7"/>
          </w:tcPr>
          <w:p>
            <w:pPr>
              <w:spacing w:after="20" w:before="20" w:line="240" w:lineRule="auto"/>
              <w:jc w:val="left"/>
            </w:pPr>
            <w:r/>
            <w:r>
              <w:rPr>
                <w:rFonts w:ascii="Arial" w:hAnsi="Arial"/>
                <w:b/>
                <w:sz w:val="16"/>
              </w:rPr>
              <w:t>Teste</w:t>
            </w:r>
          </w:p>
        </w:tc>
        <w:tc>
          <w:tcPr>
            <w:tcW w:type="dxa" w:w="2154"/>
            <w:shd w:val="clear" w:color="auto" w:fill="E8EEF7"/>
          </w:tcPr>
          <w:p>
            <w:pPr>
              <w:spacing w:after="20" w:before="20" w:line="240" w:lineRule="auto"/>
              <w:jc w:val="left"/>
            </w:pPr>
            <w:r/>
            <w:r>
              <w:rPr>
                <w:rFonts w:ascii="Arial" w:hAnsi="Arial"/>
                <w:b/>
                <w:sz w:val="16"/>
              </w:rPr>
              <w:t>Pressuposto</w:t>
            </w:r>
          </w:p>
        </w:tc>
        <w:tc>
          <w:tcPr>
            <w:tcW w:type="dxa" w:w="2381"/>
            <w:shd w:val="clear" w:color="auto" w:fill="E8EEF7"/>
          </w:tcPr>
          <w:p>
            <w:pPr>
              <w:spacing w:after="20" w:before="20" w:line="240" w:lineRule="auto"/>
              <w:jc w:val="left"/>
            </w:pPr>
            <w:r/>
            <w:r>
              <w:rPr>
                <w:rFonts w:ascii="Arial" w:hAnsi="Arial"/>
                <w:b/>
                <w:sz w:val="16"/>
              </w:rPr>
              <w:t>Verificação</w:t>
            </w:r>
          </w:p>
        </w:tc>
        <w:tc>
          <w:tcPr>
            <w:tcW w:type="dxa" w:w="2608"/>
            <w:shd w:val="clear" w:color="auto" w:fill="E8EEF7"/>
          </w:tcPr>
          <w:p>
            <w:pPr>
              <w:spacing w:after="20" w:before="20" w:line="240" w:lineRule="auto"/>
              <w:jc w:val="left"/>
            </w:pPr>
            <w:r/>
            <w:r>
              <w:rPr>
                <w:rFonts w:ascii="Arial" w:hAnsi="Arial"/>
                <w:b/>
                <w:sz w:val="16"/>
              </w:rPr>
              <w:t>Resultado / tratamento</w:t>
            </w:r>
          </w:p>
        </w:tc>
      </w:tr>
      <w:tr>
        <w:trPr>
          <w:cantSplit/>
        </w:trPr>
        <w:tc>
          <w:tcPr>
            <w:tcW w:type="dxa" w:w="1928"/>
          </w:tcPr>
          <w:p>
            <w:pPr>
              <w:spacing w:after="20" w:before="20" w:line="240" w:lineRule="auto"/>
              <w:jc w:val="left"/>
            </w:pPr>
            <w:r/>
            <w:r>
              <w:rPr>
                <w:rFonts w:ascii="Arial" w:hAnsi="Arial"/>
                <w:sz w:val="16"/>
              </w:rPr>
              <w:t>Todos</w:t>
            </w:r>
          </w:p>
        </w:tc>
        <w:tc>
          <w:tcPr>
            <w:tcW w:type="dxa" w:w="2154"/>
          </w:tcPr>
          <w:p>
            <w:pPr>
              <w:spacing w:after="20" w:before="20" w:line="240" w:lineRule="auto"/>
              <w:jc w:val="left"/>
            </w:pPr>
            <w:r/>
            <w:r>
              <w:rPr>
                <w:rFonts w:ascii="Arial" w:hAnsi="Arial"/>
                <w:sz w:val="16"/>
              </w:rPr>
              <w:t>Independência das observações</w:t>
            </w:r>
          </w:p>
        </w:tc>
        <w:tc>
          <w:tcPr>
            <w:tcW w:type="dxa" w:w="2381"/>
          </w:tcPr>
          <w:p>
            <w:pPr>
              <w:spacing w:after="20" w:before="20" w:line="240" w:lineRule="auto"/>
              <w:jc w:val="left"/>
            </w:pPr>
            <w:r/>
            <w:r>
              <w:rPr>
                <w:rFonts w:ascii="Arial" w:hAnsi="Arial"/>
                <w:sz w:val="16"/>
              </w:rPr>
              <w:t>1 linha = 1 funcionário; 0 duplicatas</w:t>
            </w:r>
          </w:p>
        </w:tc>
        <w:tc>
          <w:tcPr>
            <w:tcW w:type="dxa" w:w="2608"/>
          </w:tcPr>
          <w:p>
            <w:pPr>
              <w:spacing w:after="20" w:before="20" w:line="240" w:lineRule="auto"/>
              <w:jc w:val="left"/>
            </w:pPr>
            <w:r/>
            <w:r>
              <w:rPr>
                <w:rFonts w:ascii="Arial" w:hAnsi="Arial"/>
                <w:sz w:val="16"/>
              </w:rPr>
              <w:t>Atendido</w:t>
            </w:r>
          </w:p>
        </w:tc>
      </w:tr>
      <w:tr>
        <w:trPr>
          <w:cantSplit/>
        </w:trPr>
        <w:tc>
          <w:tcPr>
            <w:tcW w:type="dxa" w:w="1928"/>
          </w:tcPr>
          <w:p>
            <w:pPr>
              <w:spacing w:after="20" w:before="20" w:line="240" w:lineRule="auto"/>
              <w:jc w:val="left"/>
            </w:pPr>
            <w:r/>
            <w:r>
              <w:rPr>
                <w:rFonts w:ascii="Arial" w:hAnsi="Arial"/>
                <w:sz w:val="16"/>
              </w:rPr>
              <w:t>Qui-Quadrado (Q1, Q3, Q4)</w:t>
            </w:r>
          </w:p>
        </w:tc>
        <w:tc>
          <w:tcPr>
            <w:tcW w:type="dxa" w:w="2154"/>
          </w:tcPr>
          <w:p>
            <w:pPr>
              <w:spacing w:after="20" w:before="20" w:line="240" w:lineRule="auto"/>
              <w:jc w:val="left"/>
            </w:pPr>
            <w:r/>
            <w:r>
              <w:rPr>
                <w:rFonts w:ascii="Arial" w:hAnsi="Arial"/>
                <w:sz w:val="16"/>
              </w:rPr>
              <w:t>Frequências esperadas ≥ 5</w:t>
            </w:r>
          </w:p>
        </w:tc>
        <w:tc>
          <w:tcPr>
            <w:tcW w:type="dxa" w:w="2381"/>
          </w:tcPr>
          <w:p>
            <w:pPr>
              <w:spacing w:after="20" w:before="20" w:line="240" w:lineRule="auto"/>
              <w:jc w:val="left"/>
            </w:pPr>
            <w:r/>
            <w:r>
              <w:rPr>
                <w:rFonts w:ascii="Arial" w:hAnsi="Arial"/>
                <w:sz w:val="16"/>
              </w:rPr>
              <w:t>Menor esperada = 10,2</w:t>
            </w:r>
          </w:p>
        </w:tc>
        <w:tc>
          <w:tcPr>
            <w:tcW w:type="dxa" w:w="2608"/>
          </w:tcPr>
          <w:p>
            <w:pPr>
              <w:spacing w:after="20" w:before="20" w:line="240" w:lineRule="auto"/>
              <w:jc w:val="left"/>
            </w:pPr>
            <w:r/>
            <w:r>
              <w:rPr>
                <w:rFonts w:ascii="Arial" w:hAnsi="Arial"/>
                <w:sz w:val="16"/>
              </w:rPr>
              <w:t>Atendido</w:t>
            </w:r>
          </w:p>
        </w:tc>
      </w:tr>
      <w:tr>
        <w:trPr>
          <w:cantSplit/>
        </w:trPr>
        <w:tc>
          <w:tcPr>
            <w:tcW w:type="dxa" w:w="1928"/>
          </w:tcPr>
          <w:p>
            <w:pPr>
              <w:spacing w:after="20" w:before="20" w:line="240" w:lineRule="auto"/>
              <w:jc w:val="left"/>
            </w:pPr>
            <w:r/>
            <w:r>
              <w:rPr>
                <w:rFonts w:ascii="Arial" w:hAnsi="Arial"/>
                <w:sz w:val="16"/>
              </w:rPr>
              <w:t>Teste t (Q2)</w:t>
            </w:r>
          </w:p>
        </w:tc>
        <w:tc>
          <w:tcPr>
            <w:tcW w:type="dxa" w:w="2154"/>
          </w:tcPr>
          <w:p>
            <w:pPr>
              <w:spacing w:after="20" w:before="20" w:line="240" w:lineRule="auto"/>
              <w:jc w:val="left"/>
            </w:pPr>
            <w:r/>
            <w:r>
              <w:rPr>
                <w:rFonts w:ascii="Arial" w:hAnsi="Arial"/>
                <w:sz w:val="16"/>
              </w:rPr>
              <w:t>Normalidade (Shapiro-Wilk)</w:t>
            </w:r>
          </w:p>
        </w:tc>
        <w:tc>
          <w:tcPr>
            <w:tcW w:type="dxa" w:w="2381"/>
          </w:tcPr>
          <w:p>
            <w:pPr>
              <w:spacing w:after="20" w:before="20" w:line="240" w:lineRule="auto"/>
              <w:jc w:val="left"/>
            </w:pPr>
            <w:r/>
            <w:r>
              <w:rPr>
                <w:rFonts w:ascii="Arial" w:hAnsi="Arial"/>
                <w:sz w:val="16"/>
              </w:rPr>
              <w:t>Rejeitada (assimetria 1,9 e 1,3)</w:t>
            </w:r>
          </w:p>
        </w:tc>
        <w:tc>
          <w:tcPr>
            <w:tcW w:type="dxa" w:w="2608"/>
          </w:tcPr>
          <w:p>
            <w:pPr>
              <w:spacing w:after="20" w:before="20" w:line="240" w:lineRule="auto"/>
              <w:jc w:val="left"/>
            </w:pPr>
            <w:r/>
            <w:r>
              <w:rPr>
                <w:rFonts w:ascii="Arial" w:hAnsi="Arial"/>
                <w:sz w:val="16"/>
              </w:rPr>
              <w:t>Contornado pelo TCL (n = 237 e 1.233) e pela escala log</w:t>
            </w:r>
          </w:p>
        </w:tc>
      </w:tr>
      <w:tr>
        <w:trPr>
          <w:cantSplit/>
        </w:trPr>
        <w:tc>
          <w:tcPr>
            <w:tcW w:type="dxa" w:w="1928"/>
          </w:tcPr>
          <w:p>
            <w:pPr>
              <w:spacing w:after="20" w:before="20" w:line="240" w:lineRule="auto"/>
              <w:jc w:val="left"/>
            </w:pPr>
            <w:r/>
            <w:r>
              <w:rPr>
                <w:rFonts w:ascii="Arial" w:hAnsi="Arial"/>
                <w:sz w:val="16"/>
              </w:rPr>
              <w:t>Teste t (Q2)</w:t>
            </w:r>
          </w:p>
        </w:tc>
        <w:tc>
          <w:tcPr>
            <w:tcW w:type="dxa" w:w="2154"/>
          </w:tcPr>
          <w:p>
            <w:pPr>
              <w:spacing w:after="20" w:before="20" w:line="240" w:lineRule="auto"/>
              <w:jc w:val="left"/>
            </w:pPr>
            <w:r/>
            <w:r>
              <w:rPr>
                <w:rFonts w:ascii="Arial" w:hAnsi="Arial"/>
                <w:sz w:val="16"/>
              </w:rPr>
              <w:t>Igualdade de variâncias (Levene)</w:t>
            </w:r>
          </w:p>
        </w:tc>
        <w:tc>
          <w:tcPr>
            <w:tcW w:type="dxa" w:w="2381"/>
          </w:tcPr>
          <w:p>
            <w:pPr>
              <w:spacing w:after="20" w:before="20" w:line="240" w:lineRule="auto"/>
              <w:jc w:val="left"/>
            </w:pPr>
            <w:r/>
            <w:r>
              <w:rPr>
                <w:rFonts w:ascii="Arial" w:hAnsi="Arial"/>
                <w:sz w:val="16"/>
              </w:rPr>
              <w:t>Rejeitada (p &lt; 0,001)</w:t>
            </w:r>
          </w:p>
        </w:tc>
        <w:tc>
          <w:tcPr>
            <w:tcW w:type="dxa" w:w="2608"/>
          </w:tcPr>
          <w:p>
            <w:pPr>
              <w:spacing w:after="20" w:before="20" w:line="240" w:lineRule="auto"/>
              <w:jc w:val="left"/>
            </w:pPr>
            <w:r/>
            <w:r>
              <w:rPr>
                <w:rFonts w:ascii="Arial" w:hAnsi="Arial"/>
                <w:sz w:val="16"/>
              </w:rPr>
              <w:t>Usado t de Welch</w:t>
            </w:r>
          </w:p>
        </w:tc>
      </w:tr>
      <w:tr>
        <w:trPr>
          <w:cantSplit/>
        </w:trPr>
        <w:tc>
          <w:tcPr>
            <w:tcW w:type="dxa" w:w="1928"/>
          </w:tcPr>
          <w:p>
            <w:pPr>
              <w:spacing w:after="20" w:before="20" w:line="240" w:lineRule="auto"/>
              <w:jc w:val="left"/>
            </w:pPr>
            <w:r/>
            <w:r>
              <w:rPr>
                <w:rFonts w:ascii="Arial" w:hAnsi="Arial"/>
                <w:sz w:val="16"/>
              </w:rPr>
              <w:t>Teste t (Q5a)</w:t>
            </w:r>
          </w:p>
        </w:tc>
        <w:tc>
          <w:tcPr>
            <w:tcW w:type="dxa" w:w="2154"/>
          </w:tcPr>
          <w:p>
            <w:pPr>
              <w:spacing w:after="20" w:before="20" w:line="240" w:lineRule="auto"/>
              <w:jc w:val="left"/>
            </w:pPr>
            <w:r/>
            <w:r>
              <w:rPr>
                <w:rFonts w:ascii="Arial" w:hAnsi="Arial"/>
                <w:sz w:val="16"/>
              </w:rPr>
              <w:t>Igualdade de variâncias (Levene)</w:t>
            </w:r>
          </w:p>
        </w:tc>
        <w:tc>
          <w:tcPr>
            <w:tcW w:type="dxa" w:w="2381"/>
          </w:tcPr>
          <w:p>
            <w:pPr>
              <w:spacing w:after="20" w:before="20" w:line="240" w:lineRule="auto"/>
              <w:jc w:val="left"/>
            </w:pPr>
            <w:r/>
            <w:r>
              <w:rPr>
                <w:rFonts w:ascii="Arial" w:hAnsi="Arial"/>
                <w:sz w:val="16"/>
              </w:rPr>
              <w:t>Rejeitada (p &lt; 0,001)</w:t>
            </w:r>
          </w:p>
        </w:tc>
        <w:tc>
          <w:tcPr>
            <w:tcW w:type="dxa" w:w="2608"/>
          </w:tcPr>
          <w:p>
            <w:pPr>
              <w:spacing w:after="20" w:before="20" w:line="240" w:lineRule="auto"/>
              <w:jc w:val="left"/>
            </w:pPr>
            <w:r/>
            <w:r>
              <w:rPr>
                <w:rFonts w:ascii="Arial" w:hAnsi="Arial"/>
                <w:sz w:val="16"/>
              </w:rPr>
              <w:t>Usado t de Welch</w:t>
            </w:r>
          </w:p>
        </w:tc>
      </w:tr>
      <w:tr>
        <w:trPr>
          <w:cantSplit/>
        </w:trPr>
        <w:tc>
          <w:tcPr>
            <w:tcW w:type="dxa" w:w="1928"/>
          </w:tcPr>
          <w:p>
            <w:pPr>
              <w:spacing w:after="20" w:before="20" w:line="240" w:lineRule="auto"/>
              <w:jc w:val="left"/>
            </w:pPr>
            <w:r/>
            <w:r>
              <w:rPr>
                <w:rFonts w:ascii="Arial" w:hAnsi="Arial"/>
                <w:sz w:val="16"/>
              </w:rPr>
              <w:t>ANOVA (Q5b)</w:t>
            </w:r>
          </w:p>
        </w:tc>
        <w:tc>
          <w:tcPr>
            <w:tcW w:type="dxa" w:w="2154"/>
          </w:tcPr>
          <w:p>
            <w:pPr>
              <w:spacing w:after="20" w:before="20" w:line="240" w:lineRule="auto"/>
              <w:jc w:val="left"/>
            </w:pPr>
            <w:r/>
            <w:r>
              <w:rPr>
                <w:rFonts w:ascii="Arial" w:hAnsi="Arial"/>
                <w:sz w:val="16"/>
              </w:rPr>
              <w:t>Igualdade de variâncias (Levene)</w:t>
            </w:r>
          </w:p>
        </w:tc>
        <w:tc>
          <w:tcPr>
            <w:tcW w:type="dxa" w:w="2381"/>
          </w:tcPr>
          <w:p>
            <w:pPr>
              <w:spacing w:after="20" w:before="20" w:line="240" w:lineRule="auto"/>
              <w:jc w:val="left"/>
            </w:pPr>
            <w:r/>
            <w:r>
              <w:rPr>
                <w:rFonts w:ascii="Arial" w:hAnsi="Arial"/>
                <w:sz w:val="16"/>
              </w:rPr>
              <w:t>p = 0,72</w:t>
            </w:r>
          </w:p>
        </w:tc>
        <w:tc>
          <w:tcPr>
            <w:tcW w:type="dxa" w:w="2608"/>
          </w:tcPr>
          <w:p>
            <w:pPr>
              <w:spacing w:after="20" w:before="20" w:line="240" w:lineRule="auto"/>
              <w:jc w:val="left"/>
            </w:pPr>
            <w:r/>
            <w:r>
              <w:rPr>
                <w:rFonts w:ascii="Arial" w:hAnsi="Arial"/>
                <w:sz w:val="16"/>
              </w:rPr>
              <w:t>Atendido: ANOVA clássica</w:t>
            </w:r>
          </w:p>
        </w:tc>
      </w:tr>
      <w:tr>
        <w:trPr>
          <w:cantSplit/>
        </w:trPr>
        <w:tc>
          <w:tcPr>
            <w:tcW w:type="dxa" w:w="1928"/>
          </w:tcPr>
          <w:p>
            <w:pPr>
              <w:spacing w:after="20" w:before="20" w:line="240" w:lineRule="auto"/>
              <w:jc w:val="left"/>
            </w:pPr>
            <w:r/>
            <w:r>
              <w:rPr>
                <w:rFonts w:ascii="Arial" w:hAnsi="Arial"/>
                <w:sz w:val="16"/>
              </w:rPr>
              <w:t>ANOVA (Q5b)</w:t>
            </w:r>
          </w:p>
        </w:tc>
        <w:tc>
          <w:tcPr>
            <w:tcW w:type="dxa" w:w="2154"/>
          </w:tcPr>
          <w:p>
            <w:pPr>
              <w:spacing w:after="20" w:before="20" w:line="240" w:lineRule="auto"/>
              <w:jc w:val="left"/>
            </w:pPr>
            <w:r/>
            <w:r>
              <w:rPr>
                <w:rFonts w:ascii="Arial" w:hAnsi="Arial"/>
                <w:sz w:val="16"/>
              </w:rPr>
              <w:t>Normalidade dos resíduos</w:t>
            </w:r>
          </w:p>
        </w:tc>
        <w:tc>
          <w:tcPr>
            <w:tcW w:type="dxa" w:w="2381"/>
          </w:tcPr>
          <w:p>
            <w:pPr>
              <w:spacing w:after="20" w:before="20" w:line="240" w:lineRule="auto"/>
              <w:jc w:val="left"/>
            </w:pPr>
            <w:r/>
            <w:r>
              <w:rPr>
                <w:rFonts w:ascii="Arial" w:hAnsi="Arial"/>
                <w:sz w:val="16"/>
              </w:rPr>
              <w:t>Rejeitada</w:t>
            </w:r>
          </w:p>
        </w:tc>
        <w:tc>
          <w:tcPr>
            <w:tcW w:type="dxa" w:w="2608"/>
          </w:tcPr>
          <w:p>
            <w:pPr>
              <w:spacing w:after="20" w:before="20" w:line="240" w:lineRule="auto"/>
              <w:jc w:val="left"/>
            </w:pPr>
            <w:r/>
            <w:r>
              <w:rPr>
                <w:rFonts w:ascii="Arial" w:hAnsi="Arial"/>
                <w:sz w:val="16"/>
              </w:rPr>
              <w:t>Contornado pelo TCL (n ≥ 83 por grupo)</w:t>
            </w:r>
          </w:p>
        </w:tc>
      </w:tr>
      <w:tr>
        <w:trPr>
          <w:cantSplit/>
        </w:trPr>
        <w:tc>
          <w:tcPr>
            <w:tcW w:type="dxa" w:w="1928"/>
          </w:tcPr>
          <w:p>
            <w:pPr>
              <w:spacing w:after="20" w:before="20" w:line="240" w:lineRule="auto"/>
              <w:jc w:val="left"/>
            </w:pPr>
            <w:r/>
            <w:r>
              <w:rPr>
                <w:rFonts w:ascii="Arial" w:hAnsi="Arial"/>
                <w:sz w:val="16"/>
              </w:rPr>
              <w:t>Correlação (Q5c)</w:t>
            </w:r>
          </w:p>
        </w:tc>
        <w:tc>
          <w:tcPr>
            <w:tcW w:type="dxa" w:w="2154"/>
          </w:tcPr>
          <w:p>
            <w:pPr>
              <w:spacing w:after="20" w:before="20" w:line="240" w:lineRule="auto"/>
              <w:jc w:val="left"/>
            </w:pPr>
            <w:r/>
            <w:r>
              <w:rPr>
                <w:rFonts w:ascii="Arial" w:hAnsi="Arial"/>
                <w:sz w:val="16"/>
              </w:rPr>
              <w:t>Linearidade / outliers</w:t>
            </w:r>
          </w:p>
        </w:tc>
        <w:tc>
          <w:tcPr>
            <w:tcW w:type="dxa" w:w="2381"/>
          </w:tcPr>
          <w:p>
            <w:pPr>
              <w:spacing w:after="20" w:before="20" w:line="240" w:lineRule="auto"/>
              <w:jc w:val="left"/>
            </w:pPr>
            <w:r/>
            <w:r>
              <w:rPr>
                <w:rFonts w:ascii="Arial" w:hAnsi="Arial"/>
                <w:sz w:val="16"/>
              </w:rPr>
              <w:t>Renda assimétrica, sem padrão linear</w:t>
            </w:r>
          </w:p>
        </w:tc>
        <w:tc>
          <w:tcPr>
            <w:tcW w:type="dxa" w:w="2608"/>
          </w:tcPr>
          <w:p>
            <w:pPr>
              <w:spacing w:after="20" w:before="20" w:line="240" w:lineRule="auto"/>
              <w:jc w:val="left"/>
            </w:pPr>
            <w:r/>
            <w:r>
              <w:rPr>
                <w:rFonts w:ascii="Arial" w:hAnsi="Arial"/>
                <w:sz w:val="16"/>
              </w:rPr>
              <w:t>Usado Spearman</w:t>
            </w:r>
          </w:p>
        </w:tc>
      </w:tr>
    </w:tbl>
    <w:p>
      <w:pPr>
        <w:keepNext w:val="0"/>
        <w:spacing w:line="240" w:lineRule="auto" w:before="40" w:after="200"/>
        <w:jc w:val="left"/>
      </w:pPr>
      <w:r>
        <w:rPr>
          <w:rFonts w:ascii="Arial" w:hAnsi="Arial"/>
          <w:sz w:val="20"/>
        </w:rPr>
        <w:t>Fonte: elaboração própria a partir de IBM HR Analytics (Kaggle, 2017).</w:t>
      </w:r>
    </w:p>
    <w:p>
      <w:pPr>
        <w:keepNext/>
        <w:spacing w:line="240" w:lineRule="auto" w:before="120" w:after="40"/>
        <w:jc w:val="center"/>
      </w:pPr>
      <w:r>
        <w:rPr>
          <w:rFonts w:ascii="Arial" w:hAnsi="Arial"/>
          <w:b/>
          <w:sz w:val="20"/>
        </w:rPr>
        <w:t>Figura 13</w:t>
      </w:r>
      <w:r>
        <w:rPr>
          <w:rFonts w:ascii="Arial" w:hAnsi="Arial"/>
          <w:sz w:val="20"/>
        </w:rPr>
        <w:t xml:space="preserve"> – Gráficos Q-Q da renda mensal (escala original e logarítmica)</w:t>
      </w:r>
    </w:p>
    <w:p>
      <w:pPr>
        <w:keepNext/>
        <w:spacing w:after="0"/>
        <w:jc w:val="center"/>
      </w:pPr>
      <w:r>
        <w:drawing>
          <wp:inline>
            <wp:extent cx="4680000" cy="3716317"/>
            <wp:docPr id="13" name="Picture 13"/>
            <wp:cNvGraphicFramePr>
              <a:graphicFrameLocks noChangeAspect="1"/>
            </wp:cNvGraphicFramePr>
            <a:graphic>
              <a:graphicData uri="http://schemas.openxmlformats.org/drawingml/2006/picture">
                <pic:pic>
                  <pic:nvPicPr>
                    <pic:cNvPr id="0" name="fig12_pressupostos_qq.png"/>
                    <pic:cNvPicPr/>
                  </pic:nvPicPr>
                  <pic:blipFill>
                    <a:blip r:embed="rId22"/>
                    <a:stretch>
                      <a:fillRect/>
                    </a:stretch>
                  </pic:blipFill>
                  <pic:spPr>
                    <a:xfrm>
                      <a:off x="0" y="0"/>
                      <a:ext cx="4680000" cy="3716317"/>
                    </a:xfrm>
                    <a:prstGeom prst="rect"/>
                  </pic:spPr>
                </pic:pic>
              </a:graphicData>
            </a:graphic>
          </wp:inline>
        </w:drawing>
      </w:r>
    </w:p>
    <w:p>
      <w:pPr>
        <w:keepNext w:val="0"/>
        <w:spacing w:line="240" w:lineRule="auto" w:before="40" w:after="200"/>
        <w:jc w:val="left"/>
      </w:pPr>
      <w:r>
        <w:rPr>
          <w:rFonts w:ascii="Arial" w:hAnsi="Arial"/>
          <w:sz w:val="20"/>
        </w:rPr>
        <w:t>Pontos próximos da reta indicam distribuição aproximadamente normal. Fonte: elaboração própria a partir de IBM HR Analytics (Kaggle, 2017).</w:t>
      </w:r>
    </w:p>
    <w:p>
      <w:pPr>
        <w:pStyle w:val="Heading2"/>
        <w:spacing w:before="240" w:after="120"/>
      </w:pPr>
      <w:r>
        <w:rPr>
          <w:b/>
          <w:sz w:val="24"/>
        </w:rPr>
        <w:t>Apêndice B – Dicionário de dados resumido</w:t>
      </w:r>
    </w:p>
    <w:p>
      <w:pPr>
        <w:keepNext/>
        <w:spacing w:line="240" w:lineRule="auto" w:before="120" w:after="40"/>
        <w:jc w:val="center"/>
      </w:pPr>
      <w:r>
        <w:rPr>
          <w:rFonts w:ascii="Arial" w:hAnsi="Arial"/>
          <w:b/>
          <w:sz w:val="20"/>
        </w:rPr>
        <w:t>Tabela 11</w:t>
      </w:r>
      <w:r>
        <w:rPr>
          <w:rFonts w:ascii="Arial" w:hAnsi="Arial"/>
          <w:sz w:val="20"/>
        </w:rPr>
        <w:t xml:space="preserve"> – Variáveis analisadas, descrição e tipo estatístico</w:t>
      </w:r>
    </w:p>
    <w:tbl>
      <w:tblPr>
        <w:tblW w:type="auto" w:w="0"/>
        <w:jc w:val="center"/>
        <w:tblLayout w:type="fixed"/>
        <w:tblLook w:firstColumn="1" w:firstRow="1" w:lastColumn="0" w:lastRow="0" w:noHBand="0" w:noVBand="1" w:val="04A0"/>
        <w:tblBorders>
          <w:top w:val="single" w:sz="10" w:color="404040"/>
          <w:bottom w:val="single" w:sz="10" w:color="404040"/>
          <w:insideH w:val="single" w:sz="6" w:color="BFBFBF"/>
        </w:tblBorders>
      </w:tblPr>
      <w:tblGrid>
        <w:gridCol w:w="2835"/>
        <w:gridCol w:w="3402"/>
        <w:gridCol w:w="2835"/>
      </w:tblGrid>
      <w:tr>
        <w:trPr>
          <w:tblHeader w:val="true"/>
          <w:cantSplit/>
        </w:trPr>
        <w:tc>
          <w:tcPr>
            <w:tcW w:type="dxa" w:w="2835"/>
            <w:shd w:val="clear" w:color="auto" w:fill="E8EEF7"/>
          </w:tcPr>
          <w:p>
            <w:pPr>
              <w:spacing w:after="20" w:before="20" w:line="240" w:lineRule="auto"/>
              <w:jc w:val="left"/>
            </w:pPr>
            <w:r/>
            <w:r>
              <w:rPr>
                <w:rFonts w:ascii="Arial" w:hAnsi="Arial"/>
                <w:b/>
                <w:sz w:val="16"/>
              </w:rPr>
              <w:t>Variável (original)</w:t>
            </w:r>
          </w:p>
        </w:tc>
        <w:tc>
          <w:tcPr>
            <w:tcW w:type="dxa" w:w="3402"/>
            <w:shd w:val="clear" w:color="auto" w:fill="E8EEF7"/>
          </w:tcPr>
          <w:p>
            <w:pPr>
              <w:spacing w:after="20" w:before="20" w:line="240" w:lineRule="auto"/>
              <w:jc w:val="left"/>
            </w:pPr>
            <w:r/>
            <w:r>
              <w:rPr>
                <w:rFonts w:ascii="Arial" w:hAnsi="Arial"/>
                <w:b/>
                <w:sz w:val="16"/>
              </w:rPr>
              <w:t>Descrição</w:t>
            </w:r>
          </w:p>
        </w:tc>
        <w:tc>
          <w:tcPr>
            <w:tcW w:type="dxa" w:w="2835"/>
            <w:shd w:val="clear" w:color="auto" w:fill="E8EEF7"/>
          </w:tcPr>
          <w:p>
            <w:pPr>
              <w:spacing w:after="20" w:before="20" w:line="240" w:lineRule="auto"/>
              <w:jc w:val="left"/>
            </w:pPr>
            <w:r/>
            <w:r>
              <w:rPr>
                <w:rFonts w:ascii="Arial" w:hAnsi="Arial"/>
                <w:b/>
                <w:sz w:val="16"/>
              </w:rPr>
              <w:t>Tipo</w:t>
            </w:r>
          </w:p>
        </w:tc>
      </w:tr>
      <w:tr>
        <w:trPr>
          <w:cantSplit/>
        </w:trPr>
        <w:tc>
          <w:tcPr>
            <w:tcW w:type="dxa" w:w="2835"/>
          </w:tcPr>
          <w:p>
            <w:pPr>
              <w:spacing w:after="20" w:before="20" w:line="240" w:lineRule="auto"/>
              <w:jc w:val="left"/>
            </w:pPr>
            <w:r/>
            <w:r>
              <w:rPr>
                <w:rFonts w:ascii="Arial" w:hAnsi="Arial"/>
                <w:sz w:val="16"/>
              </w:rPr>
              <w:t>Age</w:t>
            </w:r>
          </w:p>
        </w:tc>
        <w:tc>
          <w:tcPr>
            <w:tcW w:type="dxa" w:w="3402"/>
          </w:tcPr>
          <w:p>
            <w:pPr>
              <w:spacing w:after="20" w:before="20" w:line="240" w:lineRule="auto"/>
              <w:jc w:val="left"/>
            </w:pPr>
            <w:r/>
            <w:r>
              <w:rPr>
                <w:rFonts w:ascii="Arial" w:hAnsi="Arial"/>
                <w:sz w:val="16"/>
              </w:rPr>
              <w:t>Idade</w:t>
            </w:r>
          </w:p>
        </w:tc>
        <w:tc>
          <w:tcPr>
            <w:tcW w:type="dxa" w:w="2835"/>
          </w:tcPr>
          <w:p>
            <w:pPr>
              <w:spacing w:after="20" w:before="20" w:line="240" w:lineRule="auto"/>
              <w:jc w:val="left"/>
            </w:pPr>
            <w:r/>
            <w:r>
              <w:rPr>
                <w:rFonts w:ascii="Arial" w:hAnsi="Arial"/>
                <w:sz w:val="16"/>
              </w:rPr>
              <w:t>Quantitativa contínua</w:t>
            </w:r>
          </w:p>
        </w:tc>
      </w:tr>
      <w:tr>
        <w:trPr>
          <w:cantSplit/>
        </w:trPr>
        <w:tc>
          <w:tcPr>
            <w:tcW w:type="dxa" w:w="2835"/>
          </w:tcPr>
          <w:p>
            <w:pPr>
              <w:spacing w:after="20" w:before="20" w:line="240" w:lineRule="auto"/>
              <w:jc w:val="left"/>
            </w:pPr>
            <w:r/>
            <w:r>
              <w:rPr>
                <w:rFonts w:ascii="Arial" w:hAnsi="Arial"/>
                <w:sz w:val="16"/>
              </w:rPr>
              <w:t>MonthlyIncome</w:t>
            </w:r>
          </w:p>
        </w:tc>
        <w:tc>
          <w:tcPr>
            <w:tcW w:type="dxa" w:w="3402"/>
          </w:tcPr>
          <w:p>
            <w:pPr>
              <w:spacing w:after="20" w:before="20" w:line="240" w:lineRule="auto"/>
              <w:jc w:val="left"/>
            </w:pPr>
            <w:r/>
            <w:r>
              <w:rPr>
                <w:rFonts w:ascii="Arial" w:hAnsi="Arial"/>
                <w:sz w:val="16"/>
              </w:rPr>
              <w:t>Renda mensal (US$)</w:t>
            </w:r>
          </w:p>
        </w:tc>
        <w:tc>
          <w:tcPr>
            <w:tcW w:type="dxa" w:w="2835"/>
          </w:tcPr>
          <w:p>
            <w:pPr>
              <w:spacing w:after="20" w:before="20" w:line="240" w:lineRule="auto"/>
              <w:jc w:val="left"/>
            </w:pPr>
            <w:r/>
            <w:r>
              <w:rPr>
                <w:rFonts w:ascii="Arial" w:hAnsi="Arial"/>
                <w:sz w:val="16"/>
              </w:rPr>
              <w:t>Quantitativa contínua</w:t>
            </w:r>
          </w:p>
        </w:tc>
      </w:tr>
      <w:tr>
        <w:trPr>
          <w:cantSplit/>
        </w:trPr>
        <w:tc>
          <w:tcPr>
            <w:tcW w:type="dxa" w:w="2835"/>
          </w:tcPr>
          <w:p>
            <w:pPr>
              <w:spacing w:after="20" w:before="20" w:line="240" w:lineRule="auto"/>
              <w:jc w:val="left"/>
            </w:pPr>
            <w:r/>
            <w:r>
              <w:rPr>
                <w:rFonts w:ascii="Arial" w:hAnsi="Arial"/>
                <w:sz w:val="16"/>
              </w:rPr>
              <w:t>DistanceFromHome</w:t>
            </w:r>
          </w:p>
        </w:tc>
        <w:tc>
          <w:tcPr>
            <w:tcW w:type="dxa" w:w="3402"/>
          </w:tcPr>
          <w:p>
            <w:pPr>
              <w:spacing w:after="20" w:before="20" w:line="240" w:lineRule="auto"/>
              <w:jc w:val="left"/>
            </w:pPr>
            <w:r/>
            <w:r>
              <w:rPr>
                <w:rFonts w:ascii="Arial" w:hAnsi="Arial"/>
                <w:sz w:val="16"/>
              </w:rPr>
              <w:t>Distância de casa (km)</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NumCompaniesWorked</w:t>
            </w:r>
          </w:p>
        </w:tc>
        <w:tc>
          <w:tcPr>
            <w:tcW w:type="dxa" w:w="3402"/>
          </w:tcPr>
          <w:p>
            <w:pPr>
              <w:spacing w:after="20" w:before="20" w:line="240" w:lineRule="auto"/>
              <w:jc w:val="left"/>
            </w:pPr>
            <w:r/>
            <w:r>
              <w:rPr>
                <w:rFonts w:ascii="Arial" w:hAnsi="Arial"/>
                <w:sz w:val="16"/>
              </w:rPr>
              <w:t>Nº de empresas anteriores</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PercentSalaryHike</w:t>
            </w:r>
          </w:p>
        </w:tc>
        <w:tc>
          <w:tcPr>
            <w:tcW w:type="dxa" w:w="3402"/>
          </w:tcPr>
          <w:p>
            <w:pPr>
              <w:spacing w:after="20" w:before="20" w:line="240" w:lineRule="auto"/>
              <w:jc w:val="left"/>
            </w:pPr>
            <w:r/>
            <w:r>
              <w:rPr>
                <w:rFonts w:ascii="Arial" w:hAnsi="Arial"/>
                <w:sz w:val="16"/>
              </w:rPr>
              <w:t>Reajuste salarial (%)</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TotalWorkingYears</w:t>
            </w:r>
          </w:p>
        </w:tc>
        <w:tc>
          <w:tcPr>
            <w:tcW w:type="dxa" w:w="3402"/>
          </w:tcPr>
          <w:p>
            <w:pPr>
              <w:spacing w:after="20" w:before="20" w:line="240" w:lineRule="auto"/>
              <w:jc w:val="left"/>
            </w:pPr>
            <w:r/>
            <w:r>
              <w:rPr>
                <w:rFonts w:ascii="Arial" w:hAnsi="Arial"/>
                <w:sz w:val="16"/>
              </w:rPr>
              <w:t>Anos de experiência total</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TrainingTimesLastYear</w:t>
            </w:r>
          </w:p>
        </w:tc>
        <w:tc>
          <w:tcPr>
            <w:tcW w:type="dxa" w:w="3402"/>
          </w:tcPr>
          <w:p>
            <w:pPr>
              <w:spacing w:after="20" w:before="20" w:line="240" w:lineRule="auto"/>
              <w:jc w:val="left"/>
            </w:pPr>
            <w:r/>
            <w:r>
              <w:rPr>
                <w:rFonts w:ascii="Arial" w:hAnsi="Arial"/>
                <w:sz w:val="16"/>
              </w:rPr>
              <w:t>Treinamentos no último ano</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YearsAtCompany</w:t>
            </w:r>
          </w:p>
        </w:tc>
        <w:tc>
          <w:tcPr>
            <w:tcW w:type="dxa" w:w="3402"/>
          </w:tcPr>
          <w:p>
            <w:pPr>
              <w:spacing w:after="20" w:before="20" w:line="240" w:lineRule="auto"/>
              <w:jc w:val="left"/>
            </w:pPr>
            <w:r/>
            <w:r>
              <w:rPr>
                <w:rFonts w:ascii="Arial" w:hAnsi="Arial"/>
                <w:sz w:val="16"/>
              </w:rPr>
              <w:t>Anos na empresa</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YearsInCurrentRole</w:t>
            </w:r>
          </w:p>
        </w:tc>
        <w:tc>
          <w:tcPr>
            <w:tcW w:type="dxa" w:w="3402"/>
          </w:tcPr>
          <w:p>
            <w:pPr>
              <w:spacing w:after="20" w:before="20" w:line="240" w:lineRule="auto"/>
              <w:jc w:val="left"/>
            </w:pPr>
            <w:r/>
            <w:r>
              <w:rPr>
                <w:rFonts w:ascii="Arial" w:hAnsi="Arial"/>
                <w:sz w:val="16"/>
              </w:rPr>
              <w:t>Anos no cargo atual</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YearsSinceLastPromotion</w:t>
            </w:r>
          </w:p>
        </w:tc>
        <w:tc>
          <w:tcPr>
            <w:tcW w:type="dxa" w:w="3402"/>
          </w:tcPr>
          <w:p>
            <w:pPr>
              <w:spacing w:after="20" w:before="20" w:line="240" w:lineRule="auto"/>
              <w:jc w:val="left"/>
            </w:pPr>
            <w:r/>
            <w:r>
              <w:rPr>
                <w:rFonts w:ascii="Arial" w:hAnsi="Arial"/>
                <w:sz w:val="16"/>
              </w:rPr>
              <w:t>Anos desde a última promoção</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YearsWithCurrManager</w:t>
            </w:r>
          </w:p>
        </w:tc>
        <w:tc>
          <w:tcPr>
            <w:tcW w:type="dxa" w:w="3402"/>
          </w:tcPr>
          <w:p>
            <w:pPr>
              <w:spacing w:after="20" w:before="20" w:line="240" w:lineRule="auto"/>
              <w:jc w:val="left"/>
            </w:pPr>
            <w:r/>
            <w:r>
              <w:rPr>
                <w:rFonts w:ascii="Arial" w:hAnsi="Arial"/>
                <w:sz w:val="16"/>
              </w:rPr>
              <w:t>Anos com o gestor atual</w:t>
            </w:r>
          </w:p>
        </w:tc>
        <w:tc>
          <w:tcPr>
            <w:tcW w:type="dxa" w:w="2835"/>
          </w:tcPr>
          <w:p>
            <w:pPr>
              <w:spacing w:after="20" w:before="20" w:line="240" w:lineRule="auto"/>
              <w:jc w:val="left"/>
            </w:pPr>
            <w:r/>
            <w:r>
              <w:rPr>
                <w:rFonts w:ascii="Arial" w:hAnsi="Arial"/>
                <w:sz w:val="16"/>
              </w:rPr>
              <w:t>Quantitativa discreta</w:t>
            </w:r>
          </w:p>
        </w:tc>
      </w:tr>
      <w:tr>
        <w:trPr>
          <w:cantSplit/>
        </w:trPr>
        <w:tc>
          <w:tcPr>
            <w:tcW w:type="dxa" w:w="2835"/>
          </w:tcPr>
          <w:p>
            <w:pPr>
              <w:spacing w:after="20" w:before="20" w:line="240" w:lineRule="auto"/>
              <w:jc w:val="left"/>
            </w:pPr>
            <w:r/>
            <w:r>
              <w:rPr>
                <w:rFonts w:ascii="Arial" w:hAnsi="Arial"/>
                <w:sz w:val="16"/>
              </w:rPr>
              <w:t>Attrition</w:t>
            </w:r>
          </w:p>
        </w:tc>
        <w:tc>
          <w:tcPr>
            <w:tcW w:type="dxa" w:w="3402"/>
          </w:tcPr>
          <w:p>
            <w:pPr>
              <w:spacing w:after="20" w:before="20" w:line="240" w:lineRule="auto"/>
              <w:jc w:val="left"/>
            </w:pPr>
            <w:r/>
            <w:r>
              <w:rPr>
                <w:rFonts w:ascii="Arial" w:hAnsi="Arial"/>
                <w:sz w:val="16"/>
              </w:rPr>
              <w:t>Rotatividade (saiu?)</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Department</w:t>
            </w:r>
          </w:p>
        </w:tc>
        <w:tc>
          <w:tcPr>
            <w:tcW w:type="dxa" w:w="3402"/>
          </w:tcPr>
          <w:p>
            <w:pPr>
              <w:spacing w:after="20" w:before="20" w:line="240" w:lineRule="auto"/>
              <w:jc w:val="left"/>
            </w:pPr>
            <w:r/>
            <w:r>
              <w:rPr>
                <w:rFonts w:ascii="Arial" w:hAnsi="Arial"/>
                <w:sz w:val="16"/>
              </w:rPr>
              <w:t>Departamento</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JobRole</w:t>
            </w:r>
          </w:p>
        </w:tc>
        <w:tc>
          <w:tcPr>
            <w:tcW w:type="dxa" w:w="3402"/>
          </w:tcPr>
          <w:p>
            <w:pPr>
              <w:spacing w:after="20" w:before="20" w:line="240" w:lineRule="auto"/>
              <w:jc w:val="left"/>
            </w:pPr>
            <w:r/>
            <w:r>
              <w:rPr>
                <w:rFonts w:ascii="Arial" w:hAnsi="Arial"/>
                <w:sz w:val="16"/>
              </w:rPr>
              <w:t>Cargo</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EducationField</w:t>
            </w:r>
          </w:p>
        </w:tc>
        <w:tc>
          <w:tcPr>
            <w:tcW w:type="dxa" w:w="3402"/>
          </w:tcPr>
          <w:p>
            <w:pPr>
              <w:spacing w:after="20" w:before="20" w:line="240" w:lineRule="auto"/>
              <w:jc w:val="left"/>
            </w:pPr>
            <w:r/>
            <w:r>
              <w:rPr>
                <w:rFonts w:ascii="Arial" w:hAnsi="Arial"/>
                <w:sz w:val="16"/>
              </w:rPr>
              <w:t>Área de formação</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Gender</w:t>
            </w:r>
          </w:p>
        </w:tc>
        <w:tc>
          <w:tcPr>
            <w:tcW w:type="dxa" w:w="3402"/>
          </w:tcPr>
          <w:p>
            <w:pPr>
              <w:spacing w:after="20" w:before="20" w:line="240" w:lineRule="auto"/>
              <w:jc w:val="left"/>
            </w:pPr>
            <w:r/>
            <w:r>
              <w:rPr>
                <w:rFonts w:ascii="Arial" w:hAnsi="Arial"/>
                <w:sz w:val="16"/>
              </w:rPr>
              <w:t>Gênero</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MaritalStatus</w:t>
            </w:r>
          </w:p>
        </w:tc>
        <w:tc>
          <w:tcPr>
            <w:tcW w:type="dxa" w:w="3402"/>
          </w:tcPr>
          <w:p>
            <w:pPr>
              <w:spacing w:after="20" w:before="20" w:line="240" w:lineRule="auto"/>
              <w:jc w:val="left"/>
            </w:pPr>
            <w:r/>
            <w:r>
              <w:rPr>
                <w:rFonts w:ascii="Arial" w:hAnsi="Arial"/>
                <w:sz w:val="16"/>
              </w:rPr>
              <w:t>Estado civil</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OverTime</w:t>
            </w:r>
          </w:p>
        </w:tc>
        <w:tc>
          <w:tcPr>
            <w:tcW w:type="dxa" w:w="3402"/>
          </w:tcPr>
          <w:p>
            <w:pPr>
              <w:spacing w:after="20" w:before="20" w:line="240" w:lineRule="auto"/>
              <w:jc w:val="left"/>
            </w:pPr>
            <w:r/>
            <w:r>
              <w:rPr>
                <w:rFonts w:ascii="Arial" w:hAnsi="Arial"/>
                <w:sz w:val="16"/>
              </w:rPr>
              <w:t>Hora extra</w:t>
            </w:r>
          </w:p>
        </w:tc>
        <w:tc>
          <w:tcPr>
            <w:tcW w:type="dxa" w:w="2835"/>
          </w:tcPr>
          <w:p>
            <w:pPr>
              <w:spacing w:after="20" w:before="20" w:line="240" w:lineRule="auto"/>
              <w:jc w:val="left"/>
            </w:pPr>
            <w:r/>
            <w:r>
              <w:rPr>
                <w:rFonts w:ascii="Arial" w:hAnsi="Arial"/>
                <w:sz w:val="16"/>
              </w:rPr>
              <w:t>Qualitativa nominal</w:t>
            </w:r>
          </w:p>
        </w:tc>
      </w:tr>
      <w:tr>
        <w:trPr>
          <w:cantSplit/>
        </w:trPr>
        <w:tc>
          <w:tcPr>
            <w:tcW w:type="dxa" w:w="2835"/>
          </w:tcPr>
          <w:p>
            <w:pPr>
              <w:spacing w:after="20" w:before="20" w:line="240" w:lineRule="auto"/>
              <w:jc w:val="left"/>
            </w:pPr>
            <w:r/>
            <w:r>
              <w:rPr>
                <w:rFonts w:ascii="Arial" w:hAnsi="Arial"/>
                <w:sz w:val="16"/>
              </w:rPr>
              <w:t>BusinessTravel</w:t>
            </w:r>
          </w:p>
        </w:tc>
        <w:tc>
          <w:tcPr>
            <w:tcW w:type="dxa" w:w="3402"/>
          </w:tcPr>
          <w:p>
            <w:pPr>
              <w:spacing w:after="20" w:before="20" w:line="240" w:lineRule="auto"/>
              <w:jc w:val="left"/>
            </w:pPr>
            <w:r/>
            <w:r>
              <w:rPr>
                <w:rFonts w:ascii="Arial" w:hAnsi="Arial"/>
                <w:sz w:val="16"/>
              </w:rPr>
              <w:t>Viagens a trabalho</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Education</w:t>
            </w:r>
          </w:p>
        </w:tc>
        <w:tc>
          <w:tcPr>
            <w:tcW w:type="dxa" w:w="3402"/>
          </w:tcPr>
          <w:p>
            <w:pPr>
              <w:spacing w:after="20" w:before="20" w:line="240" w:lineRule="auto"/>
              <w:jc w:val="left"/>
            </w:pPr>
            <w:r/>
            <w:r>
              <w:rPr>
                <w:rFonts w:ascii="Arial" w:hAnsi="Arial"/>
                <w:sz w:val="16"/>
              </w:rPr>
              <w:t>Escolaridade</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EnvironmentSatisfaction</w:t>
            </w:r>
          </w:p>
        </w:tc>
        <w:tc>
          <w:tcPr>
            <w:tcW w:type="dxa" w:w="3402"/>
          </w:tcPr>
          <w:p>
            <w:pPr>
              <w:spacing w:after="20" w:before="20" w:line="240" w:lineRule="auto"/>
              <w:jc w:val="left"/>
            </w:pPr>
            <w:r/>
            <w:r>
              <w:rPr>
                <w:rFonts w:ascii="Arial" w:hAnsi="Arial"/>
                <w:sz w:val="16"/>
              </w:rPr>
              <w:t>Satisfação com o ambiente</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JobInvolvement</w:t>
            </w:r>
          </w:p>
        </w:tc>
        <w:tc>
          <w:tcPr>
            <w:tcW w:type="dxa" w:w="3402"/>
          </w:tcPr>
          <w:p>
            <w:pPr>
              <w:spacing w:after="20" w:before="20" w:line="240" w:lineRule="auto"/>
              <w:jc w:val="left"/>
            </w:pPr>
            <w:r/>
            <w:r>
              <w:rPr>
                <w:rFonts w:ascii="Arial" w:hAnsi="Arial"/>
                <w:sz w:val="16"/>
              </w:rPr>
              <w:t>Envolvimento com o trabalho</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JobLevel</w:t>
            </w:r>
          </w:p>
        </w:tc>
        <w:tc>
          <w:tcPr>
            <w:tcW w:type="dxa" w:w="3402"/>
          </w:tcPr>
          <w:p>
            <w:pPr>
              <w:spacing w:after="20" w:before="20" w:line="240" w:lineRule="auto"/>
              <w:jc w:val="left"/>
            </w:pPr>
            <w:r/>
            <w:r>
              <w:rPr>
                <w:rFonts w:ascii="Arial" w:hAnsi="Arial"/>
                <w:sz w:val="16"/>
              </w:rPr>
              <w:t>Nível do cargo</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JobSatisfaction</w:t>
            </w:r>
          </w:p>
        </w:tc>
        <w:tc>
          <w:tcPr>
            <w:tcW w:type="dxa" w:w="3402"/>
          </w:tcPr>
          <w:p>
            <w:pPr>
              <w:spacing w:after="20" w:before="20" w:line="240" w:lineRule="auto"/>
              <w:jc w:val="left"/>
            </w:pPr>
            <w:r/>
            <w:r>
              <w:rPr>
                <w:rFonts w:ascii="Arial" w:hAnsi="Arial"/>
                <w:sz w:val="16"/>
              </w:rPr>
              <w:t>Satisfação com o trabalho</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PerformanceRating</w:t>
            </w:r>
          </w:p>
        </w:tc>
        <w:tc>
          <w:tcPr>
            <w:tcW w:type="dxa" w:w="3402"/>
          </w:tcPr>
          <w:p>
            <w:pPr>
              <w:spacing w:after="20" w:before="20" w:line="240" w:lineRule="auto"/>
              <w:jc w:val="left"/>
            </w:pPr>
            <w:r/>
            <w:r>
              <w:rPr>
                <w:rFonts w:ascii="Arial" w:hAnsi="Arial"/>
                <w:sz w:val="16"/>
              </w:rPr>
              <w:t>Avaliação de desempenho</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RelationshipSatisfaction</w:t>
            </w:r>
          </w:p>
        </w:tc>
        <w:tc>
          <w:tcPr>
            <w:tcW w:type="dxa" w:w="3402"/>
          </w:tcPr>
          <w:p>
            <w:pPr>
              <w:spacing w:after="20" w:before="20" w:line="240" w:lineRule="auto"/>
              <w:jc w:val="left"/>
            </w:pPr>
            <w:r/>
            <w:r>
              <w:rPr>
                <w:rFonts w:ascii="Arial" w:hAnsi="Arial"/>
                <w:sz w:val="16"/>
              </w:rPr>
              <w:t>Satisfação com relacionamentos</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StockOptionLevel</w:t>
            </w:r>
          </w:p>
        </w:tc>
        <w:tc>
          <w:tcPr>
            <w:tcW w:type="dxa" w:w="3402"/>
          </w:tcPr>
          <w:p>
            <w:pPr>
              <w:spacing w:after="20" w:before="20" w:line="240" w:lineRule="auto"/>
              <w:jc w:val="left"/>
            </w:pPr>
            <w:r/>
            <w:r>
              <w:rPr>
                <w:rFonts w:ascii="Arial" w:hAnsi="Arial"/>
                <w:sz w:val="16"/>
              </w:rPr>
              <w:t>Nível de ações (stock options)</w:t>
            </w:r>
          </w:p>
        </w:tc>
        <w:tc>
          <w:tcPr>
            <w:tcW w:type="dxa" w:w="2835"/>
          </w:tcPr>
          <w:p>
            <w:pPr>
              <w:spacing w:after="20" w:before="20" w:line="240" w:lineRule="auto"/>
              <w:jc w:val="left"/>
            </w:pPr>
            <w:r/>
            <w:r>
              <w:rPr>
                <w:rFonts w:ascii="Arial" w:hAnsi="Arial"/>
                <w:sz w:val="16"/>
              </w:rPr>
              <w:t>Qualitativa ordinal</w:t>
            </w:r>
          </w:p>
        </w:tc>
      </w:tr>
      <w:tr>
        <w:trPr>
          <w:cantSplit/>
        </w:trPr>
        <w:tc>
          <w:tcPr>
            <w:tcW w:type="dxa" w:w="2835"/>
          </w:tcPr>
          <w:p>
            <w:pPr>
              <w:spacing w:after="20" w:before="20" w:line="240" w:lineRule="auto"/>
              <w:jc w:val="left"/>
            </w:pPr>
            <w:r/>
            <w:r>
              <w:rPr>
                <w:rFonts w:ascii="Arial" w:hAnsi="Arial"/>
                <w:sz w:val="16"/>
              </w:rPr>
              <w:t>WorkLifeBalance</w:t>
            </w:r>
          </w:p>
        </w:tc>
        <w:tc>
          <w:tcPr>
            <w:tcW w:type="dxa" w:w="3402"/>
          </w:tcPr>
          <w:p>
            <w:pPr>
              <w:spacing w:after="20" w:before="20" w:line="240" w:lineRule="auto"/>
              <w:jc w:val="left"/>
            </w:pPr>
            <w:r/>
            <w:r>
              <w:rPr>
                <w:rFonts w:ascii="Arial" w:hAnsi="Arial"/>
                <w:sz w:val="16"/>
              </w:rPr>
              <w:t>Equilíbrio vida-trabalho</w:t>
            </w:r>
          </w:p>
        </w:tc>
        <w:tc>
          <w:tcPr>
            <w:tcW w:type="dxa" w:w="2835"/>
          </w:tcPr>
          <w:p>
            <w:pPr>
              <w:spacing w:after="20" w:before="20" w:line="240" w:lineRule="auto"/>
              <w:jc w:val="left"/>
            </w:pPr>
            <w:r/>
            <w:r>
              <w:rPr>
                <w:rFonts w:ascii="Arial" w:hAnsi="Arial"/>
                <w:sz w:val="16"/>
              </w:rPr>
              <w:t>Qualitativa ordinal</w:t>
            </w:r>
          </w:p>
        </w:tc>
      </w:tr>
    </w:tbl>
    <w:p>
      <w:pPr>
        <w:keepNext w:val="0"/>
        <w:spacing w:line="240" w:lineRule="auto" w:before="40" w:after="200"/>
        <w:jc w:val="left"/>
      </w:pPr>
      <w:r>
        <w:rPr>
          <w:rFonts w:ascii="Arial" w:hAnsi="Arial"/>
          <w:sz w:val="20"/>
        </w:rPr>
        <w:t>Fonte: elaboração própria a partir de IBM HR Analytics (Kaggle, 2017).</w:t>
      </w:r>
    </w:p>
    <w:sectPr>
      <w:headerReference r:id="rId6" w:type="default"/>
      <w:headerReference r:id="rId7" w:type="first"/>
      <w:footerReference r:id="rId8" w:type="default"/>
      <w:footerReference r:id="rId9" w:type="first"/>
      <w:pgSz w:h="16838" w:w="11906" w:orient="portrait"/>
      <w:pgMar w:bottom="1134" w:top="1701"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spacing w:after="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spacing w:after="24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spacing w:after="200" w:lineRule="auto"/>
      <w:ind w:left="2160" w:firstLine="0"/>
      <w:jc w:val="both"/>
      <w:rPr>
        <w:sz w:val="24"/>
        <w:szCs w:val="24"/>
      </w:rPr>
    </w:pPr>
    <w:r w:rsidDel="00000000" w:rsidR="00000000" w:rsidRPr="00000000">
      <w:rPr>
        <w:rtl w:val="0"/>
      </w:rPr>
    </w:r>
  </w:p>
  <w:p w:rsidR="00000000" w:rsidDel="00000000" w:rsidP="00000000" w:rsidRDefault="00000000" w:rsidRPr="00000000" w14:paraId="0000005C">
    <w:pPr>
      <w:spacing w:after="240" w:lineRule="auto"/>
      <w:jc w:val="right"/>
      <w:rPr>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after="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2599013</wp:posOffset>
          </wp:positionH>
          <wp:positionV relativeFrom="paragraph">
            <wp:posOffset>-123824</wp:posOffset>
          </wp:positionV>
          <wp:extent cx="559719" cy="9667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59719" cy="9667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after="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b w:val="1"/>
      <w:bCs w:val="1"/>
      <w:sz w:val="26"/>
      <w:szCs w:val="26"/>
    </w:rPr>
  </w:style>
  <w:style w:type="paragraph" w:styleId="Heading2">
    <w:name w:val="heading 2"/>
    <w:basedOn w:val="Normal"/>
    <w:next w:val="Normal"/>
    <w:pPr>
      <w:keepNext w:val="1"/>
      <w:keepLines w:val="1"/>
      <w:spacing w:after="80" w:before="240" w:lineRule="auto"/>
      <w:jc w:val="left"/>
    </w:pPr>
    <w:rPr>
      <w:sz w:val="24"/>
      <w:szCs w:val="24"/>
    </w:rPr>
  </w:style>
  <w:style w:type="paragraph" w:styleId="Heading3">
    <w:name w:val="heading 3"/>
    <w:basedOn w:val="Normal"/>
    <w:next w:val="Normal"/>
    <w:pPr>
      <w:keepNext w:val="1"/>
      <w:keepLines w:val="1"/>
      <w:spacing w:after="40" w:line="360" w:lineRule="auto"/>
    </w:pPr>
    <w:rPr>
      <w:sz w:val="24"/>
      <w:szCs w:val="24"/>
    </w:rPr>
  </w:style>
  <w:style w:type="paragraph" w:styleId="Heading4">
    <w:name w:val="heading 4"/>
    <w:basedOn w:val="Normal"/>
    <w:next w:val="Normal"/>
    <w:pPr>
      <w:keepNext w:val="1"/>
      <w:keepLines w:val="1"/>
      <w:spacing w:after="240" w:lineRule="auto"/>
      <w:jc w:val="both"/>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