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BE17" w14:textId="41CD7429" w:rsidR="003E458F" w:rsidRPr="0057390D" w:rsidRDefault="00000000" w:rsidP="0057390D">
      <w:pPr>
        <w:jc w:val="both"/>
        <w:rPr>
          <w:b/>
          <w:bCs/>
          <w:color w:val="2F5496" w:themeColor="accent1" w:themeShade="BF"/>
          <w:sz w:val="28"/>
          <w:szCs w:val="28"/>
        </w:rPr>
      </w:pPr>
      <w:r w:rsidRPr="0057390D">
        <w:rPr>
          <w:b/>
          <w:bCs/>
          <w:color w:val="2F5496" w:themeColor="accent1" w:themeShade="BF"/>
          <w:sz w:val="28"/>
          <w:szCs w:val="28"/>
        </w:rPr>
        <w:t>Impacto del internet en el comportamiento de los menores de edad</w:t>
      </w:r>
      <w:r w:rsidR="0057390D" w:rsidRPr="0057390D">
        <w:rPr>
          <w:b/>
          <w:bCs/>
          <w:color w:val="2F5496" w:themeColor="accent1" w:themeShade="BF"/>
          <w:sz w:val="28"/>
          <w:szCs w:val="28"/>
        </w:rPr>
        <w:t xml:space="preserve"> Resumen de los siguientes artículos: </w:t>
      </w:r>
      <w:r w:rsidR="0057390D" w:rsidRPr="0057390D">
        <w:rPr>
          <w:b/>
          <w:bCs/>
          <w:color w:val="2F5496" w:themeColor="accent1" w:themeShade="BF"/>
          <w:sz w:val="28"/>
          <w:szCs w:val="28"/>
        </w:rPr>
        <w:t xml:space="preserve">Eficacia académica percibida, crianza, uso de internet y comportamiento en la </w:t>
      </w:r>
      <w:r w:rsidR="0057390D" w:rsidRPr="0057390D">
        <w:rPr>
          <w:b/>
          <w:bCs/>
          <w:color w:val="2F5496" w:themeColor="accent1" w:themeShade="BF"/>
          <w:sz w:val="28"/>
          <w:szCs w:val="28"/>
        </w:rPr>
        <w:t>adolescencia;</w:t>
      </w:r>
      <w:r w:rsidR="0057390D" w:rsidRPr="0057390D">
        <w:rPr>
          <w:b/>
          <w:bCs/>
          <w:color w:val="2F5496" w:themeColor="accent1" w:themeShade="BF"/>
          <w:sz w:val="28"/>
          <w:szCs w:val="28"/>
        </w:rPr>
        <w:t xml:space="preserve"> Cómo la adicción al móvil puede dificultar la adaptación universitaria mediante dos vías relacionadas con el autocontrol</w:t>
      </w:r>
      <w:r w:rsidR="0057390D">
        <w:rPr>
          <w:b/>
          <w:bCs/>
          <w:color w:val="2F5496" w:themeColor="accent1" w:themeShade="BF"/>
          <w:sz w:val="28"/>
          <w:szCs w:val="28"/>
        </w:rPr>
        <w:t>,</w:t>
      </w:r>
      <w:r w:rsidR="0057390D" w:rsidRPr="0057390D">
        <w:rPr>
          <w:b/>
          <w:bCs/>
          <w:color w:val="2F5496" w:themeColor="accent1" w:themeShade="BF"/>
          <w:sz w:val="28"/>
          <w:szCs w:val="28"/>
        </w:rPr>
        <w:t xml:space="preserve"> y Problematic internet use: A growing concern for adolescent health and well-being in a digital era</w:t>
      </w:r>
    </w:p>
    <w:p w14:paraId="77F92CD1" w14:textId="77777777" w:rsidR="0057390D" w:rsidRDefault="0057390D" w:rsidP="0057390D">
      <w:pPr>
        <w:jc w:val="both"/>
      </w:pPr>
    </w:p>
    <w:p w14:paraId="30650313" w14:textId="4FA1CF82" w:rsidR="003E458F" w:rsidRDefault="00000000">
      <w:pPr>
        <w:spacing w:after="180" w:line="300" w:lineRule="auto"/>
        <w:jc w:val="both"/>
      </w:pPr>
      <w:r>
        <w:t xml:space="preserve">Los tres textos revisados coinciden en que el uso intensivo o </w:t>
      </w:r>
      <w:r w:rsidR="0057390D">
        <w:t>problemático</w:t>
      </w:r>
      <w:r>
        <w:t xml:space="preserve"> de internet se asocia con cambios en la conducta de los menores, y el punto </w:t>
      </w:r>
      <w:r w:rsidR="0057390D">
        <w:t>más</w:t>
      </w:r>
      <w:r>
        <w:t xml:space="preserve"> documentado es la agresividad. Tur-Porcar et al. (2019) encontraron, en una muestra de 762 adolescentes de 12 a 17 años en Valencia, que quienes pasan </w:t>
      </w:r>
      <w:r w:rsidR="0057390D">
        <w:t>más</w:t>
      </w:r>
      <w:r>
        <w:t xml:space="preserve"> horas conectados en su tiempo libre presentan niveles </w:t>
      </w:r>
      <w:r w:rsidR="0057390D">
        <w:t>más</w:t>
      </w:r>
      <w:r>
        <w:t xml:space="preserve"> altos de agresividad reactiva, proactiva, </w:t>
      </w:r>
      <w:r w:rsidR="0057390D">
        <w:t>física</w:t>
      </w:r>
      <w:r>
        <w:t xml:space="preserve"> y verbal. La agresividad proactiva, deliberada e instrumental, es la que los autores asocian con </w:t>
      </w:r>
      <w:r w:rsidR="0057390D">
        <w:t>más</w:t>
      </w:r>
      <w:r>
        <w:t xml:space="preserve"> fuerza al espacio virtual, y sugieren una posible </w:t>
      </w:r>
      <w:r w:rsidR="0057390D">
        <w:t>relación</w:t>
      </w:r>
      <w:r>
        <w:t xml:space="preserve"> con la </w:t>
      </w:r>
      <w:r w:rsidR="0057390D">
        <w:t>intimidación</w:t>
      </w:r>
      <w:r>
        <w:t xml:space="preserve">, incluida la que ocurre dentro de la pareja adolescente (Cava y Buelga, 2018, citados en Tur-Porcar et al., 2019). Dadi et al. (2024) complementan este punto al advertir que el ciberacoso puede desencadenar o agravar problemas de salud mental, sobre todo en adolescentes con </w:t>
      </w:r>
      <w:r w:rsidR="0057390D">
        <w:t>predisposición</w:t>
      </w:r>
      <w:r>
        <w:t xml:space="preserve"> </w:t>
      </w:r>
      <w:r w:rsidR="0057390D">
        <w:t>genética</w:t>
      </w:r>
      <w:r>
        <w:t>.</w:t>
      </w:r>
    </w:p>
    <w:p w14:paraId="2E33CD0A" w14:textId="58672D52" w:rsidR="003E458F" w:rsidRDefault="00000000">
      <w:pPr>
        <w:spacing w:after="180" w:line="300" w:lineRule="auto"/>
        <w:jc w:val="both"/>
      </w:pPr>
      <w:r>
        <w:t xml:space="preserve">En cuanto a la impulsividad, el estudio longitudinal con universitarios de primer año en China (Candelas García, s.f.) muestra que un mayor uso </w:t>
      </w:r>
      <w:r w:rsidR="0057390D">
        <w:t>problemático</w:t>
      </w:r>
      <w:r>
        <w:t xml:space="preserve"> del celular se asocia con </w:t>
      </w:r>
      <w:r w:rsidR="0057390D">
        <w:t>más</w:t>
      </w:r>
      <w:r>
        <w:t xml:space="preserve"> </w:t>
      </w:r>
      <w:r w:rsidR="0057390D">
        <w:t>activación</w:t>
      </w:r>
      <w:r>
        <w:t xml:space="preserve"> de un sistema de impulso, que responde </w:t>
      </w:r>
      <w:r w:rsidR="0057390D">
        <w:t>rápido</w:t>
      </w:r>
      <w:r>
        <w:t xml:space="preserve"> a recompensas inmediatas, y con menor capacidad de control, que permite inhibir respuestas y sostener metas de largo plazo. Dadi et al. (2024) ubican la </w:t>
      </w:r>
      <w:r w:rsidR="0057390D">
        <w:t>pérdida</w:t>
      </w:r>
      <w:r>
        <w:t xml:space="preserve"> de control sobre el uso como rasgo central del uso </w:t>
      </w:r>
      <w:r w:rsidR="0057390D">
        <w:t>problemático</w:t>
      </w:r>
      <w:r>
        <w:t xml:space="preserve">, y Tur-Porcar et al. (2019) citan a </w:t>
      </w:r>
      <w:r w:rsidR="0057390D">
        <w:t>Echeburúa</w:t>
      </w:r>
      <w:r>
        <w:t xml:space="preserve"> y Corral (2010) para sostener que el uso intensivo puede disminuir la capacidad de autocontrol emocional y conductual. En el terreno del </w:t>
      </w:r>
      <w:r w:rsidR="0057390D">
        <w:t>ánimo</w:t>
      </w:r>
      <w:r>
        <w:t xml:space="preserve">, Dadi et al. reportan asociaciones con ansiedad, </w:t>
      </w:r>
      <w:r w:rsidR="0057390D">
        <w:t>depresión</w:t>
      </w:r>
      <w:r>
        <w:t xml:space="preserve"> y baja autoestima, aunque se trata de una </w:t>
      </w:r>
      <w:r w:rsidR="0057390D">
        <w:t>revisión</w:t>
      </w:r>
      <w:r>
        <w:t xml:space="preserve"> de literatura y no de datos propios. Tur-Porcar et al. miden inestabilidad emocional en lugar de </w:t>
      </w:r>
      <w:r w:rsidR="0057390D">
        <w:t>depresión</w:t>
      </w:r>
      <w:r>
        <w:t xml:space="preserve"> </w:t>
      </w:r>
      <w:r w:rsidR="0057390D">
        <w:t>clínica</w:t>
      </w:r>
      <w:r>
        <w:t xml:space="preserve">, y sus datos muestran que los adolescentes con </w:t>
      </w:r>
      <w:r w:rsidR="0057390D">
        <w:t>más</w:t>
      </w:r>
      <w:r>
        <w:t xml:space="preserve"> uso </w:t>
      </w:r>
      <w:r w:rsidR="0057390D">
        <w:t>puntúan</w:t>
      </w:r>
      <w:r>
        <w:t xml:space="preserve"> </w:t>
      </w:r>
      <w:r w:rsidR="0057390D">
        <w:t>más</w:t>
      </w:r>
      <w:r>
        <w:t xml:space="preserve"> alto en ese indicador. La </w:t>
      </w:r>
      <w:r w:rsidR="0057390D">
        <w:t>relación</w:t>
      </w:r>
      <w:r>
        <w:t xml:space="preserve"> </w:t>
      </w:r>
      <w:r w:rsidR="0057390D">
        <w:t>también</w:t>
      </w:r>
      <w:r>
        <w:t xml:space="preserve"> va en sentido inverso: la falta de control emocional lleva a </w:t>
      </w:r>
      <w:r w:rsidR="0057390D" w:rsidRPr="0057390D">
        <w:t>us</w:t>
      </w:r>
      <w:r>
        <w:t xml:space="preserve">ar </w:t>
      </w:r>
      <w:r w:rsidR="0057390D">
        <w:t>más</w:t>
      </w:r>
      <w:r>
        <w:t xml:space="preserve"> internet, sobre todo redes sociales, en busca de </w:t>
      </w:r>
      <w:r w:rsidR="0057390D">
        <w:t>compañía</w:t>
      </w:r>
      <w:r>
        <w:t xml:space="preserve"> y alivio de la soledad (Amiel y Sargent, 2004, citados en Tur-Porcar et al., 2019).</w:t>
      </w:r>
    </w:p>
    <w:p w14:paraId="144DCA02" w14:textId="270EBC01" w:rsidR="003E458F" w:rsidRDefault="00000000">
      <w:pPr>
        <w:spacing w:after="180" w:line="300" w:lineRule="auto"/>
        <w:jc w:val="both"/>
      </w:pPr>
      <w:r>
        <w:t xml:space="preserve">El aislamiento y la soledad son otro punto recurrente. Dadi et al. sostienen que el uso excesivo puede aumentar la soledad, sobre todo cuando reemplaza la </w:t>
      </w:r>
      <w:r w:rsidR="0057390D">
        <w:t>interacción</w:t>
      </w:r>
      <w:r>
        <w:t xml:space="preserve"> cara a cara, y Tur-Porcar et al. advierten que puede fomentar el </w:t>
      </w:r>
      <w:r w:rsidR="0057390D">
        <w:t>desinterés</w:t>
      </w:r>
      <w:r>
        <w:t xml:space="preserve"> por otras </w:t>
      </w:r>
      <w:r w:rsidR="0057390D">
        <w:t>áreas</w:t>
      </w:r>
      <w:r>
        <w:t xml:space="preserve"> de la vida y reducir las oportunidades de relaciones </w:t>
      </w:r>
      <w:r w:rsidR="0057390D">
        <w:t>más</w:t>
      </w:r>
      <w:r>
        <w:t xml:space="preserve"> directas (Wilson, Gottfredson y Najaka, 2001, citados en Tur-Porcar et al., 2019). Los adolescentes con uso intensivo </w:t>
      </w:r>
      <w:r w:rsidR="0057390D">
        <w:t>también</w:t>
      </w:r>
      <w:r>
        <w:t xml:space="preserve"> tienen </w:t>
      </w:r>
      <w:r w:rsidR="0057390D">
        <w:t>más</w:t>
      </w:r>
      <w:r>
        <w:t xml:space="preserve"> riesgo de afiliarse a pares rebeldes, aunque no </w:t>
      </w:r>
      <w:r w:rsidR="0057390D" w:rsidRPr="0057390D">
        <w:t>está</w:t>
      </w:r>
      <w:r>
        <w:t xml:space="preserve"> claro si las redes acercan a esos grupos o si la </w:t>
      </w:r>
      <w:r w:rsidR="0057390D">
        <w:t>cercanía</w:t>
      </w:r>
      <w:r>
        <w:t xml:space="preserve"> con ellos aumenta el uso (Zhu et al., 2015, citados en Tur-Porcar et al., 2019). Dadi et al. añaden que el secreto y el engaño asociados al consumo de contenido sexual en </w:t>
      </w:r>
      <w:r w:rsidR="0057390D">
        <w:t>línea</w:t>
      </w:r>
      <w:r>
        <w:t xml:space="preserve"> pueden deteriorar la intimidad y la confianza. Sobre el sueño y la imagen corporal, el mismo texto vincula ese consumo con peor calidad del sueño y señala que los medios digitales amplifican normas que idealizan </w:t>
      </w:r>
      <w:r>
        <w:lastRenderedPageBreak/>
        <w:t xml:space="preserve">ciertos cuerpos, asociadas con dismorfia corporal y trastornos alimentarios. Tur-Porcar et al. no miden sueño ni imagen corporal, y el estudio universitario solo propone el desplazamiento del sueño como señal de alerta, </w:t>
      </w:r>
      <w:r w:rsidR="0057390D">
        <w:t>así</w:t>
      </w:r>
      <w:r>
        <w:t xml:space="preserve"> que esta parte descansa sobre todo en la </w:t>
      </w:r>
      <w:r w:rsidR="0057390D">
        <w:t>revisión</w:t>
      </w:r>
      <w:r>
        <w:t xml:space="preserve"> de Dadi et al.</w:t>
      </w:r>
    </w:p>
    <w:p w14:paraId="074B6C3F" w14:textId="506C00AA" w:rsidR="003E458F" w:rsidRDefault="00000000">
      <w:pPr>
        <w:spacing w:after="180" w:line="300" w:lineRule="auto"/>
        <w:jc w:val="both"/>
      </w:pPr>
      <w:r>
        <w:t xml:space="preserve">En lo </w:t>
      </w:r>
      <w:r w:rsidR="0057390D">
        <w:t>académico</w:t>
      </w:r>
      <w:r>
        <w:t>, Tur-Porcar et al. encontraron que, entre quienes usan internet entre 0 y 3 horas semanales en ocio y quienes usan entre 12 y 98</w:t>
      </w:r>
      <w:r w:rsidR="0057390D">
        <w:t xml:space="preserve"> horas</w:t>
      </w:r>
      <w:r>
        <w:t xml:space="preserve">, la autoeficacia </w:t>
      </w:r>
      <w:r w:rsidR="0057390D">
        <w:t>académica</w:t>
      </w:r>
      <w:r>
        <w:t xml:space="preserve"> percibida baja de 7,58 a 6,23 en una escala de 1 a 10, con un efecto que los autores consideran grande. </w:t>
      </w:r>
      <w:r w:rsidR="0057390D" w:rsidRPr="0057390D">
        <w:t>También</w:t>
      </w:r>
      <w:r>
        <w:t xml:space="preserve"> empeoran la </w:t>
      </w:r>
      <w:r w:rsidR="0057390D">
        <w:t>motivación</w:t>
      </w:r>
      <w:r>
        <w:t xml:space="preserve">, el ritmo de trabajo y la asistencia a clase, y quienes abandonan tareas que exigen esfuerzo sostenido tienen </w:t>
      </w:r>
      <w:r w:rsidR="0057390D">
        <w:t>más</w:t>
      </w:r>
      <w:r>
        <w:t xml:space="preserve"> riesgo de ausentarse y de no completar la </w:t>
      </w:r>
      <w:r w:rsidR="0057390D">
        <w:t>educación</w:t>
      </w:r>
      <w:r>
        <w:t xml:space="preserve"> </w:t>
      </w:r>
      <w:r w:rsidR="0057390D">
        <w:t>básica</w:t>
      </w:r>
      <w:r>
        <w:t xml:space="preserve"> (Wilson et al., 2001, citados en Tur-Porcar et al., 2019). El uso </w:t>
      </w:r>
      <w:r w:rsidR="0057390D">
        <w:t>académico</w:t>
      </w:r>
      <w:r>
        <w:t xml:space="preserve"> de internet, en cambio, no siempre perjudica: la literatura citada es contradictoria y el resultado depende en parte del fin para el que se usa.</w:t>
      </w:r>
    </w:p>
    <w:p w14:paraId="7384653B" w14:textId="5186087E" w:rsidR="003E458F" w:rsidRDefault="00000000">
      <w:pPr>
        <w:spacing w:after="180" w:line="300" w:lineRule="auto"/>
        <w:jc w:val="both"/>
      </w:pPr>
      <w:r>
        <w:t xml:space="preserve">La </w:t>
      </w:r>
      <w:r w:rsidR="0057390D">
        <w:t>exposición</w:t>
      </w:r>
      <w:r>
        <w:t xml:space="preserve"> a contenido sexual merece </w:t>
      </w:r>
      <w:r w:rsidR="0057390D" w:rsidRPr="0057390D">
        <w:t>atención</w:t>
      </w:r>
      <w:r>
        <w:t xml:space="preserve"> aparte. Dadi et al. (2024) reportan, a partir de los estudios que revisan, que entre 23% y 63% de los adolescentes de 7 a 17 años declara haber consumido </w:t>
      </w:r>
      <w:r w:rsidR="0057390D">
        <w:t>pornografía</w:t>
      </w:r>
      <w:r>
        <w:t xml:space="preserve">, un rango amplio que conviene leer con cautela. Además, el estigma y las normas culturales o religiosas dificultan que muchos pidan ayuda, y los signos suelen ser sutiles. El riesgo es mayor en </w:t>
      </w:r>
      <w:r w:rsidR="0057390D">
        <w:t>países</w:t>
      </w:r>
      <w:r>
        <w:t xml:space="preserve"> de ingresos bajos y medios, donde la base de usuarios </w:t>
      </w:r>
      <w:r w:rsidR="0057390D">
        <w:t>jóvenes</w:t>
      </w:r>
      <w:r>
        <w:t xml:space="preserve"> crece </w:t>
      </w:r>
      <w:r w:rsidR="0057390D">
        <w:t>rápido</w:t>
      </w:r>
      <w:r>
        <w:t xml:space="preserve">, la </w:t>
      </w:r>
      <w:r w:rsidR="0057390D">
        <w:t>regulación</w:t>
      </w:r>
      <w:r>
        <w:t xml:space="preserve"> es limitada y el uso </w:t>
      </w:r>
      <w:r w:rsidR="0057390D" w:rsidRPr="0057390D">
        <w:t>aumentó</w:t>
      </w:r>
      <w:r>
        <w:t xml:space="preserve"> durante la pandemia.</w:t>
      </w:r>
    </w:p>
    <w:p w14:paraId="392C790D" w14:textId="287A7764" w:rsidR="003E458F" w:rsidRDefault="00000000">
      <w:pPr>
        <w:spacing w:after="180" w:line="300" w:lineRule="auto"/>
        <w:jc w:val="both"/>
      </w:pPr>
      <w:r>
        <w:t xml:space="preserve">Conviene leer estos resultados con cautela, porque son asociaciones y no causas. Tur-Porcar et al. reconocen que su diseño transversal no permite inferir causalidad, y el estudio longitudinal no analiza </w:t>
      </w:r>
      <w:r w:rsidR="0057390D" w:rsidRPr="0057390D">
        <w:t>si una mala adaptación lleva</w:t>
      </w:r>
      <w:r>
        <w:t xml:space="preserve"> a </w:t>
      </w:r>
      <w:r w:rsidR="0057390D">
        <w:t>más</w:t>
      </w:r>
      <w:r>
        <w:t xml:space="preserve"> uso. Tanto Candelas García como Dadi et al. insisten en que el tiempo de uso no basta para hablar de </w:t>
      </w:r>
      <w:r w:rsidR="0057390D">
        <w:t>adicción</w:t>
      </w:r>
      <w:r>
        <w:t xml:space="preserve">: lo que importa es la </w:t>
      </w:r>
      <w:r w:rsidR="0057390D">
        <w:t>pérdida</w:t>
      </w:r>
      <w:r>
        <w:t xml:space="preserve"> de control y la interferencia con la vida diaria. </w:t>
      </w:r>
      <w:r w:rsidR="0057390D" w:rsidRPr="0057390D">
        <w:t>L</w:t>
      </w:r>
      <w:r>
        <w:t xml:space="preserve">os cuadros graves son minoritarios: en videojuegos, en 13 </w:t>
      </w:r>
      <w:r w:rsidR="0057390D">
        <w:t>países</w:t>
      </w:r>
      <w:r>
        <w:t xml:space="preserve"> europeos, 1,6% de los adolescentes presentaba un trastorno grave y 5,1% estaba en riesgo (</w:t>
      </w:r>
      <w:r w:rsidR="0057390D">
        <w:t>Müller</w:t>
      </w:r>
      <w:r>
        <w:t xml:space="preserve"> et al., 2015, citados en Tur-Porcar et al., 2019). Por último, los datos sobre universitarios no son directamente aplicables a menores, y todas las fuentes dependen en buena parte de autoinformes.</w:t>
      </w:r>
    </w:p>
    <w:p w14:paraId="7A2CC1DC" w14:textId="48E0B1C2" w:rsidR="003E458F" w:rsidRDefault="00000000">
      <w:pPr>
        <w:spacing w:after="180" w:line="300" w:lineRule="auto"/>
        <w:jc w:val="both"/>
      </w:pPr>
      <w:r>
        <w:t xml:space="preserve">En conjunto, el impacto del internet en los menores es real pero no uniforme. El riesgo se concentra en el uso que pierde control y desplaza otras actividades, y se agrava cuando hay poca </w:t>
      </w:r>
      <w:r w:rsidR="0057390D">
        <w:t>supervisión</w:t>
      </w:r>
      <w:r>
        <w:t xml:space="preserve"> familiar, pares que refuerzan conductas de riesgo o malestar emocional previo. Las tres fuentes coinciden en que la respuesta debe ser integral: </w:t>
      </w:r>
      <w:r w:rsidR="0057390D">
        <w:t>educación</w:t>
      </w:r>
      <w:r>
        <w:t xml:space="preserve"> digital, apoyo familiar, </w:t>
      </w:r>
      <w:r w:rsidR="0057390D">
        <w:t>detección</w:t>
      </w:r>
      <w:r>
        <w:t xml:space="preserve"> temprana que vaya </w:t>
      </w:r>
      <w:r w:rsidR="0057390D">
        <w:t>más</w:t>
      </w:r>
      <w:r>
        <w:t xml:space="preserve"> </w:t>
      </w:r>
      <w:r w:rsidR="0057390D">
        <w:t>allá</w:t>
      </w:r>
      <w:r>
        <w:t xml:space="preserve"> del tiempo de uso y </w:t>
      </w:r>
      <w:r w:rsidR="0057390D">
        <w:t>evaluación</w:t>
      </w:r>
      <w:r>
        <w:t xml:space="preserve"> rigurosa de las intervenciones.</w:t>
      </w:r>
    </w:p>
    <w:p w14:paraId="22160278" w14:textId="77777777" w:rsidR="003E458F" w:rsidRDefault="00000000">
      <w:pPr>
        <w:spacing w:before="240" w:after="120"/>
      </w:pPr>
      <w:r>
        <w:rPr>
          <w:b/>
          <w:bCs/>
          <w:color w:val="1F3864"/>
        </w:rPr>
        <w:t>Referencias</w:t>
      </w:r>
    </w:p>
    <w:p w14:paraId="41697EA6" w14:textId="77777777" w:rsidR="003E458F" w:rsidRDefault="00000000">
      <w:pPr>
        <w:spacing w:after="100"/>
        <w:ind w:left="720" w:hanging="720"/>
      </w:pPr>
      <w:r>
        <w:rPr>
          <w:sz w:val="19"/>
          <w:szCs w:val="19"/>
        </w:rPr>
        <w:t>Candelas García, V. (s.f.). Cómo la adicción al móvil puede dificultar la adaptación universitaria mediante dos vías relacionadas con el autocontrol [Resumen adaptado]. Cibermedicina / Psiquiatria.com. Fuente original: How does mobile phone addiction undermine school adjustment among college freshmen? A dual systems model perspective on self-control. Behavior Psychology. https://www.imrpress.com/journal/BP/34/3/10.31083/BP45362</w:t>
      </w:r>
    </w:p>
    <w:p w14:paraId="072C83F8" w14:textId="77777777" w:rsidR="003E458F" w:rsidRDefault="00000000">
      <w:pPr>
        <w:spacing w:after="100"/>
        <w:ind w:left="720" w:hanging="720"/>
      </w:pPr>
      <w:r>
        <w:rPr>
          <w:sz w:val="19"/>
          <w:szCs w:val="19"/>
        </w:rPr>
        <w:t>Dadi, A. F., Dachew, B. A., y Tessema, G. A. (2024). Problematic internet use: A growing concern for adolescent health and well-being in a digital era. Journal of Global Health, 14, 03034. https://doi.org/10.7189/jogh.14.03034</w:t>
      </w:r>
    </w:p>
    <w:p w14:paraId="51CF7684" w14:textId="77777777" w:rsidR="003E458F" w:rsidRDefault="00000000">
      <w:pPr>
        <w:spacing w:after="100"/>
        <w:ind w:left="720" w:hanging="720"/>
      </w:pPr>
      <w:r>
        <w:rPr>
          <w:sz w:val="19"/>
          <w:szCs w:val="19"/>
        </w:rPr>
        <w:lastRenderedPageBreak/>
        <w:t>Tur-Porcar, A. M., Doménech, A., y Jiménez, J. (2019). Eficacia académica percibida, crianza, uso de internet y comportamiento en la adolescencia. Revista Latinoamericana de Psicología, 51(1), 38-47. https://doi.org/10.14349/rlp.2019.v51.n1.5</w:t>
      </w:r>
    </w:p>
    <w:p w14:paraId="1F02935A" w14:textId="0C163D25" w:rsidR="003E458F" w:rsidRDefault="00000000">
      <w:pPr>
        <w:spacing w:before="160"/>
      </w:pPr>
      <w:r>
        <w:rPr>
          <w:i/>
          <w:iCs/>
          <w:color w:val="595959"/>
          <w:sz w:val="17"/>
          <w:szCs w:val="17"/>
        </w:rPr>
        <w:t xml:space="preserve">Nota: el resumen del estudio universitario es una </w:t>
      </w:r>
      <w:r w:rsidR="0057390D">
        <w:rPr>
          <w:i/>
          <w:iCs/>
          <w:color w:val="595959"/>
          <w:sz w:val="17"/>
          <w:szCs w:val="17"/>
        </w:rPr>
        <w:t>adaptación</w:t>
      </w:r>
      <w:r>
        <w:rPr>
          <w:i/>
          <w:iCs/>
          <w:color w:val="595959"/>
          <w:sz w:val="17"/>
          <w:szCs w:val="17"/>
        </w:rPr>
        <w:t xml:space="preserve"> editorial y el texto consultado no incluye los autores originales. Las referencias citadas dentro de estas fuentes (Amiel y Sargent, Cava y Buelga, </w:t>
      </w:r>
      <w:r w:rsidR="0057390D">
        <w:rPr>
          <w:i/>
          <w:iCs/>
          <w:color w:val="595959"/>
          <w:sz w:val="17"/>
          <w:szCs w:val="17"/>
        </w:rPr>
        <w:t>Echeburúa</w:t>
      </w:r>
      <w:r>
        <w:rPr>
          <w:i/>
          <w:iCs/>
          <w:color w:val="595959"/>
          <w:sz w:val="17"/>
          <w:szCs w:val="17"/>
        </w:rPr>
        <w:t xml:space="preserve"> y Corral, </w:t>
      </w:r>
      <w:r w:rsidR="0057390D">
        <w:rPr>
          <w:i/>
          <w:iCs/>
          <w:color w:val="595959"/>
          <w:sz w:val="17"/>
          <w:szCs w:val="17"/>
        </w:rPr>
        <w:t>Müller</w:t>
      </w:r>
      <w:r>
        <w:rPr>
          <w:i/>
          <w:iCs/>
          <w:color w:val="595959"/>
          <w:sz w:val="17"/>
          <w:szCs w:val="17"/>
        </w:rPr>
        <w:t xml:space="preserve"> et al., Wilson et al., Zhu et al.) se toman tal como aparecen en los </w:t>
      </w:r>
      <w:r w:rsidR="0057390D">
        <w:rPr>
          <w:i/>
          <w:iCs/>
          <w:color w:val="595959"/>
          <w:sz w:val="17"/>
          <w:szCs w:val="17"/>
        </w:rPr>
        <w:t>artículos</w:t>
      </w:r>
      <w:r>
        <w:rPr>
          <w:i/>
          <w:iCs/>
          <w:color w:val="595959"/>
          <w:sz w:val="17"/>
          <w:szCs w:val="17"/>
        </w:rPr>
        <w:t xml:space="preserve"> primarios.</w:t>
      </w:r>
    </w:p>
    <w:sectPr w:rsidR="003E45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1FACA" w14:textId="77777777" w:rsidR="00CF3B88" w:rsidRDefault="00CF3B88">
      <w:r>
        <w:separator/>
      </w:r>
    </w:p>
  </w:endnote>
  <w:endnote w:type="continuationSeparator" w:id="0">
    <w:p w14:paraId="0E8E795D" w14:textId="77777777" w:rsidR="00CF3B88" w:rsidRDefault="00CF3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BE9D9" w14:textId="26AF7304" w:rsidR="0057390D" w:rsidRDefault="0057390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DC2C35" wp14:editId="1D1F07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80310" cy="345440"/>
              <wp:effectExtent l="0" t="0" r="15240" b="0"/>
              <wp:wrapNone/>
              <wp:docPr id="1464672775" name="Cuadro de texto 2" descr="Uso Interno - Propiedad de Coéxito S.A.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03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CB10F3" w14:textId="2B55E98F" w:rsidR="0057390D" w:rsidRPr="0057390D" w:rsidRDefault="0057390D" w:rsidP="0057390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39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 - Propiedad de Coéxito S.A.S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C2C3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Uso Interno - Propiedad de Coéxito S.A.S" style="position:absolute;margin-left:0;margin-top:0;width:195.3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ACB10F3" w14:textId="2B55E98F" w:rsidR="0057390D" w:rsidRPr="0057390D" w:rsidRDefault="0057390D" w:rsidP="0057390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39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 - Propiedad de Coéxito S.A.S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924B3" w14:textId="6276DE1F" w:rsidR="003E458F" w:rsidRDefault="0057390D">
    <w:pPr>
      <w:jc w:val="center"/>
    </w:pPr>
    <w:r>
      <w:rPr>
        <w:noProof/>
        <w:color w:val="7F7F7F"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34494C" wp14:editId="182FF5D7">
              <wp:simplePos x="914400" y="94678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480310" cy="345440"/>
              <wp:effectExtent l="0" t="0" r="15240" b="0"/>
              <wp:wrapNone/>
              <wp:docPr id="533015825" name="Cuadro de texto 3" descr="Uso Interno - Propiedad de Coéxito S.A.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03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97970C" w14:textId="7C8A6625" w:rsidR="0057390D" w:rsidRPr="0057390D" w:rsidRDefault="0057390D" w:rsidP="0057390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39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 - Propiedad de Coéxito S.A.S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4494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Uso Interno - Propiedad de Coéxito S.A.S" style="position:absolute;left:0;text-align:left;margin-left:0;margin-top:0;width:195.3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297970C" w14:textId="7C8A6625" w:rsidR="0057390D" w:rsidRPr="0057390D" w:rsidRDefault="0057390D" w:rsidP="0057390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39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 - Propiedad de Coéxito S.A.S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7F7F7F"/>
        <w:sz w:val="18"/>
        <w:szCs w:val="18"/>
      </w:rPr>
      <w:t>Página</w:t>
    </w:r>
    <w:r w:rsidR="00000000">
      <w:rPr>
        <w:color w:val="7F7F7F"/>
        <w:sz w:val="18"/>
        <w:szCs w:val="18"/>
      </w:rPr>
      <w:t xml:space="preserve"> </w:t>
    </w:r>
    <w:r w:rsidR="00000000">
      <w:rPr>
        <w:color w:val="7F7F7F"/>
        <w:sz w:val="18"/>
        <w:szCs w:val="18"/>
      </w:rPr>
      <w:fldChar w:fldCharType="begin"/>
    </w:r>
    <w:r w:rsidR="00000000">
      <w:rPr>
        <w:color w:val="7F7F7F"/>
        <w:sz w:val="18"/>
        <w:szCs w:val="18"/>
      </w:rPr>
      <w:instrText>PAGE</w:instrText>
    </w:r>
    <w:r w:rsidR="00000000"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 w:rsidR="00000000">
      <w:rPr>
        <w:color w:val="7F7F7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5320" w14:textId="27F84EFB" w:rsidR="0057390D" w:rsidRDefault="0057390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FAB245" wp14:editId="3A72BA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80310" cy="345440"/>
              <wp:effectExtent l="0" t="0" r="15240" b="0"/>
              <wp:wrapNone/>
              <wp:docPr id="740797104" name="Cuadro de texto 1" descr="Uso Interno - Propiedad de Coéxito S.A.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03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C8F433" w14:textId="244D2DC2" w:rsidR="0057390D" w:rsidRPr="0057390D" w:rsidRDefault="0057390D" w:rsidP="0057390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39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 - Propiedad de Coéxito S.A.S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AB24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Uso Interno - Propiedad de Coéxito S.A.S" style="position:absolute;margin-left:0;margin-top:0;width:195.3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CC8F433" w14:textId="244D2DC2" w:rsidR="0057390D" w:rsidRPr="0057390D" w:rsidRDefault="0057390D" w:rsidP="0057390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39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 - Propiedad de Coéxito S.A.S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802E9" w14:textId="77777777" w:rsidR="00CF3B88" w:rsidRDefault="00CF3B88">
      <w:r>
        <w:separator/>
      </w:r>
    </w:p>
  </w:footnote>
  <w:footnote w:type="continuationSeparator" w:id="0">
    <w:p w14:paraId="3DD14FD7" w14:textId="77777777" w:rsidR="00CF3B88" w:rsidRDefault="00CF3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8412" w14:textId="77777777" w:rsidR="0057390D" w:rsidRDefault="005739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955E" w14:textId="77777777" w:rsidR="0057390D" w:rsidRDefault="005739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CE918" w14:textId="77777777" w:rsidR="0057390D" w:rsidRDefault="005739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D6583"/>
    <w:multiLevelType w:val="hybridMultilevel"/>
    <w:tmpl w:val="01600F50"/>
    <w:lvl w:ilvl="0" w:tplc="B5C831A2" w:tentative="1">
      <w:start w:val="1"/>
      <w:numFmt w:val="bullet"/>
      <w:lvlText w:val="●"/>
      <w:lvlJc w:val="left"/>
      <w:pPr>
        <w:ind w:left="720" w:hanging="360"/>
      </w:pPr>
    </w:lvl>
    <w:lvl w:ilvl="1" w:tplc="7316A1E6" w:tentative="1">
      <w:start w:val="1"/>
      <w:numFmt w:val="bullet"/>
      <w:lvlText w:val="○"/>
      <w:lvlJc w:val="left"/>
      <w:pPr>
        <w:ind w:left="1440" w:hanging="360"/>
      </w:pPr>
    </w:lvl>
    <w:lvl w:ilvl="2" w:tplc="80F00FBA" w:tentative="1">
      <w:start w:val="1"/>
      <w:numFmt w:val="bullet"/>
      <w:lvlText w:val="■"/>
      <w:lvlJc w:val="left"/>
      <w:pPr>
        <w:ind w:left="2160" w:hanging="360"/>
      </w:pPr>
    </w:lvl>
    <w:lvl w:ilvl="3" w:tplc="92BC9A14" w:tentative="1">
      <w:start w:val="1"/>
      <w:numFmt w:val="bullet"/>
      <w:lvlText w:val="●"/>
      <w:lvlJc w:val="left"/>
      <w:pPr>
        <w:ind w:left="2880" w:hanging="360"/>
      </w:pPr>
    </w:lvl>
    <w:lvl w:ilvl="4" w:tplc="6ABE6706" w:tentative="1">
      <w:start w:val="1"/>
      <w:numFmt w:val="bullet"/>
      <w:lvlText w:val="○"/>
      <w:lvlJc w:val="left"/>
      <w:pPr>
        <w:ind w:left="3600" w:hanging="360"/>
      </w:pPr>
    </w:lvl>
    <w:lvl w:ilvl="5" w:tplc="B0D69A86" w:tentative="1">
      <w:start w:val="1"/>
      <w:numFmt w:val="bullet"/>
      <w:lvlText w:val="■"/>
      <w:lvlJc w:val="left"/>
      <w:pPr>
        <w:ind w:left="4320" w:hanging="360"/>
      </w:pPr>
    </w:lvl>
    <w:lvl w:ilvl="6" w:tplc="726404C4" w:tentative="1">
      <w:start w:val="1"/>
      <w:numFmt w:val="bullet"/>
      <w:lvlText w:val="●"/>
      <w:lvlJc w:val="left"/>
      <w:pPr>
        <w:ind w:left="5040" w:hanging="360"/>
      </w:pPr>
    </w:lvl>
    <w:lvl w:ilvl="7" w:tplc="11D0B552" w:tentative="1">
      <w:start w:val="1"/>
      <w:numFmt w:val="bullet"/>
      <w:lvlText w:val="●"/>
      <w:lvlJc w:val="left"/>
      <w:pPr>
        <w:ind w:left="5760" w:hanging="360"/>
      </w:pPr>
    </w:lvl>
    <w:lvl w:ilvl="8" w:tplc="B4ACC9E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1551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8F"/>
    <w:rsid w:val="003E458F"/>
    <w:rsid w:val="0057390D"/>
    <w:rsid w:val="00CF3B88"/>
    <w:rsid w:val="00F8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0C3C1"/>
  <w15:docId w15:val="{F04A535A-021C-4BB1-B1C5-9E7AC3BC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739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390D"/>
  </w:style>
  <w:style w:type="paragraph" w:styleId="Piedepgina">
    <w:name w:val="footer"/>
    <w:basedOn w:val="Normal"/>
    <w:link w:val="PiedepginaCar"/>
    <w:uiPriority w:val="99"/>
    <w:unhideWhenUsed/>
    <w:rsid w:val="005739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F88FBA1-9D39-4369-812A-A5D498DB3E5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77bc458-9e1f-46d9-a8fc-cb80896f1550&quot;"/>
  </we:properties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6297d626-3f74-4a7f-9827-d1e075452bd2}" enabled="1" method="Standard" siteId="{b3fa4893-51e0-413d-af87-b4adde0fa52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1158</Words>
  <Characters>6374</Characters>
  <Application>Microsoft Office Word</Application>
  <DocSecurity>0</DocSecurity>
  <Lines>53</Lines>
  <Paragraphs>15</Paragraphs>
  <ScaleCrop>false</ScaleCrop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Impacto del internet en el comportamiento de los menores de edad</dc:title>
  <dc:creator>Claude</dc:creator>
  <cp:lastModifiedBy>Wilson Andres Panesso Barbosa</cp:lastModifiedBy>
  <cp:revision>2</cp:revision>
  <dcterms:created xsi:type="dcterms:W3CDTF">2026-10-19T22:09:00Z</dcterms:created>
  <dcterms:modified xsi:type="dcterms:W3CDTF">2026-10-19T22:20:00Z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2c27aab0,574d2207,1fc52d11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Uso Interno - Propiedad de Coéxito S.A.S</vt:lpwstr>
  </property>
</Properties>
</file>