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 covariates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Demographics covariates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Becker et al. (2020)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LEDD adjusted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MoCA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UPDRS-III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MoCA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UPDRS-III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MoCA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UPDRS-III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MoCA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UPDRS-III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 (.037)*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 (.080)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 (.036)*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 (.067)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 (.166)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 (.029)*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 (.082)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 (.054)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 (.408)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(.007)*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(.338)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 (.005)*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(.615)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 (.001)*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(.688)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 (.002)*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(.315)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(.003)*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(.445)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 (.001)*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(.355)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 (&lt; 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(.413)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 (.004)*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 (.393)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(.002)*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 (.254)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(.001)*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 (.123)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(.008)*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 (.119)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(.008)*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(.321)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(.003)*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(.394)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(.002)*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(.370)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 (&lt; 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(.857)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(.005)*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(.708)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(.007)*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(.928)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 (.005)*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(.377)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 (&lt; 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(.617)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 (.050)*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 (.003)*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(.986)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 (.002)*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(.899)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 (.036)*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(.863)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 (.004)*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(.747)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 (&lt; 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(.808)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 (&lt; 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(.762)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 (&lt; 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(.951)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 (&lt; .001)*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(.583)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 (.021)*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(.345)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 (.037)*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(.405)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 (.126)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(.909)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 (.045)*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(.459)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(.872)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 (.025)*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 (.964)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 (.011)*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 (.961)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(.007)*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(.739)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(.160)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faq ~ 1 + moca + updrs_iii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faq ~ 1 + moca + updrs_iii + sex + age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faq ~ 1 + moca + updrs_iii + sex + age + pd_duration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faq ~ 1 + moca + updrs_iii + sex + age + ledd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  <w:r>
              <w:rPr>
                <w:rFonts w:ascii="Calibri" w:hAnsi="Calibri"/>
                <w:sz w:val="20"/>
              </w:rPr>
              <w:t xml:space="default">assessed in medication ON state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n: number of patients included; values in MoCA and UPDRS-III columns represent standardised regression coefficients with p-value from t-test for each coefficient equalling zero in bracket; in the original, Becker et al. (2020) used the model used in the third column group and report significant MoCA effects for items 1, 2, 7 and 9, and significant UPDRS-III effects for items 3, 4, 5, 6, 7 and 10; *p &lt; 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2024-03-14T14:21:13Z</dcterms:created>
  <dcterms:modified xsi:type="dcterms:W3CDTF">2024-03-14T14:21:13Z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