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Asociace mezi tloustnut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m a zesmutm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m </w:t>
      </w:r>
      <w:r>
        <w:rPr>
          <w:rtl w:val="0"/>
        </w:rPr>
        <w:t>~</w:t>
      </w:r>
      <w:r>
        <w:rPr>
          <w:rtl w:val="0"/>
          <w:lang w:val="en-US"/>
        </w:rPr>
        <w:t>jeden rok po DBS</w:t>
      </w:r>
    </w:p>
    <w:p>
      <w:pPr>
        <w:pStyle w:val="Author"/>
      </w:pPr>
      <w:r>
        <w:rPr>
          <w:rtl w:val="0"/>
          <w:lang w:val="en-US"/>
        </w:rPr>
        <w:t>Jo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in</w:t>
      </w:r>
    </w:p>
    <w:p>
      <w:pPr>
        <w:pStyle w:val="Date"/>
      </w:pPr>
      <w:r>
        <w:rPr>
          <w:rtl w:val="0"/>
          <w:lang w:val="en-US"/>
        </w:rPr>
        <w:t>2024-03-17</w:t>
      </w:r>
    </w:p>
    <w:p>
      <w:pPr>
        <w:pStyle w:val="Heading 2"/>
      </w:pPr>
      <w:bookmarkStart w:name="statistickáanalýza" w:id="0"/>
      <w:r>
        <w:rPr>
          <w:rFonts w:cs="Arial Unicode MS" w:eastAsia="Arial Unicode MS"/>
          <w:rtl w:val="0"/>
        </w:rPr>
        <w:t>1 Statistick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>anal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za</w:t>
      </w:r>
    </w:p>
    <w:p>
      <w:pPr>
        <w:pStyle w:val="First Paragraph"/>
        <w:rPr>
          <w:color w:val="000000"/>
          <w:sz w:val="24"/>
        </w:rPr>
      </w:pPr>
      <w:r>
        <w:rPr>
          <w:rtl w:val="0"/>
          <w:lang w:val="en-US"/>
        </w:rPr>
        <w:t>Spojit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prom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nn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byly pops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ny pr</w:t>
      </w:r>
      <w:r>
        <w:rPr>
          <w:rtl w:val="0"/>
          <w:lang w:val="en-US"/>
        </w:rPr>
        <w:t>ů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rem a sm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rodatnou odchylkou zvl</w:t>
      </w:r>
      <w:r>
        <w:rPr>
          <w:rtl w:val="0"/>
          <w:lang w:val="en-US"/>
        </w:rPr>
        <w:t xml:space="preserve">ášť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ed a po operaci. Nulov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hypot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za </w:t>
      </w:r>
      <w:r>
        <w:rPr>
          <w:rtl w:val="0"/>
          <w:lang w:val="en-US"/>
        </w:rPr>
        <w:t>žá</w:t>
      </w:r>
      <w:r>
        <w:rPr>
          <w:rtl w:val="0"/>
          <w:lang w:val="en-US"/>
        </w:rPr>
        <w:t>dn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pr</w:t>
      </w:r>
      <w:r>
        <w:rPr>
          <w:rtl w:val="0"/>
          <w:lang w:val="en-US"/>
        </w:rPr>
        <w:t>ů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rn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ny byla testov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na 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rov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m t-testem pro neuropsychologick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prom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, klinick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prom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nn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 t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lesnou hmotnost. Abychom charakterizovali vztah mezi 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mi 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nami (p</w:t>
      </w:r>
      <w:r>
        <w:rPr>
          <w:rtl w:val="0"/>
          <w:lang w:val="en-US"/>
        </w:rPr>
        <w:t>ří</w:t>
      </w:r>
      <w:r>
        <w:rPr>
          <w:rtl w:val="0"/>
          <w:lang w:val="en-US"/>
        </w:rPr>
        <w:t xml:space="preserve">bytkem 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 xml:space="preserve">i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bytkem) neuropsychologick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ch prom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nn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ch, medikace a t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lesnou hmotnost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jsme nejprve spo</w:t>
      </w:r>
      <w:r>
        <w:rPr>
          <w:rtl w:val="0"/>
          <w:lang w:val="en-US"/>
        </w:rPr>
        <w:t>čí</w:t>
      </w:r>
      <w:r>
        <w:rPr>
          <w:rtl w:val="0"/>
          <w:lang w:val="en-US"/>
        </w:rPr>
        <w:t>tali 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nu ka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prom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nn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(jako 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hodnota minus 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edopera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hodnota) a 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sledn</w:t>
      </w:r>
      <w:r>
        <w:rPr>
          <w:rtl w:val="0"/>
          <w:lang w:val="en-US"/>
        </w:rPr>
        <w:t xml:space="preserve">ě </w:t>
      </w:r>
      <w:r>
        <w:rPr>
          <w:rtl w:val="0"/>
          <w:lang w:val="en-US"/>
        </w:rPr>
        <w:t>jsme spo</w:t>
      </w:r>
      <w:r>
        <w:rPr>
          <w:rtl w:val="0"/>
          <w:lang w:val="en-US"/>
        </w:rPr>
        <w:t>čí</w:t>
      </w:r>
      <w:r>
        <w:rPr>
          <w:rtl w:val="0"/>
          <w:lang w:val="en-US"/>
        </w:rPr>
        <w:t>tali Pearsonovy korelace (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sub>
        </m:sSub>
      </m:oMath>
      <w:r>
        <w:rPr>
          <w:rtl w:val="0"/>
          <w:lang w:val="en-US"/>
        </w:rPr>
        <w:t>) pro ka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ý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t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chto rozd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lov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ch sk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 xml:space="preserve">ů </w:t>
      </w:r>
      <w:r>
        <w:rPr>
          <w:rtl w:val="0"/>
          <w:lang w:val="en-US"/>
        </w:rPr>
        <w:t>(prom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nn</w:t>
      </w:r>
      <w:r>
        <w:rPr>
          <w:rtl w:val="0"/>
          <w:lang w:val="en-US"/>
        </w:rPr>
        <w:t xml:space="preserve">é </w:t>
      </w:r>
      <w:r>
        <w:rPr>
          <w:i w:val="1"/>
          <w:iCs w:val="1"/>
          <w:rtl w:val="0"/>
          <w:lang w:val="en-US"/>
        </w:rPr>
        <w:t>X</w:t>
      </w:r>
      <w:r>
        <w:rPr>
          <w:rtl w:val="0"/>
          <w:lang w:val="en-US"/>
        </w:rPr>
        <w:t xml:space="preserve"> a </w:t>
      </w:r>
      <w:r>
        <w:rPr>
          <w:i w:val="1"/>
          <w:iCs w:val="1"/>
          <w:rtl w:val="0"/>
          <w:lang w:val="en-US"/>
        </w:rPr>
        <w:t>Y</w:t>
      </w:r>
      <w:r>
        <w:rPr>
          <w:rtl w:val="0"/>
          <w:lang w:val="en-US"/>
        </w:rPr>
        <w:t>). Statistick</w:t>
      </w:r>
      <w:r>
        <w:rPr>
          <w:rtl w:val="0"/>
          <w:lang w:val="en-US"/>
        </w:rPr>
        <w:t xml:space="preserve">ý </w:t>
      </w:r>
      <w:r>
        <w:rPr>
          <w:rtl w:val="0"/>
          <w:lang w:val="en-US"/>
        </w:rPr>
        <w:t>test nulov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hypot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zy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</m:oMath>
      <w:r>
        <w:rPr>
          <w:rtl w:val="0"/>
          <w:lang w:val="en-US"/>
        </w:rPr>
        <w:t xml:space="preserve"> pro ka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ý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korelac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jsme testovali pomoc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p-hodnoty spo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ten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t-testem na 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klad</w:t>
      </w:r>
      <w:r>
        <w:rPr>
          <w:rtl w:val="0"/>
          <w:lang w:val="en-US"/>
        </w:rPr>
        <w:t xml:space="preserve">ě </w:t>
      </w:r>
      <w:r>
        <w:rPr>
          <w:rtl w:val="0"/>
          <w:lang w:val="en-US"/>
        </w:rPr>
        <w:t>testov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statistiky:</w:t>
      </w:r>
    </w:p>
    <w:p>
      <w:pPr>
        <w:pStyle w:val="Body Text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Y</m:t>
                  </m:r>
                </m:sub>
              </m:sSub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  <m:degHide m:val="on"/>
                </m:radPr>
                <m:deg/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(</m:t>
                  </m:r>
                </m:e>
              </m:ra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−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)</m:t>
              </m:r>
            </m:num>
            <m:den>
              <m:rad>
                <m:ra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  <m:degHide m:val="on"/>
                </m:radPr>
                <m:deg/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(</m:t>
                  </m:r>
                </m:e>
              </m:rad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−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)</m:t>
              </m:r>
            </m:den>
          </m:f>
        </m:oMath>
      </m:oMathPara>
    </w:p>
    <w:p>
      <w:pPr>
        <w:pStyle w:val="Body Text"/>
      </w:pPr>
      <w:r>
        <w:rPr>
          <w:rtl w:val="0"/>
          <w:lang w:val="en-US"/>
        </w:rPr>
        <w:t>se standardn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chybou:</w:t>
      </w:r>
    </w:p>
    <w:p>
      <w:pPr>
        <w:pStyle w:val="Body Text"/>
        <w:jc w:val="center"/>
        <w:rPr>
          <w:color w:val="000000"/>
          <w:sz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degHide m:val="on"/>
          </m:radPr>
          <m:deg/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(</m:t>
            </m:r>
          </m:e>
        </m:rad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−</m:t>
            </m:r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Y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2</m:t>
                </m:r>
              </m:sup>
            </m:sSub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−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</m:oMath>
      <w:r>
        <w:rPr>
          <w:rtl w:val="0"/>
          <w:lang w:val="en-US"/>
        </w:rPr>
        <w:t>,</w:t>
      </w:r>
    </w:p>
    <w:p>
      <w:pPr>
        <w:pStyle w:val="Body Text"/>
        <w:rPr>
          <w:color w:val="000000"/>
          <w:sz w:val="24"/>
        </w:rPr>
      </w:pPr>
      <w:r>
        <w:rPr>
          <w:rtl w:val="0"/>
          <w:lang w:val="en-US"/>
        </w:rPr>
        <w:t xml:space="preserve">kde </w:t>
      </w:r>
      <w:r>
        <w:rPr>
          <w:i w:val="1"/>
          <w:iCs w:val="1"/>
          <w:rtl w:val="0"/>
          <w:lang w:val="en-US"/>
        </w:rPr>
        <w:t>n</w:t>
      </w:r>
      <w:r>
        <w:rPr>
          <w:rtl w:val="0"/>
          <w:lang w:val="en-US"/>
        </w:rPr>
        <w:t xml:space="preserve"> = po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et pozorov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. 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sledek 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to korela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anal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zy pro 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 prom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nn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ch 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na BDI-II a 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na hmotnosti po operaci tvo</w:t>
      </w:r>
      <w:r>
        <w:rPr>
          <w:rtl w:val="0"/>
          <w:lang w:val="en-US"/>
        </w:rPr>
        <w:t xml:space="preserve">ří </w:t>
      </w:r>
      <w:r>
        <w:rPr>
          <w:rtl w:val="0"/>
          <w:lang w:val="en-US"/>
        </w:rPr>
        <w:t>estimand pro 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 xml:space="preserve">čí </w:t>
      </w:r>
      <w:r>
        <w:rPr>
          <w:rtl w:val="0"/>
          <w:lang w:val="en-US"/>
        </w:rPr>
        <w:t>hypot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zu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V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</m:oMath>
      <w:r>
        <w:rPr>
          <w:rtl w:val="0"/>
          <w:lang w:val="en-US"/>
        </w:rPr>
        <w:t>. Pr</w:t>
      </w:r>
      <w:r>
        <w:rPr>
          <w:rtl w:val="0"/>
          <w:lang w:val="en-US"/>
        </w:rPr>
        <w:t>ů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rnou 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nu BDI-II na ka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ý </w:t>
      </w:r>
      <w:r>
        <w:rPr>
          <w:rtl w:val="0"/>
          <w:lang w:val="en-US"/>
        </w:rPr>
        <w:t>kilogram 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ny hmotnosti jsme spo</w:t>
      </w:r>
      <w:r>
        <w:rPr>
          <w:rtl w:val="0"/>
          <w:lang w:val="en-US"/>
        </w:rPr>
        <w:t>čí</w:t>
      </w:r>
      <w:r>
        <w:rPr>
          <w:rtl w:val="0"/>
          <w:lang w:val="en-US"/>
        </w:rPr>
        <w:t>tali regres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ny BDI-2 na 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nu hmotnosti metodou nejmen</w:t>
      </w:r>
      <w:r>
        <w:rPr>
          <w:rtl w:val="0"/>
          <w:lang w:val="en-US"/>
        </w:rPr>
        <w:t>ší</w:t>
      </w:r>
      <w:r>
        <w:rPr>
          <w:rtl w:val="0"/>
          <w:lang w:val="en-US"/>
        </w:rPr>
        <w:t xml:space="preserve">ch 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tverc</w:t>
      </w:r>
      <w:r>
        <w:rPr>
          <w:rtl w:val="0"/>
          <w:lang w:val="en-US"/>
        </w:rPr>
        <w:t xml:space="preserve">ů </w:t>
      </w:r>
      <w:r>
        <w:rPr>
          <w:rtl w:val="0"/>
          <w:lang w:val="en-US"/>
        </w:rPr>
        <w:t>s QR dekompozic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.</w:t>
      </w:r>
    </w:p>
    <w:p>
      <w:pPr>
        <w:pStyle w:val="Body Text"/>
        <w:rPr>
          <w:color w:val="000000"/>
          <w:sz w:val="24"/>
        </w:rPr>
      </w:pPr>
      <w:r>
        <w:rPr>
          <w:rtl w:val="0"/>
          <w:lang w:val="en-US"/>
        </w:rPr>
        <w:t>Abychom otestovali hypot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zu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V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</m:oMath>
      <w:r>
        <w:rPr>
          <w:rtl w:val="0"/>
          <w:lang w:val="en-US"/>
        </w:rPr>
        <w:t xml:space="preserve"> jsme nejprve rozd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lili data set na skupinu pacient</w:t>
      </w:r>
      <w:r>
        <w:rPr>
          <w:rtl w:val="0"/>
          <w:lang w:val="en-US"/>
        </w:rPr>
        <w:t>ů</w:t>
      </w:r>
      <w:r>
        <w:rPr>
          <w:rtl w:val="0"/>
          <w:lang w:val="en-US"/>
        </w:rPr>
        <w:t>, kte</w:t>
      </w:r>
      <w:r>
        <w:rPr>
          <w:rtl w:val="0"/>
          <w:lang w:val="en-US"/>
        </w:rPr>
        <w:t xml:space="preserve">ří </w:t>
      </w:r>
      <w:r>
        <w:rPr>
          <w:rtl w:val="0"/>
          <w:lang w:val="en-US"/>
        </w:rPr>
        <w:t>rok po operaci 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ibyli na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ze (tj. pacienti, u nich</w:t>
      </w:r>
      <w:r>
        <w:rPr>
          <w:rtl w:val="0"/>
          <w:lang w:val="en-US"/>
        </w:rPr>
        <w:t xml:space="preserve">ž </w:t>
      </w:r>
      <w:r>
        <w:rPr>
          <w:rtl w:val="0"/>
          <w:lang w:val="en-US"/>
        </w:rPr>
        <w:t>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na hmotnosti &gt; 0) a pacienty, kte</w:t>
      </w:r>
      <w:r>
        <w:rPr>
          <w:rtl w:val="0"/>
          <w:lang w:val="en-US"/>
        </w:rPr>
        <w:t xml:space="preserve">ří </w:t>
      </w:r>
      <w:r>
        <w:rPr>
          <w:rtl w:val="0"/>
          <w:lang w:val="en-US"/>
        </w:rPr>
        <w:t>na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ze nep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ibyli (tj. pacienti, u nich</w:t>
      </w:r>
      <w:r>
        <w:rPr>
          <w:rtl w:val="0"/>
          <w:lang w:val="en-US"/>
        </w:rPr>
        <w:t xml:space="preserve">ž </w:t>
      </w:r>
      <w:r>
        <w:rPr>
          <w:rtl w:val="0"/>
          <w:lang w:val="en-US"/>
        </w:rPr>
        <w:t>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 xml:space="preserve">na hmotnosti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≤</m:t>
        </m:r>
      </m:oMath>
      <w:r>
        <w:rPr>
          <w:rtl w:val="0"/>
          <w:lang w:val="en-US"/>
        </w:rPr>
        <w:t xml:space="preserve"> 0). 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sledn</w:t>
      </w:r>
      <w:r>
        <w:rPr>
          <w:rtl w:val="0"/>
          <w:lang w:val="en-US"/>
        </w:rPr>
        <w:t xml:space="preserve">ě </w:t>
      </w:r>
      <w:r>
        <w:rPr>
          <w:rtl w:val="0"/>
          <w:lang w:val="en-US"/>
        </w:rPr>
        <w:t>jsme spo</w:t>
      </w:r>
      <w:r>
        <w:rPr>
          <w:rtl w:val="0"/>
          <w:lang w:val="en-US"/>
        </w:rPr>
        <w:t>čí</w:t>
      </w:r>
      <w:r>
        <w:rPr>
          <w:rtl w:val="0"/>
          <w:lang w:val="en-US"/>
        </w:rPr>
        <w:t>tali t-test pro nez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visl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skupiny s Welchovou approximac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stup</w:t>
      </w:r>
      <w:r>
        <w:rPr>
          <w:rtl w:val="0"/>
          <w:lang w:val="en-US"/>
        </w:rPr>
        <w:t xml:space="preserve">ňů </w:t>
      </w:r>
      <w:r>
        <w:rPr>
          <w:rtl w:val="0"/>
          <w:lang w:val="en-US"/>
        </w:rPr>
        <w:t>volnosti pro nulovou hypot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zu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‾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D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‾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</m:oMath>
      <w:r>
        <w:rPr>
          <w:rtl w:val="0"/>
          <w:lang w:val="en-US"/>
        </w:rPr>
        <w:t xml:space="preserve"> (kde 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B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e>
          <m:li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‾</m:t>
            </m:r>
          </m:lim>
        </m:limUpp>
      </m:oMath>
      <w:r>
        <w:rPr>
          <w:rtl w:val="0"/>
          <w:lang w:val="en-US"/>
        </w:rPr>
        <w:t xml:space="preserve"> ozna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uje st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edn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hodnotu 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 xml:space="preserve">ny BDI-II pro </w:t>
      </w:r>
      <w:r>
        <w:rPr>
          <w:i w:val="1"/>
          <w:iCs w:val="1"/>
          <w:rtl w:val="0"/>
          <w:lang w:val="en-US"/>
        </w:rPr>
        <w:t>0</w:t>
      </w:r>
      <w:r>
        <w:rPr>
          <w:rtl w:val="0"/>
          <w:lang w:val="en-US"/>
        </w:rPr>
        <w:t xml:space="preserve"> ozna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uj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skupinu pacient</w:t>
      </w:r>
      <w:r>
        <w:rPr>
          <w:rtl w:val="0"/>
          <w:lang w:val="en-US"/>
        </w:rPr>
        <w:t>ů</w:t>
      </w:r>
      <w:r>
        <w:rPr>
          <w:rtl w:val="0"/>
          <w:lang w:val="en-US"/>
        </w:rPr>
        <w:t>, kte</w:t>
      </w:r>
      <w:r>
        <w:rPr>
          <w:rtl w:val="0"/>
          <w:lang w:val="en-US"/>
        </w:rPr>
        <w:t xml:space="preserve">ří </w:t>
      </w:r>
      <w:r>
        <w:rPr>
          <w:rtl w:val="0"/>
          <w:lang w:val="en-US"/>
        </w:rPr>
        <w:t>nep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ibrali na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ze a </w:t>
      </w:r>
      <w:r>
        <w:rPr>
          <w:i w:val="1"/>
          <w:iCs w:val="1"/>
          <w:rtl w:val="0"/>
          <w:lang w:val="en-US"/>
        </w:rPr>
        <w:t>1</w:t>
      </w:r>
      <w:r>
        <w:rPr>
          <w:rtl w:val="0"/>
          <w:lang w:val="en-US"/>
        </w:rPr>
        <w:t xml:space="preserve"> ozna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uj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skupinu pacient</w:t>
      </w:r>
      <w:r>
        <w:rPr>
          <w:rtl w:val="0"/>
          <w:lang w:val="en-US"/>
        </w:rPr>
        <w:t>ů</w:t>
      </w:r>
      <w:r>
        <w:rPr>
          <w:rtl w:val="0"/>
          <w:lang w:val="en-US"/>
        </w:rPr>
        <w:t>, kte</w:t>
      </w:r>
      <w:r>
        <w:rPr>
          <w:rtl w:val="0"/>
          <w:lang w:val="en-US"/>
        </w:rPr>
        <w:t xml:space="preserve">ří </w:t>
      </w:r>
      <w:r>
        <w:rPr>
          <w:rtl w:val="0"/>
          <w:lang w:val="en-US"/>
        </w:rPr>
        <w:t>na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ze 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ibrali).</w:t>
      </w:r>
    </w:p>
    <w:p>
      <w:pPr>
        <w:pStyle w:val="Body Text"/>
      </w:pPr>
      <w:r>
        <w:rPr>
          <w:rtl w:val="0"/>
          <w:lang w:val="en-US"/>
        </w:rPr>
        <w:t>Nap</w:t>
      </w:r>
      <w:r>
        <w:rPr>
          <w:rtl w:val="0"/>
          <w:lang w:val="en-US"/>
        </w:rPr>
        <w:t xml:space="preserve">říč </w:t>
      </w:r>
      <w:r>
        <w:rPr>
          <w:rtl w:val="0"/>
          <w:lang w:val="en-US"/>
        </w:rPr>
        <w:t>anal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zami bylo za 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sledek statisticky 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znamn</w:t>
      </w:r>
      <w:r>
        <w:rPr>
          <w:rtl w:val="0"/>
          <w:lang w:val="en-US"/>
        </w:rPr>
        <w:t xml:space="preserve">ě </w:t>
      </w:r>
      <w:r>
        <w:rPr>
          <w:rtl w:val="0"/>
          <w:lang w:val="en-US"/>
        </w:rPr>
        <w:t>odli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ý </w:t>
      </w:r>
      <w:r>
        <w:rPr>
          <w:rtl w:val="0"/>
          <w:lang w:val="en-US"/>
        </w:rPr>
        <w:t>od nulov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ho hypot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zy pova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ov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no p &lt; 0,05. Anal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zy byly provedeny v statistick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programovac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m jazyku R (verze 4.2.0) za pou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it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bal</w:t>
      </w:r>
      <w:r>
        <w:rPr>
          <w:rtl w:val="0"/>
          <w:lang w:val="en-US"/>
        </w:rPr>
        <w:t>íč</w:t>
      </w:r>
      <w:r>
        <w:rPr>
          <w:rtl w:val="0"/>
          <w:lang w:val="en-US"/>
        </w:rPr>
        <w:t xml:space="preserve">ku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psych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(Revelle 2022).</w:t>
      </w:r>
      <w:bookmarkEnd w:id="0"/>
    </w:p>
    <w:p>
      <w:pPr>
        <w:pStyle w:val="Heading 2"/>
      </w:pPr>
      <w:bookmarkStart w:name="výsledky" w:id="1"/>
      <w:r>
        <w:rPr>
          <w:rFonts w:cs="Arial Unicode MS" w:eastAsia="Arial Unicode MS"/>
          <w:rtl w:val="0"/>
        </w:rPr>
        <w:t>2 V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sledky</w:t>
      </w:r>
      <w:bookmarkEnd w:id="1"/>
    </w:p>
    <w:p>
      <w:pPr>
        <w:pStyle w:val="Heading 3"/>
      </w:pPr>
      <w:bookmarkStart w:name="popisvzorku" w:id="2"/>
      <w:r>
        <w:rPr>
          <w:rFonts w:cs="Arial Unicode MS" w:eastAsia="Arial Unicode MS"/>
          <w:rtl w:val="0"/>
        </w:rPr>
        <w:t>2.1 Popis vzorku</w:t>
      </w:r>
    </w:p>
    <w:p>
      <w:pPr>
        <w:pStyle w:val="First Paragraph"/>
      </w:pPr>
      <w:r>
        <w:rPr>
          <w:rtl w:val="0"/>
          <w:lang w:val="en-US"/>
        </w:rPr>
        <w:t>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zkoumn</w:t>
      </w:r>
      <w:r>
        <w:rPr>
          <w:rtl w:val="0"/>
          <w:lang w:val="en-US"/>
        </w:rPr>
        <w:t xml:space="preserve">ý </w:t>
      </w:r>
      <w:r>
        <w:rPr>
          <w:rtl w:val="0"/>
          <w:lang w:val="en-US"/>
        </w:rPr>
        <w:t xml:space="preserve">vzorek </w:t>
      </w:r>
      <w:r>
        <w:rPr>
          <w:rtl w:val="0"/>
          <w:lang w:val="en-US"/>
        </w:rPr>
        <w:t>čí</w:t>
      </w:r>
      <w:r>
        <w:rPr>
          <w:rtl w:val="0"/>
          <w:lang w:val="en-US"/>
        </w:rPr>
        <w:t>tal 68 pacient</w:t>
      </w:r>
      <w:r>
        <w:rPr>
          <w:rtl w:val="0"/>
          <w:lang w:val="en-US"/>
        </w:rPr>
        <w:t xml:space="preserve">ů </w:t>
      </w:r>
      <w:r>
        <w:rPr>
          <w:rtl w:val="0"/>
          <w:lang w:val="en-US"/>
        </w:rPr>
        <w:t>s kompletn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m vy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et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m depresivn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ch projev</w:t>
      </w:r>
      <w:r>
        <w:rPr>
          <w:rtl w:val="0"/>
          <w:lang w:val="en-US"/>
        </w:rPr>
        <w:t xml:space="preserve">ů 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daj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ch o hmotnosti 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ed operac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a 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i ro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prohl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dce po operaci pro zah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jen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éč</w:t>
      </w:r>
      <w:r>
        <w:rPr>
          <w:rtl w:val="0"/>
          <w:lang w:val="en-US"/>
        </w:rPr>
        <w:t>by DBS. Popis vzorku prezentujeme v</w:t>
      </w:r>
      <w:r>
        <w:rPr>
          <w:rtl w:val="0"/>
        </w:rPr>
        <w:t xml:space="preserve"> Tabulce 1</w:t>
      </w:r>
      <w:r>
        <w:rPr>
          <w:rtl w:val="0"/>
          <w:lang w:val="en-US"/>
        </w:rPr>
        <w:t>. U pacient</w:t>
      </w:r>
      <w:r>
        <w:rPr>
          <w:rtl w:val="0"/>
          <w:lang w:val="en-US"/>
        </w:rPr>
        <w:t xml:space="preserve">ů </w:t>
      </w:r>
      <w:r>
        <w:rPr>
          <w:rtl w:val="0"/>
          <w:lang w:val="en-US"/>
        </w:rPr>
        <w:t>do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lo po operaci k 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razn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mu sn</w:t>
      </w:r>
      <w:r>
        <w:rPr>
          <w:rtl w:val="0"/>
          <w:lang w:val="en-US"/>
        </w:rPr>
        <w:t>íž</w:t>
      </w:r>
      <w:r>
        <w:rPr>
          <w:rtl w:val="0"/>
          <w:lang w:val="en-US"/>
        </w:rPr>
        <w:t>en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LEDD a statisticky 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znamn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mu zv</w:t>
      </w:r>
      <w:r>
        <w:rPr>
          <w:rtl w:val="0"/>
          <w:lang w:val="en-US"/>
        </w:rPr>
        <w:t>ýš</w:t>
      </w:r>
      <w:r>
        <w:rPr>
          <w:rtl w:val="0"/>
          <w:lang w:val="en-US"/>
        </w:rPr>
        <w:t>en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hmotnosti a BMI. Po operaci pacienti rovn</w:t>
      </w:r>
      <w:r>
        <w:rPr>
          <w:rtl w:val="0"/>
          <w:lang w:val="en-US"/>
        </w:rPr>
        <w:t xml:space="preserve">ěž </w:t>
      </w:r>
      <w:r>
        <w:rPr>
          <w:rtl w:val="0"/>
          <w:lang w:val="en-US"/>
        </w:rPr>
        <w:t>ud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vali relativn</w:t>
      </w:r>
      <w:r>
        <w:rPr>
          <w:rtl w:val="0"/>
          <w:lang w:val="en-US"/>
        </w:rPr>
        <w:t xml:space="preserve">ě </w:t>
      </w:r>
      <w:r>
        <w:rPr>
          <w:rtl w:val="0"/>
          <w:lang w:val="en-US"/>
        </w:rPr>
        <w:t>men</w:t>
      </w:r>
      <w:r>
        <w:rPr>
          <w:rtl w:val="0"/>
          <w:lang w:val="en-US"/>
        </w:rPr>
        <w:t xml:space="preserve">ší </w:t>
      </w:r>
      <w:r>
        <w:rPr>
          <w:rtl w:val="0"/>
          <w:lang w:val="en-US"/>
        </w:rPr>
        <w:t>mno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stv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depresivn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ch symptom</w:t>
      </w:r>
      <w:r>
        <w:rPr>
          <w:rtl w:val="0"/>
          <w:lang w:val="en-US"/>
        </w:rPr>
        <w:t xml:space="preserve">ů </w:t>
      </w:r>
      <w:r>
        <w:rPr>
          <w:rtl w:val="0"/>
          <w:lang w:val="en-US"/>
        </w:rPr>
        <w:t>v porovn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se stavem 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ed operac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, tento rozd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l ov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em nedos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hl hladiny statistick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znamnosti. Ve vzorku jsme nepozorovali z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eteln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sn</w:t>
      </w:r>
      <w:r>
        <w:rPr>
          <w:rtl w:val="0"/>
          <w:lang w:val="en-US"/>
        </w:rPr>
        <w:t>íž</w:t>
      </w:r>
      <w:r>
        <w:rPr>
          <w:rtl w:val="0"/>
          <w:lang w:val="en-US"/>
        </w:rPr>
        <w:t>en</w:t>
      </w:r>
      <w:r>
        <w:rPr>
          <w:rtl w:val="0"/>
          <w:lang w:val="en-US"/>
        </w:rPr>
        <w:t>í č</w:t>
      </w:r>
      <w:r>
        <w:rPr>
          <w:rtl w:val="0"/>
          <w:lang w:val="en-US"/>
        </w:rPr>
        <w:t>i zv</w:t>
      </w:r>
      <w:r>
        <w:rPr>
          <w:rtl w:val="0"/>
          <w:lang w:val="en-US"/>
        </w:rPr>
        <w:t>ýš</w:t>
      </w:r>
      <w:r>
        <w:rPr>
          <w:rtl w:val="0"/>
          <w:lang w:val="en-US"/>
        </w:rPr>
        <w:t>en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pr</w:t>
      </w:r>
      <w:r>
        <w:rPr>
          <w:rtl w:val="0"/>
          <w:lang w:val="en-US"/>
        </w:rPr>
        <w:t>ů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rn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ho kognitivn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ho 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konu. Tento posledn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sledek ov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em mohl b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t ovlivn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 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razn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m outlierem se 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nou DRS-2 t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iadvacet bod</w:t>
      </w:r>
      <w:r>
        <w:rPr>
          <w:rtl w:val="0"/>
          <w:lang w:val="en-US"/>
        </w:rPr>
        <w:t xml:space="preserve">ů </w:t>
      </w:r>
      <w:r>
        <w:rPr>
          <w:rtl w:val="0"/>
          <w:lang w:val="en-US"/>
        </w:rPr>
        <w:t xml:space="preserve">po operaci (viz </w:t>
      </w:r>
      <w:r>
        <w:rPr>
          <w:rtl w:val="0"/>
        </w:rPr>
        <w:t>Obr</w:t>
      </w:r>
      <w:r>
        <w:rPr>
          <w:rtl w:val="0"/>
        </w:rPr>
        <w:t>á</w:t>
      </w:r>
      <w:r>
        <w:rPr>
          <w:rtl w:val="0"/>
        </w:rPr>
        <w:t>zek 1</w:t>
      </w:r>
      <w:r>
        <w:rPr>
          <w:rtl w:val="0"/>
          <w:lang w:val="en-US"/>
        </w:rPr>
        <w:t>), av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ak 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DRS-2 se statisticky 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znamn</w:t>
      </w:r>
      <w:r>
        <w:rPr>
          <w:rtl w:val="0"/>
          <w:lang w:val="en-US"/>
        </w:rPr>
        <w:t xml:space="preserve">ě </w:t>
      </w:r>
      <w:r>
        <w:rPr>
          <w:rtl w:val="0"/>
          <w:lang w:val="en-US"/>
        </w:rPr>
        <w:t>neli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ilo od 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edopera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ho DRS-2 ani po vylou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en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tohoto pozorov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(pr</w:t>
      </w:r>
      <w:r>
        <w:rPr>
          <w:rtl w:val="0"/>
          <w:lang w:val="en-US"/>
        </w:rPr>
        <w:t>ů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rn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na = -0,51, 95% interval spolehlivosti (IS) [-1,35; 0,34 ], t(66) = -1,20, p = 0,236)</w:t>
      </w:r>
    </w:p>
    <w:p>
      <w:pPr>
        <w:pStyle w:val="Body Text"/>
      </w:pPr>
      <w:bookmarkEnd w:id="2"/>
    </w:p>
    <w:p>
      <w:pPr>
        <w:pStyle w:val="Heading 3"/>
      </w:pPr>
      <w:bookmarkStart w:name="testováníhypotéz" w:id="3"/>
      <w:r>
        <w:rPr>
          <w:rFonts w:cs="Arial Unicode MS" w:eastAsia="Arial Unicode MS"/>
          <w:rtl w:val="0"/>
        </w:rPr>
        <w:t>2.2 Testov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í </w:t>
      </w:r>
      <w:r>
        <w:rPr>
          <w:rFonts w:cs="Arial Unicode MS" w:eastAsia="Arial Unicode MS"/>
          <w:rtl w:val="0"/>
        </w:rPr>
        <w:t>hypot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z</w:t>
      </w:r>
    </w:p>
    <w:p>
      <w:pPr>
        <w:pStyle w:val="First Paragraph"/>
        <w:rPr>
          <w:color w:val="000000"/>
          <w:sz w:val="24"/>
        </w:rPr>
      </w:pPr>
      <w:r>
        <w:rPr>
          <w:rtl w:val="0"/>
          <w:lang w:val="en-US"/>
        </w:rPr>
        <w:t>Pacienti, kte</w:t>
      </w:r>
      <w:r>
        <w:rPr>
          <w:rtl w:val="0"/>
          <w:lang w:val="en-US"/>
        </w:rPr>
        <w:t xml:space="preserve">ří </w:t>
      </w:r>
      <w:r>
        <w:rPr>
          <w:rtl w:val="0"/>
          <w:lang w:val="en-US"/>
        </w:rPr>
        <w:t>rok po operaci 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ibrali na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ze, sk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rovali v pr</w:t>
      </w:r>
      <w:r>
        <w:rPr>
          <w:rtl w:val="0"/>
          <w:lang w:val="en-US"/>
        </w:rPr>
        <w:t>ů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ru o 2,60 bodu ni</w:t>
      </w:r>
      <w:r>
        <w:rPr>
          <w:rtl w:val="0"/>
          <w:lang w:val="en-US"/>
        </w:rPr>
        <w:t xml:space="preserve">žší </w:t>
      </w:r>
      <w:r>
        <w:rPr>
          <w:rtl w:val="0"/>
          <w:lang w:val="en-US"/>
        </w:rPr>
        <w:t>BDI-II ne</w:t>
      </w:r>
      <w:r>
        <w:rPr>
          <w:rtl w:val="0"/>
          <w:lang w:val="en-US"/>
        </w:rPr>
        <w:t xml:space="preserve">ž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ed operac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zat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mco pacienti, kte</w:t>
      </w:r>
      <w:r>
        <w:rPr>
          <w:rtl w:val="0"/>
          <w:lang w:val="en-US"/>
        </w:rPr>
        <w:t xml:space="preserve">ří </w:t>
      </w:r>
      <w:r>
        <w:rPr>
          <w:rtl w:val="0"/>
          <w:lang w:val="en-US"/>
        </w:rPr>
        <w:t>rok po operaci nep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ibrali na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ze, sk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rovali v pr</w:t>
      </w:r>
      <w:r>
        <w:rPr>
          <w:rtl w:val="0"/>
          <w:lang w:val="en-US"/>
        </w:rPr>
        <w:t>ů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ru o 1,09 bodu vy</w:t>
      </w:r>
      <w:r>
        <w:rPr>
          <w:rtl w:val="0"/>
          <w:lang w:val="en-US"/>
        </w:rPr>
        <w:t xml:space="preserve">šší </w:t>
      </w:r>
      <w:r>
        <w:rPr>
          <w:rtl w:val="0"/>
          <w:lang w:val="en-US"/>
        </w:rPr>
        <w:t>BDI-II ne</w:t>
      </w:r>
      <w:r>
        <w:rPr>
          <w:rtl w:val="0"/>
          <w:lang w:val="en-US"/>
        </w:rPr>
        <w:t xml:space="preserve">ž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ed operac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. Rozd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l mezi t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mito pr</w:t>
      </w:r>
      <w:r>
        <w:rPr>
          <w:rtl w:val="0"/>
          <w:lang w:val="en-US"/>
        </w:rPr>
        <w:t>ů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ry nedos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hl statistick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 xml:space="preserve">znamnosti (95% IS [-0,13; 7,51], t(53,01) = 1,94, p = 0,058) a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V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</m:oMath>
      <w:r>
        <w:rPr>
          <w:rtl w:val="0"/>
          <w:lang w:val="en-US"/>
        </w:rPr>
        <w:t xml:space="preserve"> tud</w:t>
      </w:r>
      <w:r>
        <w:rPr>
          <w:rtl w:val="0"/>
          <w:lang w:val="en-US"/>
        </w:rPr>
        <w:t xml:space="preserve">íž </w:t>
      </w:r>
      <w:r>
        <w:rPr>
          <w:rtl w:val="0"/>
          <w:lang w:val="en-US"/>
        </w:rPr>
        <w:t>nebyla zam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tnuta.</w:t>
      </w:r>
    </w:p>
    <w:p>
      <w:pPr>
        <w:pStyle w:val="Body Text"/>
        <w:rPr>
          <w:color w:val="000000"/>
          <w:sz w:val="24"/>
        </w:rPr>
      </w:pPr>
      <w:r>
        <w:rPr>
          <w:rtl w:val="0"/>
          <w:lang w:val="en-US"/>
        </w:rPr>
        <w:t>Korela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matice prom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nn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ch vyjad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uj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ch 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nu je prezentov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na v </w:t>
      </w:r>
      <w:r>
        <w:rPr>
          <w:rtl w:val="0"/>
        </w:rPr>
        <w:t>Obr</w:t>
      </w:r>
      <w:r>
        <w:rPr>
          <w:rtl w:val="0"/>
        </w:rPr>
        <w:t>á</w:t>
      </w:r>
      <w:r>
        <w:rPr>
          <w:rtl w:val="0"/>
        </w:rPr>
        <w:t>zku 1</w:t>
      </w:r>
      <w:r>
        <w:rPr>
          <w:rtl w:val="0"/>
          <w:lang w:val="en-US"/>
        </w:rPr>
        <w:t>. Korelace mezi 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nou BDI-II a poopera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zm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nou na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ze byla negativn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a statisticky v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znamn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(r = -0,254, 95% IS [-0,464; -0,016], t = -2,132, p = 0,037). S ka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m p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ibran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>m kilogramem na v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ze se o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ek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van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hodnota BDI-II rok po operaci sn</w:t>
      </w:r>
      <w:r>
        <w:rPr>
          <w:rtl w:val="0"/>
          <w:lang w:val="en-US"/>
        </w:rPr>
        <w:t>íž</w:t>
      </w:r>
      <w:r>
        <w:rPr>
          <w:rtl w:val="0"/>
          <w:lang w:val="en-US"/>
        </w:rPr>
        <w:t>ila o 0,22 bodu (95% IS [-0,42;-0,01], t = -2,132, p = 0,037). D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 xml:space="preserve">čí </w:t>
      </w:r>
      <w:r>
        <w:rPr>
          <w:rtl w:val="0"/>
          <w:lang w:val="en-US"/>
        </w:rPr>
        <w:t>hypot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za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V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</m:oMath>
      <w:r>
        <w:rPr>
          <w:rtl w:val="0"/>
          <w:lang w:val="en-US"/>
        </w:rPr>
        <w:t xml:space="preserve"> tud</w:t>
      </w:r>
      <w:r>
        <w:rPr>
          <w:rtl w:val="0"/>
          <w:lang w:val="en-US"/>
        </w:rPr>
        <w:t xml:space="preserve">íž </w:t>
      </w:r>
      <w:r>
        <w:rPr>
          <w:rtl w:val="0"/>
          <w:lang w:val="en-US"/>
        </w:rPr>
        <w:t>byla zam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tnuta.</w:t>
      </w:r>
    </w:p>
    <w:p>
      <w:pPr>
        <w:pStyle w:val="Body Text"/>
        <w:widowControl w:val="0"/>
      </w:pPr>
    </w:p>
    <w:p>
      <w:pPr>
        <w:pStyle w:val="Heading 2"/>
      </w:pPr>
      <w:bookmarkStart w:name="reference" w:id="4"/>
      <w:r>
        <w:rPr>
          <w:rFonts w:cs="Arial Unicode MS" w:eastAsia="Arial Unicode MS"/>
          <w:rtl w:val="0"/>
          <w:lang w:val="en-US"/>
        </w:rPr>
        <w:t>3 Reference</w:t>
      </w:r>
      <w:bookmarkEnd w:id="4"/>
      <w:bookmarkEnd w:id="3"/>
    </w:p>
    <w:p>
      <w:pPr>
        <w:pStyle w:val="Bibliography"/>
      </w:pPr>
      <w:bookmarkStart w:name="refpsych" w:id="5"/>
      <w:r>
        <w:rPr>
          <w:rFonts w:cs="Arial Unicode MS" w:eastAsia="Arial Unicode MS"/>
          <w:rtl w:val="0"/>
          <w:lang w:val="en-US"/>
        </w:rPr>
        <w:t>R</w:t>
      </w:r>
      <w:bookmarkEnd w:id="5"/>
      <w:bookmarkStart w:name="refs" w:id="6"/>
      <w:r>
        <w:rPr>
          <w:rFonts w:cs="Arial Unicode MS" w:eastAsia="Arial Unicode MS"/>
          <w:rtl w:val="0"/>
          <w:lang w:val="en-US"/>
        </w:rPr>
        <w:t xml:space="preserve">evelle, William. 2022.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Psych: Procedures for Psychological, Psychometric, and Personality Research.</w:t>
      </w:r>
      <w:r>
        <w:rPr>
          <w:rFonts w:cs="Arial Unicode MS" w:eastAsia="Arial Unicode MS" w:hint="default"/>
          <w:rtl w:val="0"/>
          <w:lang w:val="en-US"/>
        </w:rPr>
        <w:t xml:space="preserve">”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"https://CRAN.R-project.org/package=psych"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https://CRAN.R-project.org/package=psych</w:t>
      </w:r>
      <w:bookmarkEnd w:id="6"/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939800</wp:posOffset>
                </wp:positionH>
                <wp:positionV relativeFrom="page">
                  <wp:posOffset>1584960</wp:posOffset>
                </wp:positionV>
                <wp:extent cx="5905500" cy="5067499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506749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280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964"/>
                              <w:gridCol w:w="1631"/>
                              <w:gridCol w:w="1630"/>
                              <w:gridCol w:w="2025"/>
                              <w:gridCol w:w="2030"/>
                            </w:tblGrid>
                            <w:tr>
                              <w:tblPrEx>
                                <w:shd w:val="clear" w:color="auto" w:fill="4f81bd"/>
                              </w:tblPrEx>
                              <w:trPr>
                                <w:trHeight w:val="251" w:hRule="atLeast"/>
                                <w:tblHeader/>
                              </w:trPr>
                              <w:tc>
                                <w:tcPr>
                                  <w:tcW w:type="dxa" w:w="9280"/>
                                  <w:gridSpan w:val="5"/>
                                  <w:tcBorders>
                                    <w:top w:val="single" w:color="d3d3d3" w:sz="16" w:space="0" w:shadow="0" w:frame="0"/>
                                    <w:left w:val="nil"/>
                                    <w:bottom w:val="single" w:color="d3d3d3" w:sz="16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1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60" w:line="240" w:lineRule="auto"/>
                                    <w:ind w:left="0" w:right="0" w:firstLine="0"/>
                                    <w:jc w:val="lef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Tabulka 1. Popis vzorku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4f81bd"/>
                              </w:tblPrEx>
                              <w:trPr>
                                <w:trHeight w:val="320" w:hRule="atLeast"/>
                                <w:tblHeader/>
                              </w:trPr>
                              <w:tc>
                                <w:tcPr>
                                  <w:tcW w:type="dxa" w:w="1964"/>
                                  <w:tcBorders>
                                    <w:top w:val="single" w:color="d3d3d3" w:sz="16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3261"/>
                                  <w:gridSpan w:val="2"/>
                                  <w:tcBorders>
                                    <w:top w:val="single" w:color="d3d3d3" w:sz="16" w:space="0" w:shadow="0" w:frame="0"/>
                                    <w:left w:val="nil"/>
                                    <w:bottom w:val="single" w:color="d3d3d3" w:sz="16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Popisn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á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statistika</w:t>
                                  </w:r>
                                </w:p>
                              </w:tc>
                              <w:tc>
                                <w:tcPr>
                                  <w:tcW w:type="dxa" w:w="4054"/>
                                  <w:gridSpan w:val="2"/>
                                  <w:tcBorders>
                                    <w:top w:val="single" w:color="d3d3d3" w:sz="16" w:space="0" w:shadow="0" w:frame="0"/>
                                    <w:left w:val="nil"/>
                                    <w:bottom w:val="single" w:color="d3d3d3" w:sz="16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Inferen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č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í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statistika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4f81bd"/>
                              </w:tblPrEx>
                              <w:trPr>
                                <w:trHeight w:val="310" w:hRule="atLeast"/>
                                <w:tblHeader/>
                              </w:trPr>
                              <w:tc>
                                <w:tcPr>
                                  <w:tcW w:type="dxa" w:w="19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single" w:color="d3d3d3" w:sz="16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ř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ed operac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sz w:val="20"/>
                                      <w:szCs w:val="20"/>
                                      <w:shd w:val="nil" w:color="auto" w:fill="auto"/>
                                      <w:vertAlign w:val="superscript"/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single" w:color="d3d3d3" w:sz="16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Po operaci</w:t>
                                  </w: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sz w:val="20"/>
                                      <w:szCs w:val="20"/>
                                      <w:shd w:val="nil" w:color="auto" w:fill="auto"/>
                                      <w:vertAlign w:val="superscript"/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24"/>
                                  <w:tcBorders>
                                    <w:top w:val="single" w:color="d3d3d3" w:sz="16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Poopera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č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í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zm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ě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sz w:val="20"/>
                                      <w:szCs w:val="20"/>
                                      <w:shd w:val="nil" w:color="auto" w:fill="auto"/>
                                      <w:vertAlign w:val="superscript"/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0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Test nulov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hypot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zy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36" w:hRule="atLeast"/>
                              </w:trPr>
                              <w:tc>
                                <w:tcPr>
                                  <w:tcW w:type="dxa" w:w="19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</w:pP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Č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as od operace (roky)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-0,41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0,28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1,15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0,25</w:t>
                                  </w:r>
                                </w:p>
                              </w:tc>
                              <w:tc>
                                <w:tcPr>
                                  <w:tcW w:type="dxa" w:w="202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0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36" w:hRule="atLeast"/>
                              </w:trPr>
                              <w:tc>
                                <w:tcPr>
                                  <w:tcW w:type="dxa" w:w="19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ě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k (roky)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56,13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8,78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57,68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8,82</w:t>
                                  </w:r>
                                </w:p>
                              </w:tc>
                              <w:tc>
                                <w:tcPr>
                                  <w:tcW w:type="dxa" w:w="202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0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36" w:hRule="atLeast"/>
                              </w:trPr>
                              <w:tc>
                                <w:tcPr>
                                  <w:tcW w:type="dxa" w:w="19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Vzd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ě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í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(roky)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13,86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2,96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02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0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36" w:hRule="atLeast"/>
                              </w:trPr>
                              <w:tc>
                                <w:tcPr>
                                  <w:tcW w:type="dxa" w:w="19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Gender (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ž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eny/mu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ž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i)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29/39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02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0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36" w:hRule="atLeast"/>
                              </w:trPr>
                              <w:tc>
                                <w:tcPr>
                                  <w:tcW w:type="dxa" w:w="19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Trv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í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nemoci (roky)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10,54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4,26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02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20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96" w:hRule="atLeast"/>
                              </w:trPr>
                              <w:tc>
                                <w:tcPr>
                                  <w:tcW w:type="dxa" w:w="19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LEDD (mg)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1747,34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704,41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827,32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473,83</w:t>
                                  </w:r>
                                </w:p>
                              </w:tc>
                              <w:tc>
                                <w:tcPr>
                                  <w:tcW w:type="dxa" w:w="202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-933,55 [-1120,39, -746,71]</w:t>
                                  </w:r>
                                </w:p>
                              </w:tc>
                              <w:tc>
                                <w:tcPr>
                                  <w:tcW w:type="dxa" w:w="20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t(61) = -9,99; p &lt; 0,001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36" w:hRule="atLeast"/>
                              </w:trPr>
                              <w:tc>
                                <w:tcPr>
                                  <w:tcW w:type="dxa" w:w="19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Hmotnost (kg)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82,57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17,52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88,41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18,35</w:t>
                                  </w:r>
                                </w:p>
                              </w:tc>
                              <w:tc>
                                <w:tcPr>
                                  <w:tcW w:type="dxa" w:w="202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5,84 [3,58, 8,10]</w:t>
                                  </w:r>
                                </w:p>
                              </w:tc>
                              <w:tc>
                                <w:tcPr>
                                  <w:tcW w:type="dxa" w:w="20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t(67) = 5,16; p &lt; 0,001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36" w:hRule="atLeast"/>
                              </w:trPr>
                              <w:tc>
                                <w:tcPr>
                                  <w:tcW w:type="dxa" w:w="19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BMI (kg/m2)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27,28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5,37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29,52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5,36</w:t>
                                  </w:r>
                                </w:p>
                              </w:tc>
                              <w:tc>
                                <w:tcPr>
                                  <w:tcW w:type="dxa" w:w="202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2,00 [1,24, 2,77]</w:t>
                                  </w:r>
                                </w:p>
                              </w:tc>
                              <w:tc>
                                <w:tcPr>
                                  <w:tcW w:type="dxa" w:w="20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t(63) = 5,23; p &lt; 0,001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36" w:hRule="atLeast"/>
                              </w:trPr>
                              <w:tc>
                                <w:tcPr>
                                  <w:tcW w:type="dxa" w:w="19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BDI-II (rozsah 0-63)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10,41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6,79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9,06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7,09</w:t>
                                  </w:r>
                                </w:p>
                              </w:tc>
                              <w:tc>
                                <w:tcPr>
                                  <w:tcW w:type="dxa" w:w="202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-1,35 [-3,30, 0,60]</w:t>
                                  </w:r>
                                </w:p>
                              </w:tc>
                              <w:tc>
                                <w:tcPr>
                                  <w:tcW w:type="dxa" w:w="20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t(67) = -1,38; p = 0,171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36" w:hRule="atLeast"/>
                              </w:trPr>
                              <w:tc>
                                <w:tcPr>
                                  <w:tcW w:type="dxa" w:w="19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DRS-2 (rozsah 0-144)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139,28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4,30</w:t>
                                  </w:r>
                                </w:p>
                              </w:tc>
                              <w:tc>
                                <w:tcPr>
                                  <w:tcW w:type="dxa" w:w="163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139,12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3,84</w:t>
                                  </w:r>
                                </w:p>
                              </w:tc>
                              <w:tc>
                                <w:tcPr>
                                  <w:tcW w:type="dxa" w:w="202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-0,16 [-1,24, 0,92]</w:t>
                                  </w:r>
                                </w:p>
                              </w:tc>
                              <w:tc>
                                <w:tcPr>
                                  <w:tcW w:type="dxa" w:w="202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t(67) = -0,30; p = 0,766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60" w:hRule="atLeast"/>
                              </w:trPr>
                              <w:tc>
                                <w:tcPr>
                                  <w:tcW w:type="dxa" w:w="9280"/>
                                  <w:gridSpan w:val="5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ffffff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sz w:val="20"/>
                                      <w:szCs w:val="20"/>
                                      <w:vertAlign w:val="superscript"/>
                                      <w:rtl w:val="0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Hodnoty reprezentuj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í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ů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ě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sm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ě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rodatnou odchylku pro spojit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prom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ě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nn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a po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č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ty pro nomin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ln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í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prom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ě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nn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é</w:t>
                                  </w:r>
                                </w:p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sz w:val="20"/>
                                      <w:szCs w:val="20"/>
                                      <w:vertAlign w:val="superscript"/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Hodnoty reprezentuj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í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odhad pr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ů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ě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rn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ho rozd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lu [95% interval spolehlivosti]</w:t>
                                  </w:r>
                                </w:p>
                                <w:p>
                                  <w:pPr>
                                    <w:pStyle w:val="Body"/>
                                    <w:keepNext w:val="1"/>
                                    <w:spacing w:after="60"/>
                                  </w:pP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LEDD = ekvivalentn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í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denn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í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vka L-DOPA, BMI = body mass index, BDI-II = Beck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ů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v invent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ář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depresivity, druh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á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edice, DRS-2 = Mattisova 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la demence, druh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á </w:t>
                                  </w:r>
                                  <w:r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>edice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type="dxa" w:w="9280"/>
                                  <w:gridSpan w:val="5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ffffff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646" w:hRule="atLeast"/>
                              </w:trPr>
                              <w:tc>
                                <w:tcPr>
                                  <w:tcW w:type="dxa" w:w="9280"/>
                                  <w:gridSpan w:val="5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ffffff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4.0pt;margin-top:124.8pt;width:465.0pt;height:399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280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964"/>
                        <w:gridCol w:w="1631"/>
                        <w:gridCol w:w="1630"/>
                        <w:gridCol w:w="2025"/>
                        <w:gridCol w:w="2030"/>
                      </w:tblGrid>
                      <w:tr>
                        <w:tblPrEx>
                          <w:shd w:val="clear" w:color="auto" w:fill="4f81bd"/>
                        </w:tblPrEx>
                        <w:trPr>
                          <w:trHeight w:val="251" w:hRule="atLeast"/>
                          <w:tblHeader/>
                        </w:trPr>
                        <w:tc>
                          <w:tcPr>
                            <w:tcW w:type="dxa" w:w="9280"/>
                            <w:gridSpan w:val="5"/>
                            <w:tcBorders>
                              <w:top w:val="single" w:color="d3d3d3" w:sz="16" w:space="0" w:shadow="0" w:frame="0"/>
                              <w:left w:val="nil"/>
                              <w:bottom w:val="single" w:color="d3d3d3" w:sz="16" w:space="0" w:shadow="0" w:frame="0"/>
                              <w:right w:val="single" w:color="ffffff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1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Tabulka 1. Popis vzorku</w:t>
                            </w:r>
                          </w:p>
                        </w:tc>
                      </w:tr>
                      <w:tr>
                        <w:tblPrEx>
                          <w:shd w:val="clear" w:color="auto" w:fill="4f81bd"/>
                        </w:tblPrEx>
                        <w:trPr>
                          <w:trHeight w:val="320" w:hRule="atLeast"/>
                          <w:tblHeader/>
                        </w:trPr>
                        <w:tc>
                          <w:tcPr>
                            <w:tcW w:type="dxa" w:w="1964"/>
                            <w:tcBorders>
                              <w:top w:val="single" w:color="d3d3d3" w:sz="16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3261"/>
                            <w:gridSpan w:val="2"/>
                            <w:tcBorders>
                              <w:top w:val="single" w:color="d3d3d3" w:sz="16" w:space="0" w:shadow="0" w:frame="0"/>
                              <w:left w:val="nil"/>
                              <w:bottom w:val="single" w:color="d3d3d3" w:sz="16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Popisn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á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statistika</w:t>
                            </w:r>
                          </w:p>
                        </w:tc>
                        <w:tc>
                          <w:tcPr>
                            <w:tcW w:type="dxa" w:w="4054"/>
                            <w:gridSpan w:val="2"/>
                            <w:tcBorders>
                              <w:top w:val="single" w:color="d3d3d3" w:sz="16" w:space="0" w:shadow="0" w:frame="0"/>
                              <w:left w:val="nil"/>
                              <w:bottom w:val="single" w:color="d3d3d3" w:sz="16" w:space="0" w:shadow="0" w:frame="0"/>
                              <w:right w:val="single" w:color="ffffff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Inferen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č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í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statistika</w:t>
                            </w:r>
                          </w:p>
                        </w:tc>
                      </w:tr>
                      <w:tr>
                        <w:tblPrEx>
                          <w:shd w:val="clear" w:color="auto" w:fill="4f81bd"/>
                        </w:tblPrEx>
                        <w:trPr>
                          <w:trHeight w:val="310" w:hRule="atLeast"/>
                          <w:tblHeader/>
                        </w:trPr>
                        <w:tc>
                          <w:tcPr>
                            <w:tcW w:type="dxa" w:w="19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630"/>
                            <w:tcBorders>
                              <w:top w:val="single" w:color="d3d3d3" w:sz="16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ř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ed operac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20"/>
                                <w:szCs w:val="20"/>
                                <w:shd w:val="nil" w:color="auto" w:fill="auto"/>
                                <w:vertAlign w:val="superscript"/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single" w:color="d3d3d3" w:sz="16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Po operaci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20"/>
                                <w:szCs w:val="20"/>
                                <w:shd w:val="nil" w:color="auto" w:fill="auto"/>
                                <w:vertAlign w:val="superscript"/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24"/>
                            <w:tcBorders>
                              <w:top w:val="single" w:color="d3d3d3" w:sz="16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Poopera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č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í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zm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ě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na</w:t>
                            </w: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20"/>
                                <w:szCs w:val="20"/>
                                <w:shd w:val="nil" w:color="auto" w:fill="auto"/>
                                <w:vertAlign w:val="superscript"/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0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Test nulov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é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hypot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zy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36" w:hRule="atLeast"/>
                        </w:trPr>
                        <w:tc>
                          <w:tcPr>
                            <w:tcW w:type="dxa" w:w="19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</w:pP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Č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as od operace (roky)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-0,41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0,28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1,15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0,25</w:t>
                            </w:r>
                          </w:p>
                        </w:tc>
                        <w:tc>
                          <w:tcPr>
                            <w:tcW w:type="dxa" w:w="202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0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36" w:hRule="atLeast"/>
                        </w:trPr>
                        <w:tc>
                          <w:tcPr>
                            <w:tcW w:type="dxa" w:w="19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ě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k (roky)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56,13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8,78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57,68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8,82</w:t>
                            </w:r>
                          </w:p>
                        </w:tc>
                        <w:tc>
                          <w:tcPr>
                            <w:tcW w:type="dxa" w:w="202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0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36" w:hRule="atLeast"/>
                        </w:trPr>
                        <w:tc>
                          <w:tcPr>
                            <w:tcW w:type="dxa" w:w="19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Vzd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ě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í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(roky)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13,86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2,96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02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0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36" w:hRule="atLeast"/>
                        </w:trPr>
                        <w:tc>
                          <w:tcPr>
                            <w:tcW w:type="dxa" w:w="19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Gender (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ž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eny/mu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ž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i)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29/39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02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0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36" w:hRule="atLeast"/>
                        </w:trPr>
                        <w:tc>
                          <w:tcPr>
                            <w:tcW w:type="dxa" w:w="19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Trv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í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nemoci (roky)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10,54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4,26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02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type="dxa" w:w="20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496" w:hRule="atLeast"/>
                        </w:trPr>
                        <w:tc>
                          <w:tcPr>
                            <w:tcW w:type="dxa" w:w="19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LEDD (mg)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1747,34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704,41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827,32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473,83</w:t>
                            </w:r>
                          </w:p>
                        </w:tc>
                        <w:tc>
                          <w:tcPr>
                            <w:tcW w:type="dxa" w:w="202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-933,55 [-1120,39, -746,71]</w:t>
                            </w:r>
                          </w:p>
                        </w:tc>
                        <w:tc>
                          <w:tcPr>
                            <w:tcW w:type="dxa" w:w="20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t(61) = -9,99; p &lt; 0,001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36" w:hRule="atLeast"/>
                        </w:trPr>
                        <w:tc>
                          <w:tcPr>
                            <w:tcW w:type="dxa" w:w="19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Hmotnost (kg)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82,57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17,52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88,41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18,35</w:t>
                            </w:r>
                          </w:p>
                        </w:tc>
                        <w:tc>
                          <w:tcPr>
                            <w:tcW w:type="dxa" w:w="202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5,84 [3,58, 8,10]</w:t>
                            </w:r>
                          </w:p>
                        </w:tc>
                        <w:tc>
                          <w:tcPr>
                            <w:tcW w:type="dxa" w:w="20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t(67) = 5,16; p &lt; 0,001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36" w:hRule="atLeast"/>
                        </w:trPr>
                        <w:tc>
                          <w:tcPr>
                            <w:tcW w:type="dxa" w:w="19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BMI (kg/m2)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27,28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5,37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29,52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5,36</w:t>
                            </w:r>
                          </w:p>
                        </w:tc>
                        <w:tc>
                          <w:tcPr>
                            <w:tcW w:type="dxa" w:w="202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2,00 [1,24, 2,77]</w:t>
                            </w:r>
                          </w:p>
                        </w:tc>
                        <w:tc>
                          <w:tcPr>
                            <w:tcW w:type="dxa" w:w="20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t(63) = 5,23; p &lt; 0,001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36" w:hRule="atLeast"/>
                        </w:trPr>
                        <w:tc>
                          <w:tcPr>
                            <w:tcW w:type="dxa" w:w="19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BDI-II (rozsah 0-63)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10,41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6,79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9,06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7,09</w:t>
                            </w:r>
                          </w:p>
                        </w:tc>
                        <w:tc>
                          <w:tcPr>
                            <w:tcW w:type="dxa" w:w="202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-1,35 [-3,30, 0,60]</w:t>
                            </w:r>
                          </w:p>
                        </w:tc>
                        <w:tc>
                          <w:tcPr>
                            <w:tcW w:type="dxa" w:w="20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t(67) = -1,38; p = 0,171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36" w:hRule="atLeast"/>
                        </w:trPr>
                        <w:tc>
                          <w:tcPr>
                            <w:tcW w:type="dxa" w:w="19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DRS-2 (rozsah 0-144)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139,28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4,30</w:t>
                            </w:r>
                          </w:p>
                        </w:tc>
                        <w:tc>
                          <w:tcPr>
                            <w:tcW w:type="dxa" w:w="163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139,12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3,84</w:t>
                            </w:r>
                          </w:p>
                        </w:tc>
                        <w:tc>
                          <w:tcPr>
                            <w:tcW w:type="dxa" w:w="202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-0,16 [-1,24, 0,92]</w:t>
                            </w:r>
                          </w:p>
                        </w:tc>
                        <w:tc>
                          <w:tcPr>
                            <w:tcW w:type="dxa" w:w="202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shd w:val="nil" w:color="auto" w:fill="auto"/>
                                <w:rtl w:val="0"/>
                                <w:lang w:val="en-US"/>
                              </w:rPr>
                              <w:t>t(67) = -0,30; p = 0,766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60" w:hRule="atLeast"/>
                        </w:trPr>
                        <w:tc>
                          <w:tcPr>
                            <w:tcW w:type="dxa" w:w="9280"/>
                            <w:gridSpan w:val="5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color="ffffff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keepNext w:val="1"/>
                              <w:spacing w:after="60"/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20"/>
                                <w:szCs w:val="20"/>
                                <w:vertAlign w:val="superscript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Hodnoty reprezentuj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í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ů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ě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±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sm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ě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rodatnou odchylku pro spojit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é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prom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ě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nn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é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 po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č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ty pro nomin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ln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í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prom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ě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nn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é</w:t>
                            </w:r>
                          </w:p>
                          <w:p>
                            <w:pPr>
                              <w:pStyle w:val="Body"/>
                              <w:keepNext w:val="1"/>
                              <w:spacing w:after="60"/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sz w:val="20"/>
                                <w:szCs w:val="20"/>
                                <w:vertAlign w:val="superscript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Hodnoty reprezentuj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í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odhad pr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ů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ě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rn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ho rozd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lu [95% interval spolehlivosti]</w:t>
                            </w:r>
                          </w:p>
                          <w:p>
                            <w:pPr>
                              <w:pStyle w:val="Body"/>
                              <w:keepNext w:val="1"/>
                              <w:spacing w:after="60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LEDD = ekvivalentn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í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denn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í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vka L-DOPA, BMI = body mass index, BDI-II = Beck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ů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v invent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ář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depresivity, druh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á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edice, DRS-2 = Mattisova 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š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la demence, druh</w:t>
                            </w:r>
                            <w:r>
                              <w:rPr>
                                <w:rFonts w:ascii="Calibri" w:hAnsi="Calibri" w:hint="defaul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á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edice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20" w:hRule="atLeast"/>
                        </w:trPr>
                        <w:tc>
                          <w:tcPr>
                            <w:tcW w:type="dxa" w:w="9280"/>
                            <w:gridSpan w:val="5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single" w:color="ffffff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646" w:hRule="atLeast"/>
                        </w:trPr>
                        <w:tc>
                          <w:tcPr>
                            <w:tcW w:type="dxa" w:w="9280"/>
                            <w:gridSpan w:val="5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single" w:color="ffffff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br w:type="page"/>
      </w:r>
    </w:p>
    <w:p>
      <w:pPr>
        <w:pStyle w:val="Bibliography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1371599</wp:posOffset>
                </wp:positionH>
                <wp:positionV relativeFrom="page">
                  <wp:posOffset>1191459</wp:posOffset>
                </wp:positionV>
                <wp:extent cx="5029200" cy="5728739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7287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920" w:type="dxa"/>
                              <w:tblInd w:w="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7920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8862" w:hRule="atLeast"/>
                              </w:trPr>
                              <w:tc>
                                <w:tcPr>
                                  <w:tcW w:type="dxa" w:w="79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jc w:val="center"/>
                                    <w:rPr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shd w:val="nil" w:color="auto" w:fill="auto"/>
                                      <w:lang w:val="en-US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334001" cy="5334001"/>
                                        <wp:effectExtent l="0" t="0" r="0" b="0"/>
                                        <wp:docPr id="1073741827" name="officeArt object" descr="rId23.jpe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7" name="rId23.jpeg" descr="rId23.jpe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334001" cy="53340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color w:val="000000"/>
                                      <w:sz w:val="22"/>
                                      <w:rtl w:val="0"/>
                                    </w:rPr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Figure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 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1: Korela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č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í 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anal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ý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za prom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ě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nn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ý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ch vyjad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ř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uj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í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í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ch zm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ě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nu po operaci. 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Čí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sla nad hlavn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í 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diagon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lou vyjad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ř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uj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í 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hodnotu p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á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rov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é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ho Pearsonova korela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č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í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ho koeficientu.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6"/>
                                        <w:szCs w:val="26"/>
                                      </w:rPr>
                                      <m:t>*</m:t>
                                    </m:r>
                                  </m:oMath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p &lt; 0,05; ***p &lt; 0,001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08.0pt;margin-top:93.8pt;width:396.0pt;height:451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920" w:type="dxa"/>
                        <w:tblInd w:w="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7920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8862" w:hRule="atLeast"/>
                        </w:trPr>
                        <w:tc>
                          <w:tcPr>
                            <w:tcW w:type="dxa" w:w="79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jc w:val="center"/>
                              <w:rPr>
                                <w:shd w:val="nil" w:color="auto" w:fill="auto"/>
                              </w:rPr>
                            </w:pPr>
                            <w:r>
                              <w:rPr>
                                <w:shd w:val="nil" w:color="auto" w:fill="auto"/>
                                <w:lang w:val="en-US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334001" cy="5334001"/>
                                  <wp:effectExtent l="0" t="0" r="0" b="0"/>
                                  <wp:docPr id="1073741827" name="officeArt object" descr="rId23.jpe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rId23.jpeg" descr="rId23.jpe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01" cy="53340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2"/>
                                <w:rtl w:val="0"/>
                              </w:rPr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Figure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 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1: Korela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č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í 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anal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ý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za prom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ě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nn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ý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ch vyjad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ř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uj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ch zm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ě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nu po operaci. 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Čí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sla nad hlavn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í 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diagon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lou vyjad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ř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uj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í 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hodnotu p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rov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ho Pearsonova korela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č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ho koeficientu.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6"/>
                                  <w:szCs w:val="26"/>
                                </w:rPr>
                                <m:t>*</m:t>
                              </m:r>
                            </m:oMath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p &lt; 0,05; ***p &lt; 0,001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5"/>
      <w:footerReference w:type="default" r:id="rId6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shd w:val="nil" w:color="auto" w:fill="auto"/>
      <w:vertAlign w:val="baseline"/>
      <w:lang w:val="en-US"/>
      <w14:textOutline>
        <w14:noFill/>
      </w14:textOutline>
      <w14:textFill>
        <w14:solidFill>
          <w14:srgbClr w14:val="345A8A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uthor">
    <w:name w:val="Author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ate">
    <w:name w:val="Dat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Bibliography">
    <w:name w:val="Bibliography"/>
    <w:next w:val="Bibliograph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4f81bd"/>
      <w:u w:val="single" w:color="4f81bd"/>
      <w14:textFill>
        <w14:solidFill>
          <w14:srgbClr w14:val="4F81B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