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3"/>
        <w:gridCol w:w="1599"/>
        <w:gridCol w:w="1600"/>
        <w:gridCol w:w="2150"/>
        <w:gridCol w:w="2038"/>
      </w:tblGrid>
      <w:tr>
        <w:tblPrEx>
          <w:shd w:val="clear" w:color="auto" w:fill="4f81bd"/>
        </w:tblPrEx>
        <w:trPr>
          <w:trHeight w:val="320" w:hRule="atLeast"/>
          <w:tblHeader/>
        </w:trPr>
        <w:tc>
          <w:tcPr>
            <w:tcW w:type="dxa" w:w="1973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9"/>
            <w:gridSpan w:val="2"/>
            <w:tcBorders>
              <w:top w:val="single" w:color="d3d3d3" w:sz="16" w:space="0" w:shadow="0" w:frame="0"/>
              <w:left w:val="nil"/>
              <w:bottom w:val="single" w:color="d3d3d3" w:sz="1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Popisn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statistika</w:t>
            </w:r>
          </w:p>
        </w:tc>
        <w:tc>
          <w:tcPr>
            <w:tcW w:type="dxa" w:w="4187"/>
            <w:gridSpan w:val="2"/>
            <w:tcBorders>
              <w:top w:val="single" w:color="d3d3d3" w:sz="16" w:space="0" w:shadow="0" w:frame="0"/>
              <w:left w:val="nil"/>
              <w:bottom w:val="single" w:color="d3d3d3" w:sz="16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Inferen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č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statistika</w:t>
            </w:r>
          </w:p>
        </w:tc>
      </w:tr>
      <w:tr>
        <w:tblPrEx>
          <w:shd w:val="clear" w:color="auto" w:fill="4f81bd"/>
        </w:tblPrEx>
        <w:trPr>
          <w:trHeight w:val="310" w:hRule="atLeast"/>
          <w:tblHeader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9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P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ř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ed operac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í</w:t>
            </w:r>
            <w:r>
              <w:rPr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1</w:t>
            </w:r>
          </w:p>
        </w:tc>
        <w:tc>
          <w:tcPr>
            <w:tcW w:type="dxa" w:w="1599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Po operaci</w:t>
            </w:r>
            <w:r>
              <w:rPr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1</w:t>
            </w:r>
          </w:p>
        </w:tc>
        <w:tc>
          <w:tcPr>
            <w:tcW w:type="dxa" w:w="2149"/>
            <w:tcBorders>
              <w:top w:val="single" w:color="d3d3d3" w:sz="1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Poopera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č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zm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na</w:t>
            </w:r>
            <w:r>
              <w:rPr>
                <w:rFonts w:ascii="Calibri" w:hAnsi="Calibri"/>
                <w:i w:val="1"/>
                <w:iCs w:val="1"/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2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Test nulov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hypot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zy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Č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as od operace (roky)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-0,41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0,28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1,15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0,25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V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k (roky)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56,13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8,78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57,68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8,82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Vzd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l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(roky)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13,86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2,96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Gender (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ž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eny/mu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ž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i)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29/39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Trv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>á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nemoci (roky)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10,54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4,26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LEDD (mg)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1747,34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704,41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827,32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473,83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-933,55 [-1120,39, -746,71]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t(61) = -9,99; p &lt; 0,001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Hmotnost (kg)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82,57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17,52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88,41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18,35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5,84 [3,58, 8,10]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t(67) = 5,16; p &lt; 0,001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BMI (kg/m</w:t>
            </w:r>
            <w:r>
              <w:rPr>
                <w:rFonts w:ascii="Calibri" w:hAnsi="Calibri"/>
                <w:sz w:val="20"/>
                <w:szCs w:val="20"/>
                <w:vertAlign w:val="superscript"/>
                <w:rtl w:val="0"/>
                <w:lang w:val="en-US"/>
              </w:rPr>
              <w:t>2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27,28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5,37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29,52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5,36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2,00 [1,24, 2,77]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t(63) = 5,23; p &lt; 0,001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BDI-II (rozsah 0-63)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10,41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6,79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9,06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7,09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-1,35 [-3,30, 0,60]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t(67) = -1,38; p = 0,171</w:t>
            </w:r>
          </w:p>
        </w:tc>
      </w:tr>
      <w:tr>
        <w:tblPrEx>
          <w:shd w:val="clear" w:color="auto" w:fill="ced7e7"/>
        </w:tblPrEx>
        <w:trPr>
          <w:trHeight w:val="236" w:hRule="atLeast"/>
        </w:trPr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DRS-2 (rozsah 0-144)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139,28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4,30</w:t>
            </w:r>
          </w:p>
        </w:tc>
        <w:tc>
          <w:tcPr>
            <w:tcW w:type="dxa" w:w="15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139,12 </w:t>
            </w:r>
            <w:r>
              <w:rPr>
                <w:rFonts w:ascii="Calibri" w:hAnsi="Calibri" w:hint="default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3,84</w:t>
            </w:r>
          </w:p>
        </w:tc>
        <w:tc>
          <w:tcPr>
            <w:tcW w:type="dxa" w:w="21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-0,16 [-1,24, 0,92]</w:t>
            </w:r>
          </w:p>
        </w:tc>
        <w:tc>
          <w:tcPr>
            <w:tcW w:type="dxa" w:w="20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  <w:jc w:val="center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t(67) = -0,30; p = 0,766</w:t>
            </w:r>
          </w:p>
        </w:tc>
      </w:tr>
      <w:tr>
        <w:tblPrEx>
          <w:shd w:val="clear" w:color="auto" w:fill="ced7e7"/>
        </w:tblPrEx>
        <w:trPr>
          <w:trHeight w:val="160" w:hRule="atLeast"/>
        </w:trPr>
        <w:tc>
          <w:tcPr>
            <w:tcW w:type="dxa" w:w="9360"/>
            <w:gridSpan w:val="5"/>
            <w:vMerge w:val="restart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i w:val="1"/>
                <w:iCs w:val="1"/>
                <w:sz w:val="20"/>
                <w:szCs w:val="20"/>
                <w:vertAlign w:val="superscript"/>
                <w:rtl w:val="0"/>
                <w:lang w:val="en-US"/>
              </w:rPr>
              <w:t>1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Hodnoty reprezentuj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pr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ů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m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r 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±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sm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rodatnou odchylku pro spojit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prom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nn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é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a po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č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ty pro nomin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ln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prom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nn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é</w:t>
            </w:r>
          </w:p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i w:val="1"/>
                <w:iCs w:val="1"/>
                <w:sz w:val="20"/>
                <w:szCs w:val="20"/>
                <w:vertAlign w:val="superscript"/>
                <w:rtl w:val="0"/>
                <w:lang w:val="en-US"/>
              </w:rPr>
              <w:t>2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Hodnoty reprezentuj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odhad pr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ů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m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ě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rn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é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ho rozd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í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lu [95% interval spolehlivosti]</w:t>
            </w:r>
          </w:p>
          <w:p>
            <w:pPr>
              <w:pStyle w:val="Body"/>
              <w:keepNext w:val="1"/>
              <w:spacing w:after="60"/>
            </w:pP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LEDD = ekvivalentn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denn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í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vka L-DOPA, BMI = body mass index, BDI-II = Beck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ů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v invent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ář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depresivity, druh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á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 xml:space="preserve">edice, DRS-2 = Mattisova 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š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k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>á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la demence, druh</w:t>
            </w:r>
            <w:r>
              <w:rPr>
                <w:rFonts w:ascii="Calibri" w:hAnsi="Calibri" w:hint="default"/>
                <w:sz w:val="20"/>
                <w:szCs w:val="20"/>
                <w:rtl w:val="0"/>
                <w:lang w:val="en-US"/>
              </w:rPr>
              <w:t xml:space="preserve">á </w:t>
            </w:r>
            <w:r>
              <w:rPr>
                <w:rFonts w:ascii="Calibri" w:hAnsi="Calibri"/>
                <w:sz w:val="20"/>
                <w:szCs w:val="20"/>
                <w:rtl w:val="0"/>
                <w:lang w:val="en-US"/>
              </w:rPr>
              <w:t>edice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360"/>
            <w:gridSpan w:val="5"/>
            <w:vMerge w:val="continue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46" w:hRule="atLeast"/>
        </w:trPr>
        <w:tc>
          <w:tcPr>
            <w:tcW w:type="dxa" w:w="9360"/>
            <w:gridSpan w:val="5"/>
            <w:vMerge w:val="continue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</w:tcPr>
          <w:p/>
        </w:tc>
      </w:tr>
    </w:tbl>
    <w:p>
      <w:pPr>
        <w:pStyle w:val="Body"/>
        <w:widowControl w:val="0"/>
        <w:jc w:val="center"/>
      </w:pPr>
      <w:r/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