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Unified Sovereign Trust</w:t>
        <w:br/>
        <w:t>Platform vs. Alternatives</w:t>
      </w:r>
    </w:p>
    <w:p>
      <w:pPr>
        <w:pStyle w:val="Kicker"/>
      </w:pPr>
      <w:r>
        <w:t>EXECUTIVE COMPETITIVE SUMMARY</w:t>
      </w:r>
    </w:p>
    <w:p>
      <w:pPr>
        <w:pStyle w:val="Heading2"/>
      </w:pPr>
      <w:r>
        <w:t>The competitive position</w:t>
      </w:r>
    </w:p>
    <w:p>
      <w:pPr/>
      <w:r>
        <w:t>Circularo brings document workflows, organizational identity and digital trust services together for enterprises and service operators that need control over how trusted digital interactions are delivered.</w:t>
      </w:r>
    </w:p>
    <w:p>
      <w:pPr/>
      <w:r>
        <w:t xml:space="preserve">Its strongest position is where three requirements meet: </w:t>
      </w:r>
      <w:r>
        <w:rPr>
          <w:b/>
        </w:rPr>
        <w:t>connected document processes, customer-controlled deployment, and shared services across multiple organizations.</w:t>
      </w:r>
      <w:r>
        <w:t xml:space="preserve"> Circularo combines these with documented UAE PASS and Nafath integrations and government-service experience. </w:t>
      </w:r>
      <w:hyperlink r:id="rId11">
        <w:r>
          <w:rPr>
            <w:rFonts w:ascii="Mulish" w:hAnsi="Mulish" w:cs="Mulish"/>
            <w:color w:val="7000FF"/>
            <w:sz w:val="20"/>
            <w:szCs w:val="20"/>
            <w:vertAlign w:val="superscript"/>
          </w:rPr>
          <w:t xml:space="preserve">1</w:t>
        </w:r>
      </w:hyperlink>
      <w:r>
        <w:rPr>
          <w:rFonts w:ascii="Mulish" w:hAnsi="Mulish" w:eastAsia="Mulish" w:cs="Mulish"/>
          <w:b w:val="0"/>
          <w:color w:val="7000FF"/>
          <w:sz w:val="20"/>
          <w:vertAlign w:val="superscript"/>
        </w:rPr>
        <w:t xml:space="preserve">, </w:t>
      </w:r>
      <w:hyperlink r:id="rId12">
        <w:r>
          <w:rPr>
            <w:rFonts w:ascii="Mulish" w:hAnsi="Mulish" w:cs="Mulish"/>
            <w:color w:val="7000FF"/>
            <w:sz w:val="20"/>
            <w:szCs w:val="20"/>
            <w:vertAlign w:val="superscript"/>
          </w:rPr>
          <w:t xml:space="preserve">2</w:t>
        </w:r>
      </w:hyperlink>
      <w:r>
        <w:rPr>
          <w:rFonts w:ascii="Mulish" w:hAnsi="Mulish" w:eastAsia="Mulish" w:cs="Mulish"/>
          <w:b w:val="0"/>
          <w:color w:val="7000FF"/>
          <w:sz w:val="20"/>
          <w:vertAlign w:val="superscript"/>
        </w:rPr>
        <w:t xml:space="preserve">, </w:t>
      </w:r>
      <w:hyperlink r:id="rId13">
        <w:r>
          <w:rPr>
            <w:rFonts w:ascii="Mulish" w:hAnsi="Mulish" w:cs="Mulish"/>
            <w:color w:val="7000FF"/>
            <w:sz w:val="20"/>
            <w:szCs w:val="20"/>
            <w:vertAlign w:val="superscript"/>
          </w:rPr>
          <w:t xml:space="preserve">3</w:t>
        </w:r>
      </w:hyperlink>
      <w:r>
        <w:rPr>
          <w:rFonts w:ascii="Mulish" w:hAnsi="Mulish" w:eastAsia="Mulish" w:cs="Mulish"/>
          <w:b w:val="0"/>
          <w:color w:val="7000FF"/>
          <w:sz w:val="20"/>
          <w:vertAlign w:val="superscript"/>
        </w:rPr>
        <w:t xml:space="preserve">, </w:t>
      </w:r>
      <w:hyperlink r:id="rId14">
        <w:r>
          <w:rPr>
            <w:rFonts w:ascii="Mulish" w:hAnsi="Mulish" w:cs="Mulish"/>
            <w:color w:val="7000FF"/>
            <w:sz w:val="20"/>
            <w:szCs w:val="20"/>
            <w:vertAlign w:val="superscript"/>
          </w:rPr>
          <w:t xml:space="preserve">4</w:t>
        </w:r>
      </w:hyperlink>
    </w:p>
    <w:p>
      <w:pPr/>
      <w:r>
        <w:rPr>
          <w:b/>
        </w:rPr>
        <w:t>The value is in the combination: an organization's process, identity and evidence within an operating model that fits its requirements.</w:t>
      </w:r>
    </w:p>
    <w:p>
      <w:pPr>
        <w:pStyle w:val="Heading2"/>
      </w:pPr>
      <w:r>
        <w:t>What Unified Sovereign Trust Platform means</w:t>
      </w:r>
    </w:p>
    <w:tbl>
      <w:tblPr>
        <w:tblW w:type="auto" w:w="0"/>
        <w:jc w:val="left"/>
        <w:tblLayout w:type="fixed"/>
        <w:tblLook w:firstColumn="1" w:firstRow="1" w:lastColumn="0" w:lastRow="0" w:noHBand="0" w:noVBand="1" w:val="04A0"/>
        <w:tblInd w:w="180" w:type="dxa"/>
      </w:tblPr>
      <w:tblGrid>
        <w:gridCol w:w="2160"/>
        <w:gridCol w:w="8146"/>
      </w:tblGrid>
      <w:tr>
        <w:trPr>
          <w:cantSplit/>
          <w:tblHeader/>
        </w:trPr>
        <w:tc>
          <w:tcPr>
            <w:tcW w:type="dxa" w:w="2160"/>
            <w:tcMar>
              <w:top w:w="180" w:type="dxa"/>
              <w:bottom w:w="180" w:type="dxa"/>
              <w:left w:w="180" w:type="dxa"/>
              <w:right w:w="180" w:type="dxa"/>
            </w:tcMar>
            <w:shd w:fill="1D0090"/>
            <w:tcBorders>
              <w:top w:val="nil" w:sz="3" w:color="E4E7EC"/>
              <w:left w:val="nil" w:sz="3" w:color="E4E7EC"/>
              <w:bottom w:val="single" w:sz="3" w:color="E4E7EC"/>
              <w:right w:val="nil" w:sz="3" w:color="E4E7EC"/>
            </w:tcBorders>
            <w:vAlign w:val="top"/>
          </w:tcPr>
          <w:p>
            <w:pPr>
              <w:pStyle w:val="CellHeader"/>
              <w:keepNext w:val="0"/>
              <w:ind w:right="0"/>
            </w:pPr>
            <w:r>
              <w:t>Principle</w:t>
            </w:r>
          </w:p>
        </w:tc>
        <w:tc>
          <w:tcPr>
            <w:tcW w:type="dxa" w:w="8146"/>
            <w:tcMar>
              <w:top w:w="180" w:type="dxa"/>
              <w:bottom w:w="180" w:type="dxa"/>
              <w:left w:w="180" w:type="dxa"/>
              <w:right w:w="180" w:type="dxa"/>
            </w:tcMar>
            <w:shd w:fill="1D0090"/>
            <w:tcBorders>
              <w:top w:val="nil" w:sz="3" w:color="E4E7EC"/>
              <w:left w:val="nil" w:sz="3" w:color="E4E7EC"/>
              <w:bottom w:val="single" w:sz="3" w:color="E4E7EC"/>
              <w:right w:val="nil" w:sz="3" w:color="E4E7EC"/>
            </w:tcBorders>
            <w:vAlign w:val="top"/>
          </w:tcPr>
          <w:p>
            <w:pPr>
              <w:pStyle w:val="CellHeader"/>
              <w:keepNext w:val="0"/>
              <w:ind w:right="0"/>
            </w:pPr>
            <w:r>
              <w:t>What it means for the customer or operator</w:t>
            </w:r>
          </w:p>
        </w:tc>
      </w:tr>
      <w:tr>
        <w:trPr>
          <w:cantSplit/>
        </w:trPr>
        <w:tc>
          <w:tcPr>
            <w:tcW w:type="dxa" w:w="2160"/>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rPr>
                <w:b/>
              </w:rPr>
              <w:t>Unified</w:t>
            </w:r>
          </w:p>
        </w:tc>
        <w:tc>
          <w:tcPr>
            <w:tcW w:type="dxa" w:w="8146"/>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t xml:space="preserve">Connect document preparation, review, approvals, signing and retained process evidence through a configured platform and its integrations. </w:t>
            </w:r>
            <w:hyperlink r:id="rId11">
              <w:r>
                <w:rPr>
                  <w:rFonts w:ascii="Mulish" w:hAnsi="Mulish" w:cs="Mulish"/>
                  <w:color w:val="7000FF"/>
                  <w:sz w:val="20"/>
                  <w:szCs w:val="20"/>
                  <w:vertAlign w:val="superscript"/>
                </w:rPr>
                <w:t xml:space="preserve">1</w:t>
              </w:r>
            </w:hyperlink>
            <w:r>
              <w:rPr>
                <w:rFonts w:ascii="Mulish" w:hAnsi="Mulish" w:eastAsia="Mulish" w:cs="Mulish"/>
                <w:b w:val="0"/>
                <w:color w:val="7000FF"/>
                <w:sz w:val="20"/>
                <w:vertAlign w:val="superscript"/>
              </w:rPr>
              <w:t xml:space="preserve">, </w:t>
            </w:r>
            <w:hyperlink r:id="rId12">
              <w:r>
                <w:rPr>
                  <w:rFonts w:ascii="Mulish" w:hAnsi="Mulish" w:cs="Mulish"/>
                  <w:color w:val="7000FF"/>
                  <w:sz w:val="20"/>
                  <w:szCs w:val="20"/>
                  <w:vertAlign w:val="superscript"/>
                </w:rPr>
                <w:t xml:space="preserve">2</w:t>
              </w:r>
            </w:hyperlink>
          </w:p>
        </w:tc>
      </w:tr>
      <w:tr>
        <w:trPr>
          <w:cantSplit/>
        </w:trPr>
        <w:tc>
          <w:tcPr>
            <w:tcW w:type="dxa" w:w="2160"/>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rPr>
                <w:b/>
              </w:rPr>
              <w:t>Sovereign</w:t>
            </w:r>
          </w:p>
        </w:tc>
        <w:tc>
          <w:tcPr>
            <w:tcW w:type="dxa" w:w="8146"/>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t xml:space="preserve">Operate in customer-controlled infrastructure, with hosting, administration and service dependencies designed around the required control boundary. </w:t>
            </w:r>
            <w:hyperlink r:id="rId12">
              <w:r>
                <w:rPr>
                  <w:rFonts w:ascii="Mulish" w:hAnsi="Mulish" w:cs="Mulish"/>
                  <w:color w:val="7000FF"/>
                  <w:sz w:val="20"/>
                  <w:szCs w:val="20"/>
                  <w:vertAlign w:val="superscript"/>
                </w:rPr>
                <w:t xml:space="preserve">2</w:t>
              </w:r>
            </w:hyperlink>
          </w:p>
        </w:tc>
      </w:tr>
      <w:tr>
        <w:trPr>
          <w:cantSplit/>
        </w:trPr>
        <w:tc>
          <w:tcPr>
            <w:tcW w:type="dxa" w:w="2160"/>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rPr>
                <w:b/>
              </w:rPr>
              <w:t>Organizational identity</w:t>
            </w:r>
          </w:p>
        </w:tc>
        <w:tc>
          <w:tcPr>
            <w:tcW w:type="dxa" w:w="8146"/>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t xml:space="preserve">Configure the application name, branding, web domain, email identity and organizational signing certificates. Customer mail infrastructure can also be used. </w:t>
            </w:r>
            <w:hyperlink r:id="rId15">
              <w:r>
                <w:rPr>
                  <w:rFonts w:ascii="Mulish" w:hAnsi="Mulish" w:cs="Mulish"/>
                  <w:color w:val="7000FF"/>
                  <w:sz w:val="20"/>
                  <w:szCs w:val="20"/>
                  <w:vertAlign w:val="superscript"/>
                </w:rPr>
                <w:t xml:space="preserve">5</w:t>
              </w:r>
            </w:hyperlink>
            <w:r>
              <w:rPr>
                <w:rFonts w:ascii="Mulish" w:hAnsi="Mulish" w:eastAsia="Mulish" w:cs="Mulish"/>
                <w:b w:val="0"/>
                <w:color w:val="7000FF"/>
                <w:sz w:val="20"/>
                <w:vertAlign w:val="superscript"/>
              </w:rPr>
              <w:t xml:space="preserve">, </w:t>
            </w:r>
            <w:hyperlink r:id="rId16">
              <w:r>
                <w:rPr>
                  <w:rFonts w:ascii="Mulish" w:hAnsi="Mulish" w:cs="Mulish"/>
                  <w:color w:val="7000FF"/>
                  <w:sz w:val="20"/>
                  <w:szCs w:val="20"/>
                  <w:vertAlign w:val="superscript"/>
                </w:rPr>
                <w:t xml:space="preserve">6</w:t>
              </w:r>
            </w:hyperlink>
          </w:p>
        </w:tc>
      </w:tr>
      <w:tr>
        <w:trPr>
          <w:cantSplit/>
        </w:trPr>
        <w:tc>
          <w:tcPr>
            <w:tcW w:type="dxa" w:w="2160"/>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rPr>
                <w:b/>
              </w:rPr>
              <w:t>Shared services</w:t>
            </w:r>
          </w:p>
        </w:tc>
        <w:tc>
          <w:tcPr>
            <w:tcW w:type="dxa" w:w="8146"/>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t xml:space="preserve">Make common capabilities available to participating entities through a centrally operated service, with entity-specific administration and process controls. </w:t>
            </w:r>
            <w:hyperlink r:id="rId11">
              <w:r>
                <w:rPr>
                  <w:rFonts w:ascii="Mulish" w:hAnsi="Mulish" w:cs="Mulish"/>
                  <w:color w:val="7000FF"/>
                  <w:sz w:val="20"/>
                  <w:szCs w:val="20"/>
                  <w:vertAlign w:val="superscript"/>
                </w:rPr>
                <w:t xml:space="preserve">1</w:t>
              </w:r>
            </w:hyperlink>
            <w:r>
              <w:rPr>
                <w:rFonts w:ascii="Mulish" w:hAnsi="Mulish" w:eastAsia="Mulish" w:cs="Mulish"/>
                <w:b w:val="0"/>
                <w:color w:val="7000FF"/>
                <w:sz w:val="20"/>
                <w:vertAlign w:val="superscript"/>
              </w:rPr>
              <w:t xml:space="preserve">, </w:t>
            </w:r>
            <w:hyperlink r:id="rId12">
              <w:r>
                <w:rPr>
                  <w:rFonts w:ascii="Mulish" w:hAnsi="Mulish" w:cs="Mulish"/>
                  <w:color w:val="7000FF"/>
                  <w:sz w:val="20"/>
                  <w:szCs w:val="20"/>
                  <w:vertAlign w:val="superscript"/>
                </w:rPr>
                <w:t xml:space="preserve">2</w:t>
              </w:r>
            </w:hyperlink>
          </w:p>
        </w:tc>
      </w:tr>
    </w:tbl>
    <w:p>
      <w:pPr>
        <w:spacing w:before="0" w:after="0" w:line="160" w:lineRule="exact"/>
      </w:pPr>
      <w:r>
        <w:rPr>
          <w:sz w:val="2"/>
        </w:rPr>
      </w:r>
    </w:p>
    <w:tbl>
      <w:tblPr>
        <w:tblW w:type="auto" w:w="0"/>
        <w:jc w:val="left"/>
        <w:tblLayout w:type="fixed"/>
        <w:tblLook w:firstColumn="1" w:firstRow="1" w:lastColumn="0" w:lastRow="0" w:noHBand="0" w:noVBand="1" w:val="04A0"/>
        <w:tblInd w:w="60" w:type="dxa"/>
      </w:tblPr>
      <w:tblGrid>
        <w:gridCol w:w="2321"/>
        <w:gridCol w:w="340"/>
        <w:gridCol w:w="2321"/>
        <w:gridCol w:w="340"/>
        <w:gridCol w:w="2321"/>
        <w:gridCol w:w="340"/>
        <w:gridCol w:w="2321"/>
      </w:tblGrid>
      <w:tr>
        <w:trPr>
          <w:cantSplit/>
        </w:trPr>
        <w:tc>
          <w:tcPr>
            <w:tcW w:type="dxa" w:w="2321"/>
            <w:tcMar>
              <w:top w:w="60" w:type="dxa"/>
              <w:bottom w:w="60" w:type="dxa"/>
              <w:left w:w="60" w:type="dxa"/>
              <w:right w:w="60" w:type="dxa"/>
            </w:tcMar>
            <w:shd w:fill="F5EDFF"/>
            <w:tcBorders>
              <w:top w:val="nil" w:sz="3" w:color="E4E7EC"/>
              <w:left w:val="nil" w:sz="3" w:color="E4E7EC"/>
              <w:bottom w:val="nil" w:sz="3" w:color="E4E7EC"/>
              <w:right w:val="nil" w:sz="3" w:color="E4E7EC"/>
            </w:tcBorders>
            <w:vAlign w:val="center"/>
          </w:tcPr>
          <w:p>
            <w:pPr>
              <w:spacing w:line="200" w:lineRule="exact" w:after="60"/>
              <w:ind w:right="0"/>
              <w:jc w:val="center"/>
            </w:pPr>
            <w:r>
              <w:rPr>
                <w:rFonts w:ascii="Mulish" w:hAnsi="Mulish" w:eastAsia="Mulish" w:cs="Mulish"/>
                <w:b/>
                <w:color w:val="1D0090"/>
                <w:sz w:val="15"/>
              </w:rPr>
              <w:t>ONE OPERATOR</w:t>
            </w:r>
          </w:p>
          <w:p>
            <w:pPr>
              <w:spacing w:line="200" w:lineRule="exact" w:after="0" w:before="0"/>
              <w:ind w:right="0"/>
              <w:jc w:val="center"/>
            </w:pPr>
            <w:r>
              <w:rPr>
                <w:rFonts w:ascii="Mulish" w:hAnsi="Mulish" w:eastAsia="Mulish" w:cs="Mulish"/>
                <w:b w:val="0"/>
                <w:color w:val="3D3D3D"/>
                <w:sz w:val="15"/>
              </w:rPr>
              <w:t>Central service operation</w:t>
            </w:r>
          </w:p>
        </w:tc>
        <w:tc>
          <w:tcPr>
            <w:tcW w:type="dxa" w:w="340"/>
            <w:tcMar>
              <w:top w:w="60" w:type="dxa"/>
              <w:bottom w:w="60" w:type="dxa"/>
              <w:left w:w="60" w:type="dxa"/>
              <w:right w:w="60" w:type="dxa"/>
            </w:tcMar>
            <w:shd w:fill="FFFFFF"/>
            <w:tcBorders>
              <w:top w:val="nil" w:sz="3" w:color="E4E7EC"/>
              <w:left w:val="nil" w:sz="3" w:color="E4E7EC"/>
              <w:bottom w:val="nil" w:sz="3" w:color="E4E7EC"/>
              <w:right w:val="nil" w:sz="3" w:color="E4E7EC"/>
            </w:tcBorders>
            <w:vAlign w:val="center"/>
          </w:tcPr>
          <w:p>
            <w:pPr>
              <w:spacing w:line="200" w:lineRule="exact" w:after="60"/>
              <w:ind w:right="0"/>
              <w:jc w:val="center"/>
            </w:pPr>
            <w:r>
              <w:rPr>
                <w:rFonts w:ascii="Mulish" w:hAnsi="Mulish" w:eastAsia="Mulish" w:cs="Mulish"/>
                <w:b w:val="0"/>
                <w:color w:val="7000FF"/>
                <w:sz w:val="24"/>
              </w:rPr>
              <w:t>→</w:t>
            </w:r>
          </w:p>
        </w:tc>
        <w:tc>
          <w:tcPr>
            <w:tcW w:type="dxa" w:w="2321"/>
            <w:tcMar>
              <w:top w:w="60" w:type="dxa"/>
              <w:bottom w:w="60" w:type="dxa"/>
              <w:left w:w="60" w:type="dxa"/>
              <w:right w:w="60" w:type="dxa"/>
            </w:tcMar>
            <w:shd w:fill="F5EDFF"/>
            <w:tcBorders>
              <w:top w:val="nil" w:sz="3" w:color="E4E7EC"/>
              <w:left w:val="nil" w:sz="3" w:color="E4E7EC"/>
              <w:bottom w:val="nil" w:sz="3" w:color="E4E7EC"/>
              <w:right w:val="nil" w:sz="3" w:color="E4E7EC"/>
            </w:tcBorders>
            <w:vAlign w:val="center"/>
          </w:tcPr>
          <w:p>
            <w:pPr>
              <w:spacing w:line="200" w:lineRule="exact" w:after="60"/>
              <w:ind w:right="0"/>
              <w:jc w:val="center"/>
            </w:pPr>
            <w:r>
              <w:rPr>
                <w:rFonts w:ascii="Mulish" w:hAnsi="Mulish" w:eastAsia="Mulish" w:cs="Mulish"/>
                <w:b/>
                <w:color w:val="1D0090"/>
                <w:sz w:val="15"/>
              </w:rPr>
              <w:t>SHARED PLATFORM</w:t>
            </w:r>
          </w:p>
          <w:p>
            <w:pPr>
              <w:spacing w:line="200" w:lineRule="exact" w:after="0" w:before="0"/>
              <w:ind w:right="0"/>
              <w:jc w:val="center"/>
            </w:pPr>
            <w:r>
              <w:rPr>
                <w:rFonts w:ascii="Mulish" w:hAnsi="Mulish" w:eastAsia="Mulish" w:cs="Mulish"/>
                <w:b w:val="0"/>
                <w:color w:val="3D3D3D"/>
                <w:sz w:val="15"/>
              </w:rPr>
              <w:t>Common trust infrastructure</w:t>
            </w:r>
          </w:p>
        </w:tc>
        <w:tc>
          <w:tcPr>
            <w:tcW w:type="dxa" w:w="340"/>
            <w:tcMar>
              <w:top w:w="60" w:type="dxa"/>
              <w:bottom w:w="60" w:type="dxa"/>
              <w:left w:w="60" w:type="dxa"/>
              <w:right w:w="60" w:type="dxa"/>
            </w:tcMar>
            <w:shd w:fill="FFFFFF"/>
            <w:tcBorders>
              <w:top w:val="nil" w:sz="3" w:color="E4E7EC"/>
              <w:left w:val="nil" w:sz="3" w:color="E4E7EC"/>
              <w:bottom w:val="nil" w:sz="3" w:color="E4E7EC"/>
              <w:right w:val="nil" w:sz="3" w:color="E4E7EC"/>
            </w:tcBorders>
            <w:vAlign w:val="center"/>
          </w:tcPr>
          <w:p>
            <w:pPr>
              <w:spacing w:line="200" w:lineRule="exact" w:after="60"/>
              <w:ind w:right="0"/>
              <w:jc w:val="center"/>
            </w:pPr>
            <w:r>
              <w:rPr>
                <w:rFonts w:ascii="Mulish" w:hAnsi="Mulish" w:eastAsia="Mulish" w:cs="Mulish"/>
                <w:b w:val="0"/>
                <w:color w:val="7000FF"/>
                <w:sz w:val="24"/>
              </w:rPr>
              <w:t>→</w:t>
            </w:r>
          </w:p>
        </w:tc>
        <w:tc>
          <w:tcPr>
            <w:tcW w:type="dxa" w:w="2321"/>
            <w:tcMar>
              <w:top w:w="60" w:type="dxa"/>
              <w:bottom w:w="60" w:type="dxa"/>
              <w:left w:w="60" w:type="dxa"/>
              <w:right w:w="60" w:type="dxa"/>
            </w:tcMar>
            <w:shd w:fill="F5EDFF"/>
            <w:tcBorders>
              <w:top w:val="nil" w:sz="3" w:color="E4E7EC"/>
              <w:left w:val="nil" w:sz="3" w:color="E4E7EC"/>
              <w:bottom w:val="nil" w:sz="3" w:color="E4E7EC"/>
              <w:right w:val="nil" w:sz="3" w:color="E4E7EC"/>
            </w:tcBorders>
            <w:vAlign w:val="center"/>
          </w:tcPr>
          <w:p>
            <w:pPr>
              <w:spacing w:line="200" w:lineRule="exact" w:after="60"/>
              <w:ind w:right="0"/>
              <w:jc w:val="center"/>
            </w:pPr>
            <w:r>
              <w:rPr>
                <w:rFonts w:ascii="Mulish" w:hAnsi="Mulish" w:eastAsia="Mulish" w:cs="Mulish"/>
                <w:b/>
                <w:color w:val="1D0090"/>
                <w:sz w:val="15"/>
              </w:rPr>
              <w:t>PARTICIPATING ENTITIES</w:t>
            </w:r>
          </w:p>
          <w:p>
            <w:pPr>
              <w:spacing w:line="200" w:lineRule="exact" w:after="0" w:before="0"/>
              <w:ind w:right="0"/>
              <w:jc w:val="center"/>
            </w:pPr>
            <w:r>
              <w:rPr>
                <w:rFonts w:ascii="Mulish" w:hAnsi="Mulish" w:eastAsia="Mulish" w:cs="Mulish"/>
                <w:b w:val="0"/>
                <w:color w:val="3D3D3D"/>
                <w:sz w:val="15"/>
              </w:rPr>
              <w:t>Organization-specific controls</w:t>
            </w:r>
          </w:p>
        </w:tc>
        <w:tc>
          <w:tcPr>
            <w:tcW w:type="dxa" w:w="340"/>
            <w:tcMar>
              <w:top w:w="60" w:type="dxa"/>
              <w:bottom w:w="60" w:type="dxa"/>
              <w:left w:w="60" w:type="dxa"/>
              <w:right w:w="60" w:type="dxa"/>
            </w:tcMar>
            <w:shd w:fill="FFFFFF"/>
            <w:tcBorders>
              <w:top w:val="nil" w:sz="3" w:color="E4E7EC"/>
              <w:left w:val="nil" w:sz="3" w:color="E4E7EC"/>
              <w:bottom w:val="nil" w:sz="3" w:color="E4E7EC"/>
              <w:right w:val="nil" w:sz="3" w:color="E4E7EC"/>
            </w:tcBorders>
            <w:vAlign w:val="center"/>
          </w:tcPr>
          <w:p>
            <w:pPr>
              <w:spacing w:line="200" w:lineRule="exact" w:after="60"/>
              <w:ind w:right="0"/>
              <w:jc w:val="center"/>
            </w:pPr>
            <w:r>
              <w:rPr>
                <w:rFonts w:ascii="Mulish" w:hAnsi="Mulish" w:eastAsia="Mulish" w:cs="Mulish"/>
                <w:b w:val="0"/>
                <w:color w:val="7000FF"/>
                <w:sz w:val="24"/>
              </w:rPr>
              <w:t>→</w:t>
            </w:r>
          </w:p>
        </w:tc>
        <w:tc>
          <w:tcPr>
            <w:tcW w:type="dxa" w:w="2321"/>
            <w:tcMar>
              <w:top w:w="60" w:type="dxa"/>
              <w:bottom w:w="60" w:type="dxa"/>
              <w:left w:w="60" w:type="dxa"/>
              <w:right w:w="60" w:type="dxa"/>
            </w:tcMar>
            <w:shd w:fill="F5EDFF"/>
            <w:tcBorders>
              <w:top w:val="nil" w:sz="3" w:color="E4E7EC"/>
              <w:left w:val="nil" w:sz="3" w:color="E4E7EC"/>
              <w:bottom w:val="nil" w:sz="3" w:color="E4E7EC"/>
              <w:right w:val="nil" w:sz="3" w:color="E4E7EC"/>
            </w:tcBorders>
            <w:vAlign w:val="center"/>
          </w:tcPr>
          <w:p>
            <w:pPr>
              <w:spacing w:line="200" w:lineRule="exact" w:after="60"/>
              <w:ind w:right="0"/>
              <w:jc w:val="center"/>
            </w:pPr>
            <w:r>
              <w:rPr>
                <w:rFonts w:ascii="Mulish" w:hAnsi="Mulish" w:eastAsia="Mulish" w:cs="Mulish"/>
                <w:b/>
                <w:color w:val="1D0090"/>
                <w:sz w:val="15"/>
              </w:rPr>
              <w:t>PROCESSES &amp; EVIDENCE</w:t>
            </w:r>
          </w:p>
          <w:p>
            <w:pPr>
              <w:spacing w:line="200" w:lineRule="exact" w:after="0" w:before="0"/>
              <w:ind w:right="0"/>
              <w:jc w:val="center"/>
            </w:pPr>
            <w:r>
              <w:rPr>
                <w:rFonts w:ascii="Mulish" w:hAnsi="Mulish" w:eastAsia="Mulish" w:cs="Mulish"/>
                <w:b w:val="0"/>
                <w:color w:val="3D3D3D"/>
                <w:sz w:val="15"/>
              </w:rPr>
              <w:t>Approval, signing and records</w:t>
            </w:r>
          </w:p>
        </w:tc>
      </w:tr>
    </w:tbl>
    <w:p>
      <w:pPr>
        <w:spacing w:before="0" w:after="0" w:line="160" w:lineRule="exact"/>
      </w:pPr>
      <w:r>
        <w:rPr>
          <w:sz w:val="2"/>
        </w:rPr>
      </w:r>
    </w:p>
    <w:p>
      <w:pPr/>
      <w:r>
        <w:t>This model creates an opportunity for governments, telcos and service providers to deliver a reusable digital service across their ecosystem.</w:t>
      </w:r>
    </w:p>
    <w:p>
      <w:pPr>
        <w:pStyle w:val="Heading2"/>
      </w:pPr>
      <w:r>
        <w:t>A concrete government-service reference</w:t>
      </w:r>
    </w:p>
    <w:p>
      <w:pPr/>
      <w:r>
        <w:t xml:space="preserve">Digital Dubai's own service catalogue identifies </w:t>
      </w:r>
      <w:r>
        <w:rPr>
          <w:b/>
        </w:rPr>
        <w:t>Digital Sign as powered by Circularo and hosted on Digital Dubai infrastructure</w:t>
      </w:r>
      <w:r>
        <w:t xml:space="preserve">. It describes entity-level separation, centralized governance, agency administration, UAE PASS integration and document workflows. This provides a public reference for Circularo's role in a government shared-service environment. </w:t>
      </w:r>
      <w:hyperlink r:id="rId11">
        <w:r>
          <w:rPr>
            <w:rFonts w:ascii="Mulish" w:hAnsi="Mulish" w:cs="Mulish"/>
            <w:color w:val="7000FF"/>
            <w:sz w:val="20"/>
            <w:szCs w:val="20"/>
            <w:vertAlign w:val="superscript"/>
          </w:rPr>
          <w:t xml:space="preserve">1</w:t>
        </w:r>
      </w:hyperlink>
    </w:p>
    <w:p>
      <w:pPr>
        <w:pStyle w:val="Heading1"/>
        <w:pageBreakBefore/>
      </w:pPr>
      <w:r>
        <w:t>How Circularo compares</w:t>
      </w:r>
    </w:p>
    <w:p>
      <w:pPr/>
      <w:r>
        <w:rPr>
          <w:b/>
        </w:rPr>
        <w:t>Enterprise SaaS platforms</w:t>
      </w:r>
      <w:r>
        <w:t xml:space="preserve"> bring substantial strengths: Docusign's agreement-platform breadth, Adobe's document ecosystem and PandaDoc's sales-document focus. </w:t>
      </w:r>
      <w:r>
        <w:rPr>
          <w:b/>
        </w:rPr>
        <w:t>Sovereign-capable alternatives</w:t>
      </w:r>
      <w:r>
        <w:t xml:space="preserve"> include emSigner/eMudhra, SigningHub/Ascertia and Namirial, with overlapping workflow and deployment capabilities. These groups overlap; the precise product and configuration determine fit. </w:t>
      </w:r>
      <w:hyperlink r:id="rId17">
        <w:r>
          <w:rPr>
            <w:rFonts w:ascii="Mulish" w:hAnsi="Mulish" w:cs="Mulish"/>
            <w:color w:val="7000FF"/>
            <w:sz w:val="20"/>
            <w:szCs w:val="20"/>
            <w:vertAlign w:val="superscript"/>
          </w:rPr>
          <w:t xml:space="preserve">7</w:t>
        </w:r>
      </w:hyperlink>
      <w:r>
        <w:rPr>
          <w:rFonts w:ascii="Mulish" w:hAnsi="Mulish" w:eastAsia="Mulish" w:cs="Mulish"/>
          <w:b w:val="0"/>
          <w:color w:val="7000FF"/>
          <w:sz w:val="20"/>
          <w:vertAlign w:val="superscript"/>
        </w:rPr>
        <w:t xml:space="preserve">, </w:t>
      </w:r>
      <w:hyperlink r:id="rId18">
        <w:r>
          <w:rPr>
            <w:rFonts w:ascii="Mulish" w:hAnsi="Mulish" w:cs="Mulish"/>
            <w:color w:val="7000FF"/>
            <w:sz w:val="20"/>
            <w:szCs w:val="20"/>
            <w:vertAlign w:val="superscript"/>
          </w:rPr>
          <w:t xml:space="preserve">8</w:t>
        </w:r>
      </w:hyperlink>
      <w:r>
        <w:rPr>
          <w:rFonts w:ascii="Mulish" w:hAnsi="Mulish" w:eastAsia="Mulish" w:cs="Mulish"/>
          <w:b w:val="0"/>
          <w:color w:val="7000FF"/>
          <w:sz w:val="20"/>
          <w:vertAlign w:val="superscript"/>
        </w:rPr>
        <w:t xml:space="preserve">, </w:t>
      </w:r>
      <w:hyperlink r:id="rId19">
        <w:r>
          <w:rPr>
            <w:rFonts w:ascii="Mulish" w:hAnsi="Mulish" w:cs="Mulish"/>
            <w:color w:val="7000FF"/>
            <w:sz w:val="20"/>
            <w:szCs w:val="20"/>
            <w:vertAlign w:val="superscript"/>
          </w:rPr>
          <w:t xml:space="preserve">9</w:t>
        </w:r>
      </w:hyperlink>
      <w:r>
        <w:rPr>
          <w:rFonts w:ascii="Mulish" w:hAnsi="Mulish" w:eastAsia="Mulish" w:cs="Mulish"/>
          <w:b w:val="0"/>
          <w:color w:val="7000FF"/>
          <w:sz w:val="20"/>
          <w:vertAlign w:val="superscript"/>
        </w:rPr>
        <w:t xml:space="preserve">, </w:t>
      </w:r>
      <w:hyperlink r:id="rId20">
        <w:r>
          <w:rPr>
            <w:rFonts w:ascii="Mulish" w:hAnsi="Mulish" w:cs="Mulish"/>
            <w:color w:val="7000FF"/>
            <w:sz w:val="20"/>
            <w:szCs w:val="20"/>
            <w:vertAlign w:val="superscript"/>
          </w:rPr>
          <w:t xml:space="preserve">10</w:t>
        </w:r>
      </w:hyperlink>
      <w:r>
        <w:rPr>
          <w:rFonts w:ascii="Mulish" w:hAnsi="Mulish" w:eastAsia="Mulish" w:cs="Mulish"/>
          <w:b w:val="0"/>
          <w:color w:val="7000FF"/>
          <w:sz w:val="20"/>
          <w:vertAlign w:val="superscript"/>
        </w:rPr>
        <w:t xml:space="preserve">, </w:t>
      </w:r>
      <w:hyperlink r:id="rId21">
        <w:r>
          <w:rPr>
            <w:rFonts w:ascii="Mulish" w:hAnsi="Mulish" w:cs="Mulish"/>
            <w:color w:val="7000FF"/>
            <w:sz w:val="20"/>
            <w:szCs w:val="20"/>
            <w:vertAlign w:val="superscript"/>
          </w:rPr>
          <w:t xml:space="preserve">11</w:t>
        </w:r>
      </w:hyperlink>
      <w:r>
        <w:rPr>
          <w:rFonts w:ascii="Mulish" w:hAnsi="Mulish" w:eastAsia="Mulish" w:cs="Mulish"/>
          <w:b w:val="0"/>
          <w:color w:val="7000FF"/>
          <w:sz w:val="20"/>
          <w:vertAlign w:val="superscript"/>
        </w:rPr>
        <w:t xml:space="preserve">, </w:t>
      </w:r>
      <w:hyperlink r:id="rId22">
        <w:r>
          <w:rPr>
            <w:rFonts w:ascii="Mulish" w:hAnsi="Mulish" w:cs="Mulish"/>
            <w:color w:val="7000FF"/>
            <w:sz w:val="20"/>
            <w:szCs w:val="20"/>
            <w:vertAlign w:val="superscript"/>
          </w:rPr>
          <w:t xml:space="preserve">12</w:t>
        </w:r>
      </w:hyperlink>
    </w:p>
    <w:tbl>
      <w:tblPr>
        <w:tblW w:type="auto" w:w="0"/>
        <w:jc w:val="left"/>
        <w:tblLayout w:type="fixed"/>
        <w:tblLook w:firstColumn="1" w:firstRow="1" w:lastColumn="0" w:lastRow="0" w:noHBand="0" w:noVBand="1" w:val="04A0"/>
        <w:tblInd w:w="180" w:type="dxa"/>
      </w:tblPr>
      <w:tblGrid>
        <w:gridCol w:w="1760"/>
        <w:gridCol w:w="3140"/>
        <w:gridCol w:w="2700"/>
        <w:gridCol w:w="2706"/>
      </w:tblGrid>
      <w:tr>
        <w:trPr>
          <w:cantSplit/>
          <w:tblHeader/>
        </w:trPr>
        <w:tc>
          <w:tcPr>
            <w:tcW w:type="dxa" w:w="1760"/>
            <w:tcMar>
              <w:top w:w="180" w:type="dxa"/>
              <w:bottom w:w="180" w:type="dxa"/>
              <w:left w:w="180" w:type="dxa"/>
              <w:right w:w="180" w:type="dxa"/>
            </w:tcMar>
            <w:shd w:fill="1D0090"/>
            <w:tcBorders>
              <w:top w:val="nil" w:sz="3" w:color="E4E7EC"/>
              <w:left w:val="nil" w:sz="3" w:color="E4E7EC"/>
              <w:bottom w:val="single" w:sz="3" w:color="E4E7EC"/>
              <w:right w:val="nil" w:sz="3" w:color="E4E7EC"/>
            </w:tcBorders>
            <w:vAlign w:val="top"/>
          </w:tcPr>
          <w:p>
            <w:pPr>
              <w:pStyle w:val="CellHeader"/>
              <w:keepNext w:val="0"/>
              <w:ind w:right="0"/>
            </w:pPr>
            <w:r>
              <w:t>Buying requirement</w:t>
            </w:r>
          </w:p>
        </w:tc>
        <w:tc>
          <w:tcPr>
            <w:tcW w:type="dxa" w:w="3140"/>
            <w:tcMar>
              <w:top w:w="180" w:type="dxa"/>
              <w:bottom w:w="180" w:type="dxa"/>
              <w:left w:w="180" w:type="dxa"/>
              <w:right w:w="180" w:type="dxa"/>
            </w:tcMar>
            <w:shd w:fill="1D0090"/>
            <w:tcBorders>
              <w:top w:val="nil" w:sz="3" w:color="E4E7EC"/>
              <w:left w:val="nil" w:sz="3" w:color="E4E7EC"/>
              <w:bottom w:val="single" w:sz="3" w:color="E4E7EC"/>
              <w:right w:val="nil" w:sz="3" w:color="E4E7EC"/>
            </w:tcBorders>
            <w:vAlign w:val="top"/>
          </w:tcPr>
          <w:p>
            <w:pPr>
              <w:pStyle w:val="CellHeader"/>
              <w:keepNext w:val="0"/>
              <w:ind w:right="0"/>
            </w:pPr>
            <w:r>
              <w:t>Circularo</w:t>
            </w:r>
          </w:p>
        </w:tc>
        <w:tc>
          <w:tcPr>
            <w:tcW w:type="dxa" w:w="2700"/>
            <w:tcMar>
              <w:top w:w="180" w:type="dxa"/>
              <w:bottom w:w="180" w:type="dxa"/>
              <w:left w:w="180" w:type="dxa"/>
              <w:right w:w="180" w:type="dxa"/>
            </w:tcMar>
            <w:shd w:fill="1D0090"/>
            <w:tcBorders>
              <w:top w:val="nil" w:sz="3" w:color="E4E7EC"/>
              <w:left w:val="nil" w:sz="3" w:color="E4E7EC"/>
              <w:bottom w:val="single" w:sz="3" w:color="E4E7EC"/>
              <w:right w:val="nil" w:sz="3" w:color="E4E7EC"/>
            </w:tcBorders>
            <w:vAlign w:val="top"/>
          </w:tcPr>
          <w:p>
            <w:pPr>
              <w:pStyle w:val="CellHeader"/>
              <w:keepNext w:val="0"/>
              <w:ind w:right="0"/>
            </w:pPr>
            <w:r>
              <w:t>Enterprise SaaS platforms</w:t>
            </w:r>
          </w:p>
        </w:tc>
        <w:tc>
          <w:tcPr>
            <w:tcW w:type="dxa" w:w="2706"/>
            <w:tcMar>
              <w:top w:w="180" w:type="dxa"/>
              <w:bottom w:w="180" w:type="dxa"/>
              <w:left w:w="180" w:type="dxa"/>
              <w:right w:w="180" w:type="dxa"/>
            </w:tcMar>
            <w:shd w:fill="1D0090"/>
            <w:tcBorders>
              <w:top w:val="nil" w:sz="3" w:color="E4E7EC"/>
              <w:left w:val="nil" w:sz="3" w:color="E4E7EC"/>
              <w:bottom w:val="single" w:sz="3" w:color="E4E7EC"/>
              <w:right w:val="nil" w:sz="3" w:color="E4E7EC"/>
            </w:tcBorders>
            <w:vAlign w:val="top"/>
          </w:tcPr>
          <w:p>
            <w:pPr>
              <w:pStyle w:val="CellHeader"/>
              <w:keepNext w:val="0"/>
              <w:ind w:right="0"/>
            </w:pPr>
            <w:r>
              <w:t>Sovereign-capable signing platforms</w:t>
            </w:r>
          </w:p>
        </w:tc>
      </w:tr>
      <w:tr>
        <w:trPr>
          <w:cantSplit/>
        </w:trPr>
        <w:tc>
          <w:tcPr>
            <w:tcW w:type="dxa" w:w="1760"/>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rPr>
                <w:b/>
              </w:rPr>
              <w:t>Connected document journey</w:t>
            </w:r>
          </w:p>
        </w:tc>
        <w:tc>
          <w:tcPr>
            <w:tcW w:type="dxa" w:w="3140"/>
            <w:tcMar>
              <w:top w:w="180" w:type="dxa"/>
              <w:bottom w:w="180" w:type="dxa"/>
              <w:left w:w="180" w:type="dxa"/>
              <w:right w:w="180" w:type="dxa"/>
            </w:tcMar>
            <w:shd w:fill="F5EDFF"/>
            <w:tcBorders>
              <w:top w:val="nil" w:sz="3" w:color="E4E7EC"/>
              <w:left w:val="nil" w:sz="3" w:color="E4E7EC"/>
              <w:bottom w:val="single" w:sz="3" w:color="E4E7EC"/>
              <w:right w:val="nil" w:sz="3" w:color="E4E7EC"/>
            </w:tcBorders>
            <w:vAlign w:val="top"/>
          </w:tcPr>
          <w:p>
            <w:pPr>
              <w:pStyle w:val="Cell"/>
              <w:keepNext w:val="0"/>
              <w:ind w:right="0"/>
            </w:pPr>
            <w:r>
              <w:t xml:space="preserve">Preparation, review, approvals, signing and evidence in a connected process. </w:t>
            </w:r>
            <w:hyperlink r:id="rId11">
              <w:r>
                <w:rPr>
                  <w:rFonts w:ascii="Mulish" w:hAnsi="Mulish" w:cs="Mulish"/>
                  <w:color w:val="7000FF"/>
                  <w:sz w:val="20"/>
                  <w:szCs w:val="20"/>
                  <w:vertAlign w:val="superscript"/>
                </w:rPr>
                <w:t xml:space="preserve">1</w:t>
              </w:r>
            </w:hyperlink>
            <w:r>
              <w:rPr>
                <w:rFonts w:ascii="Mulish" w:hAnsi="Mulish" w:eastAsia="Mulish" w:cs="Mulish"/>
                <w:b w:val="0"/>
                <w:color w:val="7000FF"/>
                <w:sz w:val="20"/>
                <w:vertAlign w:val="superscript"/>
              </w:rPr>
              <w:t xml:space="preserve">, </w:t>
            </w:r>
            <w:hyperlink r:id="rId12">
              <w:r>
                <w:rPr>
                  <w:rFonts w:ascii="Mulish" w:hAnsi="Mulish" w:cs="Mulish"/>
                  <w:color w:val="7000FF"/>
                  <w:sz w:val="20"/>
                  <w:szCs w:val="20"/>
                  <w:vertAlign w:val="superscript"/>
                </w:rPr>
                <w:t xml:space="preserve">2</w:t>
              </w:r>
            </w:hyperlink>
          </w:p>
        </w:tc>
        <w:tc>
          <w:tcPr>
            <w:tcW w:type="dxa" w:w="2700"/>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t xml:space="preserve">Extensive overlap: agreement workflows, document generation and contract management across the group. </w:t>
            </w:r>
            <w:hyperlink r:id="rId17">
              <w:r>
                <w:rPr>
                  <w:rFonts w:ascii="Mulish" w:hAnsi="Mulish" w:cs="Mulish"/>
                  <w:color w:val="7000FF"/>
                  <w:sz w:val="20"/>
                  <w:szCs w:val="20"/>
                  <w:vertAlign w:val="superscript"/>
                </w:rPr>
                <w:t xml:space="preserve">7</w:t>
              </w:r>
            </w:hyperlink>
            <w:r>
              <w:rPr>
                <w:rFonts w:ascii="Mulish" w:hAnsi="Mulish" w:eastAsia="Mulish" w:cs="Mulish"/>
                <w:b w:val="0"/>
                <w:color w:val="7000FF"/>
                <w:sz w:val="20"/>
                <w:vertAlign w:val="superscript"/>
              </w:rPr>
              <w:t xml:space="preserve">, </w:t>
            </w:r>
            <w:hyperlink r:id="rId18">
              <w:r>
                <w:rPr>
                  <w:rFonts w:ascii="Mulish" w:hAnsi="Mulish" w:cs="Mulish"/>
                  <w:color w:val="7000FF"/>
                  <w:sz w:val="20"/>
                  <w:szCs w:val="20"/>
                  <w:vertAlign w:val="superscript"/>
                </w:rPr>
                <w:t xml:space="preserve">8</w:t>
              </w:r>
            </w:hyperlink>
            <w:r>
              <w:rPr>
                <w:rFonts w:ascii="Mulish" w:hAnsi="Mulish" w:eastAsia="Mulish" w:cs="Mulish"/>
                <w:b w:val="0"/>
                <w:color w:val="7000FF"/>
                <w:sz w:val="20"/>
                <w:vertAlign w:val="superscript"/>
              </w:rPr>
              <w:t xml:space="preserve">, </w:t>
            </w:r>
            <w:hyperlink r:id="rId19">
              <w:r>
                <w:rPr>
                  <w:rFonts w:ascii="Mulish" w:hAnsi="Mulish" w:cs="Mulish"/>
                  <w:color w:val="7000FF"/>
                  <w:sz w:val="20"/>
                  <w:szCs w:val="20"/>
                  <w:vertAlign w:val="superscript"/>
                </w:rPr>
                <w:t xml:space="preserve">9</w:t>
              </w:r>
            </w:hyperlink>
          </w:p>
        </w:tc>
        <w:tc>
          <w:tcPr>
            <w:tcW w:type="dxa" w:w="2706"/>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t xml:space="preserve">Signing and approval workflows also available; assess the complete configured journey. </w:t>
            </w:r>
            <w:hyperlink r:id="rId20">
              <w:r>
                <w:rPr>
                  <w:rFonts w:ascii="Mulish" w:hAnsi="Mulish" w:cs="Mulish"/>
                  <w:color w:val="7000FF"/>
                  <w:sz w:val="20"/>
                  <w:szCs w:val="20"/>
                  <w:vertAlign w:val="superscript"/>
                </w:rPr>
                <w:t xml:space="preserve">10</w:t>
              </w:r>
            </w:hyperlink>
            <w:r>
              <w:rPr>
                <w:rFonts w:ascii="Mulish" w:hAnsi="Mulish" w:eastAsia="Mulish" w:cs="Mulish"/>
                <w:b w:val="0"/>
                <w:color w:val="7000FF"/>
                <w:sz w:val="20"/>
                <w:vertAlign w:val="superscript"/>
              </w:rPr>
              <w:t xml:space="preserve">, </w:t>
            </w:r>
            <w:hyperlink r:id="rId21">
              <w:r>
                <w:rPr>
                  <w:rFonts w:ascii="Mulish" w:hAnsi="Mulish" w:cs="Mulish"/>
                  <w:color w:val="7000FF"/>
                  <w:sz w:val="20"/>
                  <w:szCs w:val="20"/>
                  <w:vertAlign w:val="superscript"/>
                </w:rPr>
                <w:t xml:space="preserve">11</w:t>
              </w:r>
            </w:hyperlink>
            <w:r>
              <w:rPr>
                <w:rFonts w:ascii="Mulish" w:hAnsi="Mulish" w:eastAsia="Mulish" w:cs="Mulish"/>
                <w:b w:val="0"/>
                <w:color w:val="7000FF"/>
                <w:sz w:val="20"/>
                <w:vertAlign w:val="superscript"/>
              </w:rPr>
              <w:t xml:space="preserve">, </w:t>
            </w:r>
            <w:hyperlink r:id="rId22">
              <w:r>
                <w:rPr>
                  <w:rFonts w:ascii="Mulish" w:hAnsi="Mulish" w:cs="Mulish"/>
                  <w:color w:val="7000FF"/>
                  <w:sz w:val="20"/>
                  <w:szCs w:val="20"/>
                  <w:vertAlign w:val="superscript"/>
                </w:rPr>
                <w:t xml:space="preserve">12</w:t>
              </w:r>
            </w:hyperlink>
          </w:p>
        </w:tc>
      </w:tr>
      <w:tr>
        <w:trPr>
          <w:cantSplit/>
        </w:trPr>
        <w:tc>
          <w:tcPr>
            <w:tcW w:type="dxa" w:w="1760"/>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rPr>
                <w:b/>
              </w:rPr>
              <w:t>Deployment control</w:t>
            </w:r>
          </w:p>
        </w:tc>
        <w:tc>
          <w:tcPr>
            <w:tcW w:type="dxa" w:w="3140"/>
            <w:tcMar>
              <w:top w:w="180" w:type="dxa"/>
              <w:bottom w:w="180" w:type="dxa"/>
              <w:left w:w="180" w:type="dxa"/>
              <w:right w:w="180" w:type="dxa"/>
            </w:tcMar>
            <w:shd w:fill="F5EDFF"/>
            <w:tcBorders>
              <w:top w:val="nil" w:sz="3" w:color="E4E7EC"/>
              <w:left w:val="nil" w:sz="3" w:color="E4E7EC"/>
              <w:bottom w:val="single" w:sz="3" w:color="E4E7EC"/>
              <w:right w:val="nil" w:sz="3" w:color="E4E7EC"/>
            </w:tcBorders>
            <w:vAlign w:val="top"/>
          </w:tcPr>
          <w:p>
            <w:pPr>
              <w:pStyle w:val="Cell"/>
              <w:keepNext w:val="0"/>
              <w:ind w:right="0"/>
            </w:pPr>
            <w:r>
              <w:t xml:space="preserve">SaaS and customer-controlled deployment options, including shared-service operation. </w:t>
            </w:r>
            <w:hyperlink r:id="rId12">
              <w:r>
                <w:rPr>
                  <w:rFonts w:ascii="Mulish" w:hAnsi="Mulish" w:cs="Mulish"/>
                  <w:color w:val="7000FF"/>
                  <w:sz w:val="20"/>
                  <w:szCs w:val="20"/>
                  <w:vertAlign w:val="superscript"/>
                </w:rPr>
                <w:t xml:space="preserve">2</w:t>
              </w:r>
            </w:hyperlink>
          </w:p>
        </w:tc>
        <w:tc>
          <w:tcPr>
            <w:tcW w:type="dxa" w:w="2700"/>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t>Evaluate the exact offer against application hosting, administration and dependency requirements.</w:t>
            </w:r>
          </w:p>
        </w:tc>
        <w:tc>
          <w:tcPr>
            <w:tcW w:type="dxa" w:w="2706"/>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t xml:space="preserve">Credible alternatives: private or on-premise options are documented. </w:t>
            </w:r>
            <w:hyperlink r:id="rId20">
              <w:r>
                <w:rPr>
                  <w:rFonts w:ascii="Mulish" w:hAnsi="Mulish" w:cs="Mulish"/>
                  <w:color w:val="7000FF"/>
                  <w:sz w:val="20"/>
                  <w:szCs w:val="20"/>
                  <w:vertAlign w:val="superscript"/>
                </w:rPr>
                <w:t xml:space="preserve">10</w:t>
              </w:r>
            </w:hyperlink>
            <w:r>
              <w:rPr>
                <w:rFonts w:ascii="Mulish" w:hAnsi="Mulish" w:eastAsia="Mulish" w:cs="Mulish"/>
                <w:b w:val="0"/>
                <w:color w:val="7000FF"/>
                <w:sz w:val="20"/>
                <w:vertAlign w:val="superscript"/>
              </w:rPr>
              <w:t xml:space="preserve">, </w:t>
            </w:r>
            <w:hyperlink r:id="rId21">
              <w:r>
                <w:rPr>
                  <w:rFonts w:ascii="Mulish" w:hAnsi="Mulish" w:cs="Mulish"/>
                  <w:color w:val="7000FF"/>
                  <w:sz w:val="20"/>
                  <w:szCs w:val="20"/>
                  <w:vertAlign w:val="superscript"/>
                </w:rPr>
                <w:t xml:space="preserve">11</w:t>
              </w:r>
            </w:hyperlink>
            <w:r>
              <w:rPr>
                <w:rFonts w:ascii="Mulish" w:hAnsi="Mulish" w:eastAsia="Mulish" w:cs="Mulish"/>
                <w:b w:val="0"/>
                <w:color w:val="7000FF"/>
                <w:sz w:val="20"/>
                <w:vertAlign w:val="superscript"/>
              </w:rPr>
              <w:t xml:space="preserve">, </w:t>
            </w:r>
            <w:hyperlink r:id="rId22">
              <w:r>
                <w:rPr>
                  <w:rFonts w:ascii="Mulish" w:hAnsi="Mulish" w:cs="Mulish"/>
                  <w:color w:val="7000FF"/>
                  <w:sz w:val="20"/>
                  <w:szCs w:val="20"/>
                  <w:vertAlign w:val="superscript"/>
                </w:rPr>
                <w:t xml:space="preserve">12</w:t>
              </w:r>
            </w:hyperlink>
          </w:p>
        </w:tc>
      </w:tr>
      <w:tr>
        <w:trPr>
          <w:cantSplit/>
        </w:trPr>
        <w:tc>
          <w:tcPr>
            <w:tcW w:type="dxa" w:w="1760"/>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rPr>
                <w:b/>
              </w:rPr>
              <w:t>Multi-entity shared services</w:t>
            </w:r>
          </w:p>
        </w:tc>
        <w:tc>
          <w:tcPr>
            <w:tcW w:type="dxa" w:w="3140"/>
            <w:tcMar>
              <w:top w:w="180" w:type="dxa"/>
              <w:bottom w:w="180" w:type="dxa"/>
              <w:left w:w="180" w:type="dxa"/>
              <w:right w:w="180" w:type="dxa"/>
            </w:tcMar>
            <w:shd w:fill="F5EDFF"/>
            <w:tcBorders>
              <w:top w:val="nil" w:sz="3" w:color="E4E7EC"/>
              <w:left w:val="nil" w:sz="3" w:color="E4E7EC"/>
              <w:bottom w:val="single" w:sz="3" w:color="E4E7EC"/>
              <w:right w:val="nil" w:sz="3" w:color="E4E7EC"/>
            </w:tcBorders>
            <w:vAlign w:val="top"/>
          </w:tcPr>
          <w:p>
            <w:pPr>
              <w:pStyle w:val="Cell"/>
              <w:keepNext w:val="0"/>
              <w:ind w:right="0"/>
            </w:pPr>
            <w:r>
              <w:t xml:space="preserve">Government operator reference and configurable multi-organization models. </w:t>
            </w:r>
            <w:hyperlink r:id="rId11">
              <w:r>
                <w:rPr>
                  <w:rFonts w:ascii="Mulish" w:hAnsi="Mulish" w:cs="Mulish"/>
                  <w:color w:val="7000FF"/>
                  <w:sz w:val="20"/>
                  <w:szCs w:val="20"/>
                  <w:vertAlign w:val="superscript"/>
                </w:rPr>
                <w:t xml:space="preserve">1</w:t>
              </w:r>
            </w:hyperlink>
            <w:r>
              <w:rPr>
                <w:rFonts w:ascii="Mulish" w:hAnsi="Mulish" w:eastAsia="Mulish" w:cs="Mulish"/>
                <w:b w:val="0"/>
                <w:color w:val="7000FF"/>
                <w:sz w:val="20"/>
                <w:vertAlign w:val="superscript"/>
              </w:rPr>
              <w:t xml:space="preserve">, </w:t>
            </w:r>
            <w:hyperlink r:id="rId12">
              <w:r>
                <w:rPr>
                  <w:rFonts w:ascii="Mulish" w:hAnsi="Mulish" w:cs="Mulish"/>
                  <w:color w:val="7000FF"/>
                  <w:sz w:val="20"/>
                  <w:szCs w:val="20"/>
                  <w:vertAlign w:val="superscript"/>
                </w:rPr>
                <w:t xml:space="preserve">2</w:t>
              </w:r>
            </w:hyperlink>
          </w:p>
        </w:tc>
        <w:tc>
          <w:tcPr>
            <w:tcW w:type="dxa" w:w="2700"/>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t>Enterprise accounts or workspaces alone do not establish an equivalent operator model.</w:t>
            </w:r>
          </w:p>
        </w:tc>
        <w:tc>
          <w:tcPr>
            <w:tcW w:type="dxa" w:w="2706"/>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t xml:space="preserve">SigningHub has a service-provider proposition; Namirial documents organization tenancy. emSigner merits architecture-level comparison. </w:t>
            </w:r>
            <w:hyperlink r:id="rId21">
              <w:r>
                <w:rPr>
                  <w:rFonts w:ascii="Mulish" w:hAnsi="Mulish" w:cs="Mulish"/>
                  <w:color w:val="7000FF"/>
                  <w:sz w:val="20"/>
                  <w:szCs w:val="20"/>
                  <w:vertAlign w:val="superscript"/>
                </w:rPr>
                <w:t xml:space="preserve">11</w:t>
              </w:r>
            </w:hyperlink>
            <w:r>
              <w:rPr>
                <w:rFonts w:ascii="Mulish" w:hAnsi="Mulish" w:eastAsia="Mulish" w:cs="Mulish"/>
                <w:b w:val="0"/>
                <w:color w:val="7000FF"/>
                <w:sz w:val="20"/>
                <w:vertAlign w:val="superscript"/>
              </w:rPr>
              <w:t xml:space="preserve">, </w:t>
            </w:r>
            <w:hyperlink r:id="rId22">
              <w:r>
                <w:rPr>
                  <w:rFonts w:ascii="Mulish" w:hAnsi="Mulish" w:cs="Mulish"/>
                  <w:color w:val="7000FF"/>
                  <w:sz w:val="20"/>
                  <w:szCs w:val="20"/>
                  <w:vertAlign w:val="superscript"/>
                </w:rPr>
                <w:t xml:space="preserve">12</w:t>
              </w:r>
            </w:hyperlink>
            <w:r>
              <w:rPr>
                <w:rFonts w:ascii="Mulish" w:hAnsi="Mulish" w:eastAsia="Mulish" w:cs="Mulish"/>
                <w:b w:val="0"/>
                <w:color w:val="7000FF"/>
                <w:sz w:val="20"/>
                <w:vertAlign w:val="superscript"/>
              </w:rPr>
              <w:t xml:space="preserve">, </w:t>
            </w:r>
            <w:hyperlink r:id="rId23">
              <w:r>
                <w:rPr>
                  <w:rFonts w:ascii="Mulish" w:hAnsi="Mulish" w:cs="Mulish"/>
                  <w:color w:val="7000FF"/>
                  <w:sz w:val="20"/>
                  <w:szCs w:val="20"/>
                  <w:vertAlign w:val="superscript"/>
                </w:rPr>
                <w:t xml:space="preserve">13</w:t>
              </w:r>
            </w:hyperlink>
            <w:r>
              <w:rPr>
                <w:rFonts w:ascii="Mulish" w:hAnsi="Mulish" w:eastAsia="Mulish" w:cs="Mulish"/>
                <w:b w:val="0"/>
                <w:color w:val="7000FF"/>
                <w:sz w:val="20"/>
                <w:vertAlign w:val="superscript"/>
              </w:rPr>
              <w:t xml:space="preserve">, </w:t>
            </w:r>
            <w:hyperlink r:id="rId24">
              <w:r>
                <w:rPr>
                  <w:rFonts w:ascii="Mulish" w:hAnsi="Mulish" w:cs="Mulish"/>
                  <w:color w:val="7000FF"/>
                  <w:sz w:val="20"/>
                  <w:szCs w:val="20"/>
                  <w:vertAlign w:val="superscript"/>
                </w:rPr>
                <w:t xml:space="preserve">14</w:t>
              </w:r>
            </w:hyperlink>
          </w:p>
        </w:tc>
      </w:tr>
      <w:tr>
        <w:trPr>
          <w:cantSplit/>
        </w:trPr>
        <w:tc>
          <w:tcPr>
            <w:tcW w:type="dxa" w:w="1760"/>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rPr>
                <w:b/>
              </w:rPr>
              <w:t>Organizational identity</w:t>
            </w:r>
          </w:p>
        </w:tc>
        <w:tc>
          <w:tcPr>
            <w:tcW w:type="dxa" w:w="3140"/>
            <w:tcMar>
              <w:top w:w="180" w:type="dxa"/>
              <w:bottom w:w="180" w:type="dxa"/>
              <w:left w:w="180" w:type="dxa"/>
              <w:right w:w="180" w:type="dxa"/>
            </w:tcMar>
            <w:shd w:fill="F5EDFF"/>
            <w:tcBorders>
              <w:top w:val="nil" w:sz="3" w:color="E4E7EC"/>
              <w:left w:val="nil" w:sz="3" w:color="E4E7EC"/>
              <w:bottom w:val="single" w:sz="3" w:color="E4E7EC"/>
              <w:right w:val="nil" w:sz="3" w:color="E4E7EC"/>
            </w:tcBorders>
            <w:vAlign w:val="top"/>
          </w:tcPr>
          <w:p>
            <w:pPr>
              <w:pStyle w:val="Cell"/>
              <w:keepNext w:val="0"/>
              <w:ind w:right="0"/>
            </w:pPr>
            <w:r>
              <w:t xml:space="preserve">Application name, branding, domain, email/SMTP and organizational certificate options. </w:t>
            </w:r>
            <w:hyperlink r:id="rId15">
              <w:r>
                <w:rPr>
                  <w:rFonts w:ascii="Mulish" w:hAnsi="Mulish" w:cs="Mulish"/>
                  <w:color w:val="7000FF"/>
                  <w:sz w:val="20"/>
                  <w:szCs w:val="20"/>
                  <w:vertAlign w:val="superscript"/>
                </w:rPr>
                <w:t xml:space="preserve">5</w:t>
              </w:r>
            </w:hyperlink>
            <w:r>
              <w:rPr>
                <w:rFonts w:ascii="Mulish" w:hAnsi="Mulish" w:eastAsia="Mulish" w:cs="Mulish"/>
                <w:b w:val="0"/>
                <w:color w:val="7000FF"/>
                <w:sz w:val="20"/>
                <w:vertAlign w:val="superscript"/>
              </w:rPr>
              <w:t xml:space="preserve">, </w:t>
            </w:r>
            <w:hyperlink r:id="rId16">
              <w:r>
                <w:rPr>
                  <w:rFonts w:ascii="Mulish" w:hAnsi="Mulish" w:cs="Mulish"/>
                  <w:color w:val="7000FF"/>
                  <w:sz w:val="20"/>
                  <w:szCs w:val="20"/>
                  <w:vertAlign w:val="superscript"/>
                </w:rPr>
                <w:t xml:space="preserve">6</w:t>
              </w:r>
            </w:hyperlink>
          </w:p>
        </w:tc>
        <w:tc>
          <w:tcPr>
            <w:tcW w:type="dxa" w:w="2700"/>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t xml:space="preserve">Branding and email customization available; depth differs by product and offer. </w:t>
            </w:r>
            <w:hyperlink r:id="rId25">
              <w:r>
                <w:rPr>
                  <w:rFonts w:ascii="Mulish" w:hAnsi="Mulish" w:cs="Mulish"/>
                  <w:color w:val="7000FF"/>
                  <w:sz w:val="20"/>
                  <w:szCs w:val="20"/>
                  <w:vertAlign w:val="superscript"/>
                </w:rPr>
                <w:t xml:space="preserve">15</w:t>
              </w:r>
            </w:hyperlink>
            <w:r>
              <w:rPr>
                <w:rFonts w:ascii="Mulish" w:hAnsi="Mulish" w:eastAsia="Mulish" w:cs="Mulish"/>
                <w:b w:val="0"/>
                <w:color w:val="7000FF"/>
                <w:sz w:val="20"/>
                <w:vertAlign w:val="superscript"/>
              </w:rPr>
              <w:t xml:space="preserve">, </w:t>
            </w:r>
            <w:hyperlink r:id="rId26">
              <w:r>
                <w:rPr>
                  <w:rFonts w:ascii="Mulish" w:hAnsi="Mulish" w:cs="Mulish"/>
                  <w:color w:val="7000FF"/>
                  <w:sz w:val="20"/>
                  <w:szCs w:val="20"/>
                  <w:vertAlign w:val="superscript"/>
                </w:rPr>
                <w:t xml:space="preserve">16</w:t>
              </w:r>
            </w:hyperlink>
            <w:r>
              <w:rPr>
                <w:rFonts w:ascii="Mulish" w:hAnsi="Mulish" w:eastAsia="Mulish" w:cs="Mulish"/>
                <w:b w:val="0"/>
                <w:color w:val="7000FF"/>
                <w:sz w:val="20"/>
                <w:vertAlign w:val="superscript"/>
              </w:rPr>
              <w:t xml:space="preserve">, </w:t>
            </w:r>
            <w:hyperlink r:id="rId27">
              <w:r>
                <w:rPr>
                  <w:rFonts w:ascii="Mulish" w:hAnsi="Mulish" w:cs="Mulish"/>
                  <w:color w:val="7000FF"/>
                  <w:sz w:val="20"/>
                  <w:szCs w:val="20"/>
                  <w:vertAlign w:val="superscript"/>
                </w:rPr>
                <w:t xml:space="preserve">17</w:t>
              </w:r>
            </w:hyperlink>
          </w:p>
        </w:tc>
        <w:tc>
          <w:tcPr>
            <w:tcW w:type="dxa" w:w="2706"/>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t xml:space="preserve">Significant overlap, including white-label and provider-branded services. </w:t>
            </w:r>
            <w:hyperlink r:id="rId21">
              <w:r>
                <w:rPr>
                  <w:rFonts w:ascii="Mulish" w:hAnsi="Mulish" w:cs="Mulish"/>
                  <w:color w:val="7000FF"/>
                  <w:sz w:val="20"/>
                  <w:szCs w:val="20"/>
                  <w:vertAlign w:val="superscript"/>
                </w:rPr>
                <w:t xml:space="preserve">11</w:t>
              </w:r>
            </w:hyperlink>
            <w:r>
              <w:rPr>
                <w:rFonts w:ascii="Mulish" w:hAnsi="Mulish" w:eastAsia="Mulish" w:cs="Mulish"/>
                <w:b w:val="0"/>
                <w:color w:val="7000FF"/>
                <w:sz w:val="20"/>
                <w:vertAlign w:val="superscript"/>
              </w:rPr>
              <w:t xml:space="preserve">, </w:t>
            </w:r>
            <w:hyperlink r:id="rId24">
              <w:r>
                <w:rPr>
                  <w:rFonts w:ascii="Mulish" w:hAnsi="Mulish" w:cs="Mulish"/>
                  <w:color w:val="7000FF"/>
                  <w:sz w:val="20"/>
                  <w:szCs w:val="20"/>
                  <w:vertAlign w:val="superscript"/>
                </w:rPr>
                <w:t xml:space="preserve">14</w:t>
              </w:r>
            </w:hyperlink>
          </w:p>
        </w:tc>
      </w:tr>
      <w:tr>
        <w:trPr>
          <w:cantSplit/>
        </w:trPr>
        <w:tc>
          <w:tcPr>
            <w:tcW w:type="dxa" w:w="1760"/>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rPr>
                <w:b/>
              </w:rPr>
              <w:t>Regional trust integration</w:t>
            </w:r>
          </w:p>
        </w:tc>
        <w:tc>
          <w:tcPr>
            <w:tcW w:type="dxa" w:w="3140"/>
            <w:tcMar>
              <w:top w:w="180" w:type="dxa"/>
              <w:bottom w:w="180" w:type="dxa"/>
              <w:left w:w="180" w:type="dxa"/>
              <w:right w:w="180" w:type="dxa"/>
            </w:tcMar>
            <w:shd w:fill="F5EDFF"/>
            <w:tcBorders>
              <w:top w:val="nil" w:sz="3" w:color="E4E7EC"/>
              <w:left w:val="nil" w:sz="3" w:color="E4E7EC"/>
              <w:bottom w:val="single" w:sz="3" w:color="E4E7EC"/>
              <w:right w:val="nil" w:sz="3" w:color="E4E7EC"/>
            </w:tcBorders>
            <w:vAlign w:val="top"/>
          </w:tcPr>
          <w:p>
            <w:pPr>
              <w:pStyle w:val="Cell"/>
              <w:keepNext w:val="0"/>
              <w:ind w:right="0"/>
            </w:pPr>
            <w:r>
              <w:t xml:space="preserve">UAE PASS authentication, verification and signing; Nafath login and recipient verification. </w:t>
            </w:r>
            <w:hyperlink r:id="rId13">
              <w:r>
                <w:rPr>
                  <w:rFonts w:ascii="Mulish" w:hAnsi="Mulish" w:cs="Mulish"/>
                  <w:color w:val="7000FF"/>
                  <w:sz w:val="20"/>
                  <w:szCs w:val="20"/>
                  <w:vertAlign w:val="superscript"/>
                </w:rPr>
                <w:t xml:space="preserve">3</w:t>
              </w:r>
            </w:hyperlink>
            <w:r>
              <w:rPr>
                <w:rFonts w:ascii="Mulish" w:hAnsi="Mulish" w:eastAsia="Mulish" w:cs="Mulish"/>
                <w:b w:val="0"/>
                <w:color w:val="7000FF"/>
                <w:sz w:val="20"/>
                <w:vertAlign w:val="superscript"/>
              </w:rPr>
              <w:t xml:space="preserve">, </w:t>
            </w:r>
            <w:hyperlink r:id="rId14">
              <w:r>
                <w:rPr>
                  <w:rFonts w:ascii="Mulish" w:hAnsi="Mulish" w:cs="Mulish"/>
                  <w:color w:val="7000FF"/>
                  <w:sz w:val="20"/>
                  <w:szCs w:val="20"/>
                  <w:vertAlign w:val="superscript"/>
                </w:rPr>
                <w:t xml:space="preserve">4</w:t>
              </w:r>
            </w:hyperlink>
          </w:p>
        </w:tc>
        <w:tc>
          <w:tcPr>
            <w:tcW w:type="dxa" w:w="2700"/>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t>Validate the required national service and workflow rather than infer coverage from global availability.</w:t>
            </w:r>
          </w:p>
        </w:tc>
        <w:tc>
          <w:tcPr>
            <w:tcW w:type="dxa" w:w="2706"/>
            <w:tcMar>
              <w:top w:w="180" w:type="dxa"/>
              <w:bottom w:w="180" w:type="dxa"/>
              <w:left w:w="180" w:type="dxa"/>
              <w:right w:w="180" w:type="dxa"/>
            </w:tcMar>
            <w:shd w:fill="F8F9FC"/>
            <w:tcBorders>
              <w:top w:val="nil" w:sz="3" w:color="E4E7EC"/>
              <w:left w:val="nil" w:sz="3" w:color="E4E7EC"/>
              <w:bottom w:val="single" w:sz="3" w:color="E4E7EC"/>
              <w:right w:val="nil" w:sz="3" w:color="E4E7EC"/>
            </w:tcBorders>
            <w:vAlign w:val="top"/>
          </w:tcPr>
          <w:p>
            <w:pPr>
              <w:pStyle w:val="Cell"/>
              <w:keepNext w:val="0"/>
              <w:ind w:right="0"/>
            </w:pPr>
            <w:r>
              <w:t xml:space="preserve">Regional competition is real: emSigner also documents UAE PASS integration. </w:t>
            </w:r>
            <w:hyperlink r:id="rId28">
              <w:r>
                <w:rPr>
                  <w:rFonts w:ascii="Mulish" w:hAnsi="Mulish" w:cs="Mulish"/>
                  <w:color w:val="7000FF"/>
                  <w:sz w:val="20"/>
                  <w:szCs w:val="20"/>
                  <w:vertAlign w:val="superscript"/>
                </w:rPr>
                <w:t xml:space="preserve">18</w:t>
              </w:r>
            </w:hyperlink>
          </w:p>
        </w:tc>
      </w:tr>
      <w:tr>
        <w:trPr>
          <w:cantSplit/>
        </w:trPr>
        <w:tc>
          <w:tcPr>
            <w:tcW w:type="dxa" w:w="1760"/>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rPr>
                <w:b/>
              </w:rPr>
              <w:t>Where the decision turns</w:t>
            </w:r>
          </w:p>
        </w:tc>
        <w:tc>
          <w:tcPr>
            <w:tcW w:type="dxa" w:w="3140"/>
            <w:tcMar>
              <w:top w:w="180" w:type="dxa"/>
              <w:bottom w:w="180" w:type="dxa"/>
              <w:left w:w="180" w:type="dxa"/>
              <w:right w:w="180" w:type="dxa"/>
            </w:tcMar>
            <w:shd w:fill="F5EDFF"/>
            <w:tcBorders>
              <w:top w:val="nil" w:sz="3" w:color="E4E7EC"/>
              <w:left w:val="nil" w:sz="3" w:color="E4E7EC"/>
              <w:bottom w:val="single" w:sz="3" w:color="E4E7EC"/>
              <w:right w:val="nil" w:sz="3" w:color="E4E7EC"/>
            </w:tcBorders>
            <w:vAlign w:val="top"/>
          </w:tcPr>
          <w:p>
            <w:pPr>
              <w:pStyle w:val="Cell"/>
              <w:keepNext w:val="0"/>
              <w:ind w:right="0"/>
            </w:pPr>
            <w:r>
              <w:t>Fit of the complete process, organizational identity and operating model, supported by relevant delivery experience.</w:t>
            </w:r>
          </w:p>
        </w:tc>
        <w:tc>
          <w:tcPr>
            <w:tcW w:type="dxa" w:w="2700"/>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t>Agreement-platform breadth, document tooling and fit with existing business applications.</w:t>
            </w:r>
          </w:p>
        </w:tc>
        <w:tc>
          <w:tcPr>
            <w:tcW w:type="dxa" w:w="2706"/>
            <w:tcMar>
              <w:top w:w="180" w:type="dxa"/>
              <w:bottom w:w="180" w:type="dxa"/>
              <w:left w:w="180" w:type="dxa"/>
              <w:right w:w="180" w:type="dxa"/>
            </w:tcMar>
            <w:shd w:fill="FFFFFF"/>
            <w:tcBorders>
              <w:top w:val="nil" w:sz="3" w:color="E4E7EC"/>
              <w:left w:val="nil" w:sz="3" w:color="E4E7EC"/>
              <w:bottom w:val="single" w:sz="3" w:color="E4E7EC"/>
              <w:right w:val="nil" w:sz="3" w:color="E4E7EC"/>
            </w:tcBorders>
            <w:vAlign w:val="top"/>
          </w:tcPr>
          <w:p>
            <w:pPr>
              <w:pStyle w:val="Cell"/>
              <w:keepNext w:val="0"/>
              <w:ind w:right="0"/>
            </w:pPr>
            <w:r>
              <w:t>Trust infrastructure, signing assurance and the proposed deployment and service architecture.</w:t>
            </w:r>
          </w:p>
        </w:tc>
      </w:tr>
    </w:tbl>
    <w:p>
      <w:pPr>
        <w:spacing w:before="0" w:after="0" w:line="160" w:lineRule="exact"/>
      </w:pPr>
      <w:r>
        <w:rPr>
          <w:sz w:val="2"/>
        </w:rPr>
      </w:r>
    </w:p>
    <w:p>
      <w:pPr/>
      <w:r>
        <w:rPr>
          <w:b/>
        </w:rPr>
        <w:t>Circularo is particularly relevant when deployment control, organizational identity and multi-organization operation are requirements together.</w:t>
      </w:r>
      <w:r>
        <w:t xml:space="preserve"> The decision should compare the delivered service, its integrations and operating responsibilities.</w:t>
      </w:r>
    </w:p>
    <w:p>
      <w:pPr>
        <w:pStyle w:val="Heading1"/>
        <w:pageBreakBefore/>
      </w:pPr>
      <w:r>
        <w:t>Partner &amp; investment perspective</w:t>
      </w:r>
    </w:p>
    <w:p>
      <w:pPr>
        <w:pStyle w:val="Heading2"/>
      </w:pPr>
      <w:r>
        <w:t>Why this matters to partners</w:t>
      </w:r>
    </w:p>
    <w:p>
      <w:pPr/>
      <w:r>
        <w:rPr>
          <w:b/>
        </w:rPr>
        <w:t>Deliver a service under your identity.</w:t>
      </w:r>
      <w:r>
        <w:t xml:space="preserve"> Combine Circularo's document capabilities with your hosting and service operations, supported by branding, domains and communication identity. </w:t>
      </w:r>
      <w:hyperlink r:id="rId12">
        <w:r>
          <w:rPr>
            <w:rFonts w:ascii="Mulish" w:hAnsi="Mulish" w:cs="Mulish"/>
            <w:color w:val="7000FF"/>
            <w:sz w:val="20"/>
            <w:szCs w:val="20"/>
            <w:vertAlign w:val="superscript"/>
          </w:rPr>
          <w:t xml:space="preserve">2</w:t>
        </w:r>
      </w:hyperlink>
      <w:r>
        <w:rPr>
          <w:rFonts w:ascii="Mulish" w:hAnsi="Mulish" w:eastAsia="Mulish" w:cs="Mulish"/>
          <w:b w:val="0"/>
          <w:color w:val="7000FF"/>
          <w:sz w:val="20"/>
          <w:vertAlign w:val="superscript"/>
        </w:rPr>
        <w:t xml:space="preserve">, </w:t>
      </w:r>
      <w:hyperlink r:id="rId15">
        <w:r>
          <w:rPr>
            <w:rFonts w:ascii="Mulish" w:hAnsi="Mulish" w:cs="Mulish"/>
            <w:color w:val="7000FF"/>
            <w:sz w:val="20"/>
            <w:szCs w:val="20"/>
            <w:vertAlign w:val="superscript"/>
          </w:rPr>
          <w:t xml:space="preserve">5</w:t>
        </w:r>
      </w:hyperlink>
      <w:r>
        <w:rPr>
          <w:rFonts w:ascii="Mulish" w:hAnsi="Mulish" w:eastAsia="Mulish" w:cs="Mulish"/>
          <w:b w:val="0"/>
          <w:color w:val="7000FF"/>
          <w:sz w:val="20"/>
          <w:vertAlign w:val="superscript"/>
        </w:rPr>
        <w:t xml:space="preserve">, </w:t>
      </w:r>
      <w:hyperlink r:id="rId16">
        <w:r>
          <w:rPr>
            <w:rFonts w:ascii="Mulish" w:hAnsi="Mulish" w:cs="Mulish"/>
            <w:color w:val="7000FF"/>
            <w:sz w:val="20"/>
            <w:szCs w:val="20"/>
            <w:vertAlign w:val="superscript"/>
          </w:rPr>
          <w:t xml:space="preserve">6</w:t>
        </w:r>
      </w:hyperlink>
    </w:p>
    <w:p>
      <w:pPr/>
      <w:r>
        <w:rPr>
          <w:b/>
        </w:rPr>
        <w:t>Connect trust infrastructure to business use.</w:t>
      </w:r>
      <w:r>
        <w:t xml:space="preserve"> Integrate supported identity and signing services into customer processes, creating opportunities for onboarding, workflow configuration and ongoing service delivery.</w:t>
      </w:r>
    </w:p>
    <w:p>
      <w:pPr/>
      <w:r>
        <w:rPr>
          <w:b/>
        </w:rPr>
        <w:t>Expand across organizations and processes.</w:t>
      </w:r>
      <w:r>
        <w:t xml:space="preserve"> Shared services offer a route to platform reuse. The commercial opportunity depends on adoption, delivery efficiency and the agreed operating scope.</w:t>
      </w:r>
    </w:p>
    <w:p>
      <w:pPr>
        <w:pStyle w:val="Heading2"/>
      </w:pPr>
      <w:r>
        <w:t>Why this matters to investors</w:t>
      </w:r>
    </w:p>
    <w:p>
      <w:pPr/>
      <w:r>
        <w:t>Circularo's investment proposition is a focused expansion opportunity across enterprise workflows, sovereign deployments and partner-operated shared services.</w:t>
      </w:r>
    </w:p>
    <w:p>
      <w:pPr/>
      <w:r>
        <w:t xml:space="preserve">Potential lasting differentiation lies in </w:t>
      </w:r>
      <w:r>
        <w:rPr>
          <w:b/>
        </w:rPr>
        <w:t>government delivery experience, maintained local integrations, partner distribution and adoption within customer processes</w:t>
      </w:r>
      <w:r>
        <w:t>. Repeatable onboarding, renewals and expansion determine the strength of that thesis.</w:t>
      </w:r>
    </w:p>
    <w:p>
      <w:pPr/>
      <w:r>
        <w:t xml:space="preserve">The strategic opportunity is to develop </w:t>
      </w:r>
      <w:r>
        <w:rPr>
          <w:b/>
        </w:rPr>
        <w:t>Trust Orchestration</w:t>
      </w:r>
      <w:r>
        <w:t xml:space="preserve">: connecting content, identity, authority, trust services and evidence around a business action. </w:t>
      </w:r>
      <w:r>
        <w:rPr>
          <w:b/>
        </w:rPr>
        <w:t>Trusted Execution</w:t>
      </w:r>
      <w:r>
        <w:t xml:space="preserve"> is the intended outcome, and </w:t>
      </w:r>
      <w:r>
        <w:rPr>
          <w:b/>
        </w:rPr>
        <w:t>Trusted Records</w:t>
      </w:r>
      <w:r>
        <w:t xml:space="preserve"> preserve the content and available process evidence needed to understand it.</w:t>
      </w:r>
    </w:p>
    <w:p>
      <w:pPr>
        <w:pStyle w:val="Heading2"/>
      </w:pPr>
      <w:r>
        <w:t>AI today, agentic execution as the next horizon</w:t>
      </w:r>
    </w:p>
    <w:p>
      <w:pPr/>
      <w:r>
        <w:t xml:space="preserve">Circularo documents AI assistance for summaries, highlights and suggested document labels. </w:t>
      </w:r>
      <w:hyperlink r:id="rId29">
        <w:r>
          <w:rPr>
            <w:rFonts w:ascii="Mulish" w:hAnsi="Mulish" w:cs="Mulish"/>
            <w:color w:val="7000FF"/>
            <w:sz w:val="20"/>
            <w:szCs w:val="20"/>
            <w:vertAlign w:val="superscript"/>
          </w:rPr>
          <w:t xml:space="preserve">19</w:t>
        </w:r>
      </w:hyperlink>
      <w:r>
        <w:t xml:space="preserve"> Its longer-term direction is </w:t>
      </w:r>
      <w:r>
        <w:rPr>
          <w:b/>
        </w:rPr>
        <w:t>Agentic Trusted Execution</w:t>
      </w:r>
      <w:r>
        <w:t>: connecting actions prepared or initiated by AI agents to delegated authority, required approvals and evidence of the result.</w:t>
      </w:r>
    </w:p>
    <w:p>
      <w:pPr/>
      <w:r>
        <w:t xml:space="preserve">This is a future strategic extension. It builds on the question that already matters in document workflows: </w:t>
      </w:r>
      <w:r>
        <w:rPr>
          <w:b/>
        </w:rPr>
        <w:t>who was permitted to act, what was approved, and what actually happened?</w:t>
      </w:r>
    </w:p>
    <w:p>
      <w:pPr/>
      <w:r>
        <w:rPr>
          <w:b/>
        </w:rPr>
        <w:t>Circularo orchestrates trust. Trusted Execution is the outcome.</w:t>
      </w:r>
    </w:p>
    <w:p>
      <w:pPr>
        <w:pStyle w:val="Note"/>
      </w:pPr>
      <w:r>
        <w:t>Comparison basis: official product documentation and public service descriptions reviewed on 25 September 2026. The table compares market approaches, not identical editions or tested performance. Capabilities depend on the selected deployment, configuration and integrations. Sovereign hosting alone does not establish compliance; applicable identity, legal and assurance requirements must be met for each use case.</w:t>
      </w:r>
    </w:p>
    <w:p>
      <w:pPr>
        <w:pStyle w:val="SourceHeading"/>
      </w:pPr>
      <w:r>
        <w:t>SELECTED SOURCES  /  CLICK TO OPEN</w:t>
      </w:r>
    </w:p>
    <w:tbl>
      <w:tblPr>
        <w:tblW w:type="auto" w:w="0"/>
        <w:jc w:val="left"/>
        <w:tblLayout w:type="fixed"/>
        <w:tblLook w:firstColumn="1" w:firstRow="1" w:lastColumn="0" w:lastRow="0" w:noHBand="0" w:noVBand="1" w:val="04A0"/>
        <w:tblInd w:w="0" w:type="dxa"/>
      </w:tblPr>
      <w:tblGrid>
        <w:gridCol w:w="5153"/>
        <w:gridCol w:w="5153"/>
      </w:tblGrid>
      <w:tr>
        <w:trPr>
          <w:cantSplit/>
        </w:trPr>
        <w:tc>
          <w:tcPr>
            <w:tcW w:type="dxa" w:w="5153"/>
            <w:tcMar>
              <w:top w:w="0" w:type="dxa"/>
              <w:bottom w:w="0" w:type="dxa"/>
              <w:left w:w="0" w:type="dxa"/>
              <w:right w:w="0" w:type="dxa"/>
            </w:tcMar>
            <w:tcBorders>
              <w:top w:val="nil" w:sz="3" w:color="E4E7EC"/>
              <w:left w:val="nil" w:sz="3" w:color="E4E7EC"/>
              <w:bottom w:val="nil" w:sz="3" w:color="E4E7EC"/>
              <w:right w:val="nil" w:sz="3" w:color="E4E7EC"/>
            </w:tcBorders>
            <w:vAlign w:val="top"/>
          </w:tcPr>
          <w:p>
            <w:pPr>
              <w:pStyle w:val="Sources"/>
              <w:ind w:right="240"/>
            </w:pPr>
            <w:r>
              <w:rPr>
                <w:b/>
              </w:rPr>
              <w:t xml:space="preserve">1. </w:t>
            </w:r>
            <w:hyperlink r:id="rId11">
              <w:r>
                <w:rPr>
                  <w:rFonts w:ascii="Mulish" w:hAnsi="Mulish" w:cs="Mulish"/>
                  <w:color w:val="1D0090"/>
                  <w:sz w:val="15"/>
                  <w:szCs w:val="15"/>
                </w:rPr>
                <w:t xml:space="preserve">Digital Dubai: Digital Sign service catalogue</w:t>
              </w:r>
            </w:hyperlink>
          </w:p>
          <w:p>
            <w:pPr>
              <w:pStyle w:val="Sources"/>
              <w:ind w:right="240"/>
            </w:pPr>
            <w:r>
              <w:rPr>
                <w:b/>
              </w:rPr>
              <w:t xml:space="preserve">2. </w:t>
            </w:r>
            <w:hyperlink r:id="rId12">
              <w:r>
                <w:rPr>
                  <w:rFonts w:ascii="Mulish" w:hAnsi="Mulish" w:cs="Mulish"/>
                  <w:color w:val="1D0090"/>
                  <w:sz w:val="15"/>
                  <w:szCs w:val="15"/>
                </w:rPr>
                <w:t xml:space="preserve">Circularo / Shared Services Q&amp;A</w:t>
              </w:r>
            </w:hyperlink>
          </w:p>
          <w:p>
            <w:pPr>
              <w:pStyle w:val="Sources"/>
              <w:ind w:right="240"/>
            </w:pPr>
            <w:r>
              <w:rPr>
                <w:b/>
              </w:rPr>
              <w:t xml:space="preserve">3. </w:t>
            </w:r>
            <w:hyperlink r:id="rId13">
              <w:r>
                <w:rPr>
                  <w:rFonts w:ascii="Mulish" w:hAnsi="Mulish" w:cs="Mulish"/>
                  <w:color w:val="1D0090"/>
                  <w:sz w:val="15"/>
                  <w:szCs w:val="15"/>
                </w:rPr>
                <w:t xml:space="preserve">Circularo / UAE PASS integration</w:t>
              </w:r>
            </w:hyperlink>
          </w:p>
          <w:p>
            <w:pPr>
              <w:pStyle w:val="Sources"/>
              <w:ind w:right="240"/>
            </w:pPr>
            <w:r>
              <w:rPr>
                <w:b/>
              </w:rPr>
              <w:t xml:space="preserve">4. </w:t>
            </w:r>
            <w:hyperlink r:id="rId14">
              <w:r>
                <w:rPr>
                  <w:rFonts w:ascii="Mulish" w:hAnsi="Mulish" w:cs="Mulish"/>
                  <w:color w:val="1D0090"/>
                  <w:sz w:val="15"/>
                  <w:szCs w:val="15"/>
                </w:rPr>
                <w:t xml:space="preserve">Circularo / Nafath integration</w:t>
              </w:r>
            </w:hyperlink>
          </w:p>
          <w:p>
            <w:pPr>
              <w:pStyle w:val="Sources"/>
              <w:ind w:right="240"/>
            </w:pPr>
            <w:r>
              <w:rPr>
                <w:b/>
              </w:rPr>
              <w:t xml:space="preserve">5. </w:t>
            </w:r>
            <w:hyperlink r:id="rId15">
              <w:r>
                <w:rPr>
                  <w:rFonts w:ascii="Mulish" w:hAnsi="Mulish" w:cs="Mulish"/>
                  <w:color w:val="1D0090"/>
                  <w:sz w:val="15"/>
                  <w:szCs w:val="15"/>
                </w:rPr>
                <w:t xml:space="preserve">Circularo / Brand and identity add-ons</w:t>
              </w:r>
            </w:hyperlink>
          </w:p>
          <w:p>
            <w:pPr>
              <w:pStyle w:val="Sources"/>
              <w:ind w:right="240"/>
            </w:pPr>
            <w:r>
              <w:rPr>
                <w:b/>
              </w:rPr>
              <w:t xml:space="preserve">6. </w:t>
            </w:r>
            <w:hyperlink r:id="rId16">
              <w:r>
                <w:rPr>
                  <w:rFonts w:ascii="Mulish" w:hAnsi="Mulish" w:cs="Mulish"/>
                  <w:color w:val="1D0090"/>
                  <w:sz w:val="15"/>
                  <w:szCs w:val="15"/>
                </w:rPr>
                <w:t xml:space="preserve">Circularo / Custom email identity</w:t>
              </w:r>
            </w:hyperlink>
          </w:p>
          <w:p>
            <w:pPr>
              <w:pStyle w:val="Sources"/>
              <w:ind w:right="240"/>
            </w:pPr>
            <w:r>
              <w:rPr>
                <w:b/>
              </w:rPr>
              <w:t xml:space="preserve">7. </w:t>
            </w:r>
            <w:hyperlink r:id="rId17">
              <w:r>
                <w:rPr>
                  <w:rFonts w:ascii="Mulish" w:hAnsi="Mulish" w:cs="Mulish"/>
                  <w:color w:val="1D0090"/>
                  <w:sz w:val="15"/>
                  <w:szCs w:val="15"/>
                </w:rPr>
                <w:t xml:space="preserve">Docusign: Platform services</w:t>
              </w:r>
            </w:hyperlink>
          </w:p>
          <w:p>
            <w:pPr>
              <w:pStyle w:val="Sources"/>
              <w:ind w:right="240"/>
            </w:pPr>
            <w:r>
              <w:rPr>
                <w:b/>
              </w:rPr>
              <w:t xml:space="preserve">8. </w:t>
            </w:r>
            <w:hyperlink r:id="rId18">
              <w:r>
                <w:rPr>
                  <w:rFonts w:ascii="Mulish" w:hAnsi="Mulish" w:cs="Mulish"/>
                  <w:color w:val="1D0090"/>
                  <w:sz w:val="15"/>
                  <w:szCs w:val="15"/>
                </w:rPr>
                <w:t xml:space="preserve">Adobe / Custom workflows</w:t>
              </w:r>
            </w:hyperlink>
          </w:p>
          <w:p>
            <w:pPr>
              <w:pStyle w:val="Sources"/>
              <w:ind w:right="240"/>
            </w:pPr>
            <w:r>
              <w:rPr>
                <w:b/>
              </w:rPr>
              <w:t xml:space="preserve">9. </w:t>
            </w:r>
            <w:hyperlink r:id="rId19">
              <w:r>
                <w:rPr>
                  <w:rFonts w:ascii="Mulish" w:hAnsi="Mulish" w:cs="Mulish"/>
                  <w:color w:val="1D0090"/>
                  <w:sz w:val="15"/>
                  <w:szCs w:val="15"/>
                </w:rPr>
                <w:t xml:space="preserve">PandaDoc: Document generation</w:t>
              </w:r>
            </w:hyperlink>
          </w:p>
          <w:p>
            <w:pPr>
              <w:pStyle w:val="Sources"/>
              <w:ind w:right="240"/>
            </w:pPr>
            <w:r>
              <w:rPr>
                <w:b/>
              </w:rPr>
              <w:t xml:space="preserve">10. </w:t>
            </w:r>
            <w:hyperlink r:id="rId20">
              <w:r>
                <w:rPr>
                  <w:rFonts w:ascii="Mulish" w:hAnsi="Mulish" w:cs="Mulish"/>
                  <w:color w:val="1D0090"/>
                  <w:sz w:val="15"/>
                  <w:szCs w:val="15"/>
                </w:rPr>
                <w:t xml:space="preserve">emSigner: Product datasheet</w:t>
              </w:r>
            </w:hyperlink>
          </w:p>
        </w:tc>
        <w:tc>
          <w:tcPr>
            <w:tcW w:type="dxa" w:w="5153"/>
            <w:tcMar>
              <w:top w:w="0" w:type="dxa"/>
              <w:bottom w:w="0" w:type="dxa"/>
              <w:left w:w="0" w:type="dxa"/>
              <w:right w:w="0" w:type="dxa"/>
            </w:tcMar>
            <w:tcBorders>
              <w:top w:val="nil" w:sz="3" w:color="E4E7EC"/>
              <w:left w:val="nil" w:sz="3" w:color="E4E7EC"/>
              <w:bottom w:val="nil" w:sz="3" w:color="E4E7EC"/>
              <w:right w:val="nil" w:sz="3" w:color="E4E7EC"/>
            </w:tcBorders>
            <w:vAlign w:val="top"/>
          </w:tcPr>
          <w:p>
            <w:pPr>
              <w:pStyle w:val="Sources"/>
              <w:ind w:right="240"/>
            </w:pPr>
            <w:r>
              <w:rPr>
                <w:b/>
              </w:rPr>
              <w:t xml:space="preserve">11. </w:t>
            </w:r>
            <w:hyperlink r:id="rId21">
              <w:r>
                <w:rPr>
                  <w:rFonts w:ascii="Mulish" w:hAnsi="Mulish" w:cs="Mulish"/>
                  <w:color w:val="1D0090"/>
                  <w:sz w:val="15"/>
                  <w:szCs w:val="15"/>
                </w:rPr>
                <w:t xml:space="preserve">Ascertia: SigningHub</w:t>
              </w:r>
            </w:hyperlink>
          </w:p>
          <w:p>
            <w:pPr>
              <w:pStyle w:val="Sources"/>
              <w:ind w:right="240"/>
            </w:pPr>
            <w:r>
              <w:rPr>
                <w:b/>
              </w:rPr>
              <w:t xml:space="preserve">12. </w:t>
            </w:r>
            <w:hyperlink r:id="rId22">
              <w:r>
                <w:rPr>
                  <w:rFonts w:ascii="Mulish" w:hAnsi="Mulish" w:cs="Mulish"/>
                  <w:color w:val="1D0090"/>
                  <w:sz w:val="15"/>
                  <w:szCs w:val="15"/>
                </w:rPr>
                <w:t xml:space="preserve">Namirial / Business features</w:t>
              </w:r>
            </w:hyperlink>
          </w:p>
          <w:p>
            <w:pPr>
              <w:pStyle w:val="Sources"/>
              <w:ind w:right="240"/>
            </w:pPr>
            <w:r>
              <w:rPr>
                <w:b/>
              </w:rPr>
              <w:t xml:space="preserve">13. </w:t>
            </w:r>
            <w:hyperlink r:id="rId23">
              <w:r>
                <w:rPr>
                  <w:rFonts w:ascii="Mulish" w:hAnsi="Mulish" w:cs="Mulish"/>
                  <w:color w:val="1D0090"/>
                  <w:sz w:val="15"/>
                  <w:szCs w:val="15"/>
                </w:rPr>
                <w:t xml:space="preserve">Namirial: Organization tenancy and architecture</w:t>
              </w:r>
            </w:hyperlink>
          </w:p>
          <w:p>
            <w:pPr>
              <w:pStyle w:val="Sources"/>
              <w:ind w:right="240"/>
            </w:pPr>
            <w:r>
              <w:rPr>
                <w:b/>
              </w:rPr>
              <w:t xml:space="preserve">14. </w:t>
            </w:r>
            <w:hyperlink r:id="rId24">
              <w:r>
                <w:rPr>
                  <w:rFonts w:ascii="Mulish" w:hAnsi="Mulish" w:cs="Mulish"/>
                  <w:color w:val="1D0090"/>
                  <w:sz w:val="15"/>
                  <w:szCs w:val="15"/>
                </w:rPr>
                <w:t xml:space="preserve">emSigner: Embedded white-label capabilities</w:t>
              </w:r>
            </w:hyperlink>
          </w:p>
          <w:p>
            <w:pPr>
              <w:pStyle w:val="Sources"/>
              <w:ind w:right="240"/>
            </w:pPr>
            <w:r>
              <w:rPr>
                <w:b/>
              </w:rPr>
              <w:t xml:space="preserve">15. </w:t>
            </w:r>
            <w:hyperlink r:id="rId25">
              <w:r>
                <w:rPr>
                  <w:rFonts w:ascii="Mulish" w:hAnsi="Mulish" w:cs="Mulish"/>
                  <w:color w:val="1D0090"/>
                  <w:sz w:val="15"/>
                  <w:szCs w:val="15"/>
                </w:rPr>
                <w:t xml:space="preserve">Docusign: Administration</w:t>
              </w:r>
            </w:hyperlink>
          </w:p>
          <w:p>
            <w:pPr>
              <w:pStyle w:val="Sources"/>
              <w:ind w:right="240"/>
            </w:pPr>
            <w:r>
              <w:rPr>
                <w:b/>
              </w:rPr>
              <w:t xml:space="preserve">16. </w:t>
            </w:r>
            <w:hyperlink r:id="rId26">
              <w:r>
                <w:rPr>
                  <w:rFonts w:ascii="Mulish" w:hAnsi="Mulish" w:cs="Mulish"/>
                  <w:color w:val="1D0090"/>
                  <w:sz w:val="15"/>
                  <w:szCs w:val="15"/>
                </w:rPr>
                <w:t xml:space="preserve">Adobe / Administrator guide</w:t>
              </w:r>
            </w:hyperlink>
          </w:p>
          <w:p>
            <w:pPr>
              <w:pStyle w:val="Sources"/>
              <w:ind w:right="240"/>
            </w:pPr>
            <w:r>
              <w:rPr>
                <w:b/>
              </w:rPr>
              <w:t xml:space="preserve">17. </w:t>
            </w:r>
            <w:hyperlink r:id="rId27">
              <w:r>
                <w:rPr>
                  <w:rFonts w:ascii="Mulish" w:hAnsi="Mulish" w:cs="Mulish"/>
                  <w:color w:val="1D0090"/>
                  <w:sz w:val="15"/>
                  <w:szCs w:val="15"/>
                </w:rPr>
                <w:t xml:space="preserve">PandaDoc: White-label delivery emails</w:t>
              </w:r>
            </w:hyperlink>
          </w:p>
          <w:p>
            <w:pPr>
              <w:pStyle w:val="Sources"/>
              <w:ind w:right="240"/>
            </w:pPr>
            <w:r>
              <w:rPr>
                <w:b/>
              </w:rPr>
              <w:t xml:space="preserve">18. </w:t>
            </w:r>
            <w:hyperlink r:id="rId28">
              <w:r>
                <w:rPr>
                  <w:rFonts w:ascii="Mulish" w:hAnsi="Mulish" w:cs="Mulish"/>
                  <w:color w:val="1D0090"/>
                  <w:sz w:val="15"/>
                  <w:szCs w:val="15"/>
                </w:rPr>
                <w:t xml:space="preserve">eMudhra: emSigner and UAE PASS</w:t>
              </w:r>
            </w:hyperlink>
          </w:p>
          <w:p>
            <w:pPr>
              <w:pStyle w:val="Sources"/>
              <w:ind w:right="240"/>
            </w:pPr>
            <w:r>
              <w:rPr>
                <w:b/>
              </w:rPr>
              <w:t xml:space="preserve">19. </w:t>
            </w:r>
            <w:hyperlink r:id="rId29">
              <w:r>
                <w:rPr>
                  <w:rFonts w:ascii="Mulish" w:hAnsi="Mulish" w:cs="Mulish"/>
                  <w:color w:val="1D0090"/>
                  <w:sz w:val="15"/>
                  <w:szCs w:val="15"/>
                </w:rPr>
                <w:t xml:space="preserve">Circularo / AI Assistant</w:t>
              </w:r>
            </w:hyperlink>
          </w:p>
        </w:tc>
      </w:tr>
    </w:tbl>
    <w:sectPr w:rsidR="00FC693F" w:rsidRPr="0006063C" w:rsidSect="00034616">
      <w:headerReference w:type="default" r:id="rId9"/>
      <w:footerReference w:type="default" r:id="rId10"/>
      <w:pgSz w:w="11906" w:h="16838"/>
      <w:pgMar w:top="1660" w:right="680" w:bottom="880" w:left="920" w:header="5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ulish">
    <w:embedRegular r:id="rIdBrandFont1" w:fontKey="{9D53B14A-7BC5-5BB2-9B3C-9BDC38F0E5C2}" w:subsetted="false"/>
    <w:embedBold r:id="rIdBrandFont2" w:fontKey="{980747A6-A938-5170-86DE-E48A1D99A288}" w:subsetted="false"/>
  </w:font>
  <w:font w:name="Spartan">
    <w:embedBold r:id="rIdBrandFont3" w:fontKey="{63AA48F2-6819-50D4-928E-597E87943B20}"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86" w:val="right"/>
      </w:tabs>
      <w:spacing w:after="0" w:line="200" w:lineRule="exact"/>
      <w:ind w:left="-120" w:right="120"/>
      <w:pBdr>
        <w:top w:val="single" w:sz="4" w:space="6" w:color="E4E7EC"/>
      </w:pBdr>
    </w:pPr>
    <w:r>
      <w:rPr>
        <w:rFonts w:ascii="Mulish" w:hAnsi="Mulish" w:eastAsia="Mulish" w:cs="Mulish"/>
        <w:b w:val="0"/>
        <w:color w:val="667085"/>
        <w:sz w:val="15"/>
      </w:rPr>
      <w:t>CIRCULARO  /  SEPTEMBER 2026</w:t>
      <w:tab/>
    </w:r>
    <w:r>
      <w:rPr>
        <w:rFonts w:ascii="Mulish" w:hAnsi="Mulish" w:eastAsia="Mulish" w:cs="Mulish"/>
        <w:b w:val="0"/>
        <w:color w:val="667085"/>
        <w:sz w:val="15"/>
      </w:rPr>
      <w:fldChar w:fldCharType="begin"/>
      <w:instrText>PAGE</w:instrText>
      <w:fldChar w:fldCharType="end"/>
    </w:r>
    <w:r>
      <w:rPr>
        <w:rFonts w:ascii="Mulish" w:hAnsi="Mulish" w:eastAsia="Mulish" w:cs="Mulish"/>
        <w:b w:val="0"/>
        <w:color w:val="667085"/>
        <w:sz w:val="15"/>
      </w:rPr>
      <w:t xml:space="preserve"> / </w:t>
    </w:r>
    <w:r>
      <w:rPr>
        <w:rFonts w:ascii="Mulish" w:hAnsi="Mulish" w:eastAsia="Mulish" w:cs="Mulish"/>
        <w:b w:val="0"/>
        <w:color w:val="667085"/>
        <w:sz w:val="15"/>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left"/>
      <w:tblLayout w:type="fixed"/>
      <w:tblLook w:firstColumn="1" w:firstRow="1" w:lastColumn="0" w:lastRow="0" w:noHBand="0" w:noVBand="1" w:val="04A0"/>
      <w:tblInd w:w="-120" w:type="dxa"/>
    </w:tblPr>
    <w:tblGrid>
      <w:gridCol w:w="2400"/>
      <w:gridCol w:w="7906"/>
    </w:tblGrid>
    <w:tr>
      <w:trPr>
        <w:cantSplit/>
      </w:trPr>
      <w:tc>
        <w:tcPr>
          <w:tcW w:type="dxa" w:w="2400"/>
          <w:tcMar>
            <w:top w:w="0" w:type="dxa"/>
            <w:bottom w:w="140" w:type="dxa"/>
            <w:left w:w="0" w:type="dxa"/>
            <w:right w:w="0" w:type="dxa"/>
          </w:tcMar>
          <w:tcBorders>
            <w:top w:val="nil" w:sz="3" w:color="E4E7EC"/>
            <w:left w:val="nil" w:sz="3" w:color="E4E7EC"/>
            <w:bottom w:val="single" w:sz="3" w:color="E4E7EC"/>
            <w:right w:val="nil" w:sz="3" w:color="E4E7EC"/>
          </w:tcBorders>
          <w:vAlign w:val="center"/>
        </w:tcPr>
        <w:p>
          <w:pPr>
            <w:spacing w:after="0" w:line="240" w:lineRule="auto"/>
            <w:ind w:right="0"/>
          </w:pPr>
          <w:r>
            <w:drawing>
              <wp:inline xmlns:a="http://schemas.openxmlformats.org/drawingml/2006/main" xmlns:pic="http://schemas.openxmlformats.org/drawingml/2006/picture">
                <wp:extent cx="1257300" cy="451876"/>
                <wp:docPr id="1" name="Picture 1"/>
                <wp:cNvGraphicFramePr>
                  <a:graphicFrameLocks noChangeAspect="1"/>
                </wp:cNvGraphicFramePr>
                <a:graphic>
                  <a:graphicData uri="http://schemas.openxmlformats.org/drawingml/2006/picture">
                    <pic:pic>
                      <pic:nvPicPr>
                        <pic:cNvPr id="0" name="circularo-logo-logotype-blue.png"/>
                        <pic:cNvPicPr/>
                      </pic:nvPicPr>
                      <pic:blipFill>
                        <a:blip r:embed="rId1"/>
                        <a:stretch>
                          <a:fillRect/>
                        </a:stretch>
                      </pic:blipFill>
                      <pic:spPr>
                        <a:xfrm>
                          <a:off x="0" y="0"/>
                          <a:ext cx="1257300" cy="451876"/>
                        </a:xfrm>
                        <a:prstGeom prst="rect"/>
                      </pic:spPr>
                    </pic:pic>
                  </a:graphicData>
                </a:graphic>
              </wp:inline>
            </w:drawing>
          </w:r>
        </w:p>
      </w:tc>
      <w:tc>
        <w:tcPr>
          <w:tcW w:type="dxa" w:w="7906"/>
          <w:tcMar>
            <w:top w:w="0" w:type="dxa"/>
            <w:bottom w:w="140" w:type="dxa"/>
            <w:left w:w="0" w:type="dxa"/>
            <w:right w:w="0" w:type="dxa"/>
          </w:tcMar>
          <w:tcBorders>
            <w:top w:val="nil" w:sz="3" w:color="E4E7EC"/>
            <w:left w:val="nil" w:sz="3" w:color="E4E7EC"/>
            <w:bottom w:val="single" w:sz="3" w:color="E4E7EC"/>
            <w:right w:val="nil" w:sz="3" w:color="E4E7EC"/>
          </w:tcBorders>
          <w:vAlign w:val="center"/>
        </w:tcPr>
        <w:p>
          <w:pPr>
            <w:spacing w:after="0" w:line="240" w:lineRule="auto"/>
            <w:ind w:right="0"/>
            <w:jc w:val="right"/>
          </w:pPr>
          <w:r>
            <w:rPr>
              <w:rFonts w:ascii="Mulish" w:hAnsi="Mulish" w:eastAsia="Mulish" w:cs="Mulish"/>
              <w:b/>
              <w:color w:val="667085"/>
              <w:sz w:val="16"/>
            </w:rPr>
            <w:t>PARTNER &amp; INVESTOR PERSPECTIVE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160" w:line="282" w:lineRule="exact"/>
      <w:ind w:right="240"/>
    </w:pPr>
    <w:rPr>
      <w:rFonts w:ascii="Mulish" w:hAnsi="Mulish" w:eastAsia="Mulish" w:cs="Mulish"/>
      <w:b w:val="0"/>
      <w:color w:val="3D3D3D"/>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val="0"/>
      <w:spacing w:before="0" w:after="200" w:line="560" w:lineRule="exact"/>
      <w:ind w:right="240"/>
      <w:outlineLvl w:val="0"/>
    </w:pPr>
    <w:rPr>
      <w:rFonts w:ascii="Spartan" w:hAnsi="Spartan" w:eastAsia="Spartan" w:cs="Spartan"/>
      <w:b/>
      <w:bCs/>
      <w:color w:val="1D0090"/>
      <w:sz w:val="44"/>
      <w:szCs w:val="28"/>
    </w:rPr>
  </w:style>
  <w:style w:type="paragraph" w:styleId="Heading2">
    <w:name w:val="heading 2"/>
    <w:basedOn w:val="Normal"/>
    <w:next w:val="Normal"/>
    <w:link w:val="Heading2Char"/>
    <w:uiPriority w:val="9"/>
    <w:unhideWhenUsed/>
    <w:qFormat/>
    <w:rsid w:val="00FC693F"/>
    <w:pPr>
      <w:keepNext/>
      <w:keepLines/>
      <w:widowControl w:val="0"/>
      <w:spacing w:before="240" w:after="120" w:line="320" w:lineRule="exact"/>
      <w:ind w:right="240"/>
      <w:outlineLvl w:val="1"/>
    </w:pPr>
    <w:rPr>
      <w:rFonts w:ascii="Spartan" w:hAnsi="Spartan" w:eastAsia="Spartan" w:cs="Spartan"/>
      <w:b/>
      <w:bCs/>
      <w:color w:val="1D00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val="0"/>
      <w:spacing w:after="260" w:line="640" w:lineRule="exact" w:before="0"/>
      <w:ind w:right="240"/>
      <w:contextualSpacing/>
    </w:pPr>
    <w:rPr>
      <w:rFonts w:ascii="Spartan" w:hAnsi="Spartan" w:eastAsia="Spartan" w:cs="Spartan"/>
      <w:b/>
      <w:color w:val="1D0090"/>
      <w:spacing w:val="5"/>
      <w:kern w:val="28"/>
      <w:sz w:val="5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val="0"/>
      <w:spacing w:before="0" w:after="220" w:line="260" w:lineRule="exact"/>
      <w:ind w:right="240"/>
    </w:pPr>
    <w:rPr>
      <w:rFonts w:ascii="Mulish" w:hAnsi="Mulish" w:eastAsia="Mulish" w:cs="Mulish"/>
      <w:b/>
      <w:color w:val="7000FF"/>
      <w:sz w:val="18"/>
    </w:rPr>
  </w:style>
  <w:style w:type="paragraph" w:customStyle="1" w:styleId="Cell">
    <w:name w:val="Cell"/>
    <w:pPr>
      <w:widowControl w:val="0"/>
      <w:spacing w:before="0" w:after="0" w:line="246" w:lineRule="exact"/>
      <w:ind w:right="240"/>
    </w:pPr>
    <w:rPr>
      <w:rFonts w:ascii="Mulish" w:hAnsi="Mulish" w:eastAsia="Mulish" w:cs="Mulish"/>
      <w:b w:val="0"/>
      <w:color w:val="3D3D3D"/>
      <w:sz w:val="18"/>
    </w:rPr>
  </w:style>
  <w:style w:type="paragraph" w:customStyle="1" w:styleId="CellHeader">
    <w:name w:val="CellHeader"/>
    <w:pPr>
      <w:widowControl w:val="0"/>
      <w:spacing w:before="0" w:after="0" w:line="240" w:lineRule="exact"/>
      <w:ind w:right="240"/>
    </w:pPr>
    <w:rPr>
      <w:rFonts w:ascii="Mulish" w:hAnsi="Mulish" w:eastAsia="Mulish" w:cs="Mulish"/>
      <w:b/>
      <w:color w:val="FFFFFF"/>
      <w:sz w:val="18"/>
    </w:rPr>
  </w:style>
  <w:style w:type="paragraph" w:customStyle="1" w:styleId="Note">
    <w:name w:val="Note"/>
    <w:pPr>
      <w:widowControl w:val="0"/>
      <w:spacing w:before="140" w:after="140" w:line="216" w:lineRule="exact"/>
      <w:ind w:right="240"/>
    </w:pPr>
    <w:rPr>
      <w:rFonts w:ascii="Mulish" w:hAnsi="Mulish" w:eastAsia="Mulish" w:cs="Mulish"/>
      <w:b w:val="0"/>
      <w:color w:val="667085"/>
      <w:sz w:val="16"/>
    </w:rPr>
  </w:style>
  <w:style w:type="paragraph" w:customStyle="1" w:styleId="Sources">
    <w:name w:val="Sources"/>
    <w:pPr>
      <w:widowControl w:val="0"/>
      <w:spacing w:before="0" w:after="40" w:line="204" w:lineRule="exact"/>
      <w:ind w:right="240"/>
    </w:pPr>
    <w:rPr>
      <w:rFonts w:ascii="Mulish" w:hAnsi="Mulish" w:eastAsia="Mulish" w:cs="Mulish"/>
      <w:b w:val="0"/>
      <w:color w:val="667085"/>
      <w:sz w:val="15"/>
    </w:rPr>
  </w:style>
  <w:style w:type="paragraph" w:customStyle="1" w:styleId="SourceHeading">
    <w:name w:val="SourceHeading"/>
    <w:pPr>
      <w:keepNext/>
      <w:widowControl w:val="0"/>
      <w:spacing w:before="160" w:after="100" w:line="220" w:lineRule="exact"/>
      <w:ind w:right="240"/>
    </w:pPr>
    <w:rPr>
      <w:rFonts w:ascii="Mulish" w:hAnsi="Mulish" w:eastAsia="Mulish" w:cs="Mulish"/>
      <w:b/>
      <w:color w:val="1D009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artnersportal.digitaldubai.ae/Services/Details/cbe90258-5c5e-40b7-9103-9e5af992369d" TargetMode="External"/><Relationship Id="rId12" Type="http://schemas.openxmlformats.org/officeDocument/2006/relationships/hyperlink" Target="https://help.circularo.com/en/shared-services-q-a" TargetMode="External"/><Relationship Id="rId13" Type="http://schemas.openxmlformats.org/officeDocument/2006/relationships/hyperlink" Target="https://help.circularo.com/en/uae-pass-integration" TargetMode="External"/><Relationship Id="rId14" Type="http://schemas.openxmlformats.org/officeDocument/2006/relationships/hyperlink" Target="https://help.circularo.com/en/nafath-integration" TargetMode="External"/><Relationship Id="rId15" Type="http://schemas.openxmlformats.org/officeDocument/2006/relationships/hyperlink" Target="https://help.circularo.com/en/brand-and-identity-add-ons" TargetMode="External"/><Relationship Id="rId16" Type="http://schemas.openxmlformats.org/officeDocument/2006/relationships/hyperlink" Target="https://help.circularo.com/en/add-on-custom-email-identity" TargetMode="External"/><Relationship Id="rId17" Type="http://schemas.openxmlformats.org/officeDocument/2006/relationships/hyperlink" Target="https://www.docusign.com/products/platform" TargetMode="External"/><Relationship Id="rId18" Type="http://schemas.openxmlformats.org/officeDocument/2006/relationships/hyperlink" Target="https://helpx.adobe.com/sign/web/advanced-users/custom-workflows/overview.html" TargetMode="External"/><Relationship Id="rId19" Type="http://schemas.openxmlformats.org/officeDocument/2006/relationships/hyperlink" Target="https://www.pandadoc.com/document-generation/" TargetMode="External"/><Relationship Id="rId20" Type="http://schemas.openxmlformats.org/officeDocument/2006/relationships/hyperlink" Target="https://emudhra.com/resources/datasheets/pdfs/emsigner-datasheet-Global.pdf" TargetMode="External"/><Relationship Id="rId21" Type="http://schemas.openxmlformats.org/officeDocument/2006/relationships/hyperlink" Target="https://www.ascertia.com/products/signinghub/" TargetMode="External"/><Relationship Id="rId22" Type="http://schemas.openxmlformats.org/officeDocument/2006/relationships/hyperlink" Target="https://www.esignanywhere.net/en/features/business/" TargetMode="External"/><Relationship Id="rId23" Type="http://schemas.openxmlformats.org/officeDocument/2006/relationships/hyperlink" Target="https://namirial.atlassian.net/wiki/spaces/eSign/pages/91881585/Introduction" TargetMode="External"/><Relationship Id="rId24" Type="http://schemas.openxmlformats.org/officeDocument/2006/relationships/hyperlink" Target="https://emudhra.com/en/emsigner/feature-embedded-whitelabel" TargetMode="External"/><Relationship Id="rId25" Type="http://schemas.openxmlformats.org/officeDocument/2006/relationships/hyperlink" Target="https://www.docusign.com/products/admin" TargetMode="External"/><Relationship Id="rId26" Type="http://schemas.openxmlformats.org/officeDocument/2006/relationships/hyperlink" Target="https://helpx.adobe.com/sign/web/administers/admin-guide.html" TargetMode="External"/><Relationship Id="rId27" Type="http://schemas.openxmlformats.org/officeDocument/2006/relationships/hyperlink" Target="https://support.pandadoc.com/en/articles/9714672-white-label-your-pandadoc-delivery-emails" TargetMode="External"/><Relationship Id="rId28" Type="http://schemas.openxmlformats.org/officeDocument/2006/relationships/hyperlink" Target="https://emudhra.com/en-in/blog/uae-pass-emsigner-digital-signatures-uae" TargetMode="External"/><Relationship Id="rId29" Type="http://schemas.openxmlformats.org/officeDocument/2006/relationships/hyperlink" Target="https://help.circularo.com/en/how-to-ai-assistant" TargetMode="External"/></Relationships>
</file>

<file path=word/_rels/fontTable.xml.rels><?xml version='1.0' encoding='UTF-8' standalone='yes'?>
<Relationships xmlns="http://schemas.openxmlformats.org/package/2006/relationships"><Relationship Id="rIdBrandFont1" Type="http://schemas.openxmlformats.org/officeDocument/2006/relationships/font" Target="fonts/brand-1.odttf"/><Relationship Id="rIdBrandFont2" Type="http://schemas.openxmlformats.org/officeDocument/2006/relationships/font" Target="fonts/brand-2.odttf"/><Relationship Id="rIdBrandFont3" Type="http://schemas.openxmlformats.org/officeDocument/2006/relationships/font" Target="fonts/brand-3.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Circularo | Executive Competitive Summary</dc:title>
  <dc:subject>Unified Sovereign Trust Platform vs. Alternatives</dc:subject>
  <dc:creator>Circularo</dc:creator>
  <cp:keywords/>
  <dc:description>generated by python-docx</dc:description>
  <cp:lastModifiedBy>Circularo</cp:lastModifiedBy>
  <cp:revision>1</cp:revision>
  <dcterms:created xsi:type="dcterms:W3CDTF">2013-12-23T23:15:00Z</dcterms:created>
  <dcterms:modified xsi:type="dcterms:W3CDTF">2013-12-23T23:15:00Z</dcterms:modified>
  <cp:category/>
</cp:coreProperties>
</file>