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40" w:lineRule="auto"/>
      </w:pPr>
      <w:r>
        <w:rPr>
          <w:rFonts w:ascii="Calibri" w:hAnsi="Calibri"/>
          <w:b/>
          <w:color w:val="2E74B5"/>
          <w:sz w:val="20"/>
        </w:rPr>
        <w:t>CIRCULARO</w:t>
      </w:r>
    </w:p>
    <w:p>
      <w:pPr>
        <w:keepNext w:val="0"/>
        <w:spacing w:before="0" w:after="80" w:line="240" w:lineRule="auto"/>
      </w:pPr>
      <w:r>
        <w:rPr>
          <w:rFonts w:ascii="Calibri" w:hAnsi="Calibri"/>
          <w:b/>
          <w:color w:val="0B2545"/>
          <w:sz w:val="46"/>
        </w:rPr>
        <w:t>Add-On Commercial Model Overview</w:t>
      </w:r>
    </w:p>
    <w:p>
      <w:pPr>
        <w:keepNext w:val="0"/>
        <w:spacing w:before="0" w:after="280" w:line="240" w:lineRule="auto"/>
      </w:pPr>
      <w:r>
        <w:rPr>
          <w:rFonts w:ascii="Calibri" w:hAnsi="Calibri"/>
          <w:color w:val="59636E"/>
          <w:sz w:val="26"/>
        </w:rPr>
        <w:t>Prepared for DTC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1E2227"/>
                <w:sz w:val="19"/>
              </w:rPr>
              <w:t>Explain how Circularo Add-Ons are classified, charged and scoped.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Status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color w:val="1E2227"/>
                <w:sz w:val="19"/>
              </w:rPr>
              <w:t>High-level overview only — final availability and pricing require a tailored quotation.</w:t>
            </w:r>
          </w:p>
        </w:tc>
      </w:tr>
    </w:tbl>
    <w:p>
      <w:pPr>
        <w:keepNext w:val="0"/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Core principle:  </w:t>
            </w:r>
            <w:r>
              <w:rPr>
                <w:rFonts w:ascii="Calibri" w:hAnsi="Calibri"/>
                <w:color w:val="1E2227"/>
                <w:sz w:val="21"/>
              </w:rPr>
              <w:t>Every Add-On has exactly one type, which describes what is being sold, and one permitted charging structure, which describes how it is commercialized.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1. The four Add-On types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c>
          <w:tcPr>
            <w:tcW w:type="dxa" w:w="2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Add-On type</w:t>
            </w:r>
          </w:p>
        </w:tc>
        <w:tc>
          <w:tcPr>
            <w:tcW w:type="dxa" w:w="3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What DTC receives</w:t>
            </w:r>
          </w:p>
        </w:tc>
        <w:tc>
          <w:tcPr>
            <w:tcW w:type="dxa" w:w="33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Commercial treatment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Feature-Based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A capability or configuration is unlocked. It is not metered by usage and is not licensed per user.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Recurring entitlement fee, with an optional one-time activation fee.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Consumption-Based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A usage-driven capability measured through chargeable events.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Credits are consumed when used, with an optional one-time activation fee.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User-Based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A capability licensed for each covered user; scale follows the licensed-user count rather than usage.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Recurring entitlement fee priced per user.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Service-Based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Finite professional services delivered as a defined one-off engagement.</w:t>
            </w:r>
          </w:p>
        </w:tc>
        <w:tc>
          <w:tcPr>
            <w:tcW w:type="dxa" w:w="3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One-time service fee only; no ongoing entitlement or usage is included.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2. How the model works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/>
          <w:color w:val="0B2545"/>
          <w:sz w:val="21"/>
        </w:rPr>
        <w:t xml:space="preserve">Classify the Add-On: </w:t>
      </w:r>
      <w:r>
        <w:rPr>
          <w:rFonts w:ascii="Calibri" w:hAnsi="Calibri"/>
          <w:color w:val="1E2227"/>
          <w:sz w:val="21"/>
        </w:rPr>
        <w:t>Identify whether the requirement is a feature, consumption, user capability or professional service.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/>
          <w:color w:val="0B2545"/>
          <w:sz w:val="21"/>
        </w:rPr>
        <w:t xml:space="preserve">Apply the permitted commercial rail: </w:t>
      </w:r>
      <w:r>
        <w:rPr>
          <w:rFonts w:ascii="Calibri" w:hAnsi="Calibri"/>
          <w:color w:val="1E2227"/>
          <w:sz w:val="21"/>
        </w:rPr>
        <w:t>Use activation, recurring entitlement, credit consumption or a one-time fee only where the Add-On type allows it.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/>
          <w:color w:val="0B2545"/>
          <w:sz w:val="21"/>
        </w:rPr>
        <w:t xml:space="preserve">Define the scope: </w:t>
      </w:r>
      <w:r>
        <w:rPr>
          <w:rFonts w:ascii="Calibri" w:hAnsi="Calibri"/>
          <w:color w:val="1E2227"/>
          <w:sz w:val="21"/>
        </w:rPr>
        <w:t>Organization is the default. Depending on the Add-On type, scope may also be tied to a user, a chargeable event or a deployment type such as on-premises or sovereign.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/>
          <w:color w:val="0B2545"/>
          <w:sz w:val="21"/>
        </w:rPr>
        <w:t xml:space="preserve">Check policy conditions: </w:t>
      </w:r>
      <w:r>
        <w:rPr>
          <w:rFonts w:ascii="Calibri" w:hAnsi="Calibri"/>
          <w:color w:val="1E2227"/>
          <w:sz w:val="21"/>
        </w:rPr>
        <w:t>Confirm regulatory, regional, approval, bundling and credit-only conditions before final commercial confirmation.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Simple customer explanation:  </w:t>
            </w:r>
            <w:r>
              <w:rPr>
                <w:rFonts w:ascii="Calibri" w:hAnsi="Calibri"/>
                <w:color w:val="1E2227"/>
                <w:sz w:val="21"/>
              </w:rPr>
              <w:t>Features are paid for when unlocked; consumption is paid for when used; user capabilities are paid for per covered user; and professional services are paid for once for a defined delivery.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3. Important consumption and API principles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/>
          <w:color w:val="0B2545"/>
          <w:sz w:val="21"/>
        </w:rPr>
        <w:t xml:space="preserve">Consumption uses credits: </w:t>
      </w:r>
      <w:r>
        <w:rPr>
          <w:rFonts w:ascii="Calibri" w:hAnsi="Calibri"/>
          <w:color w:val="1E2227"/>
          <w:sz w:val="21"/>
        </w:rPr>
        <w:t>Consumption-Based Add-Ons use credits whether initiated through the user interface, API or automation.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/>
          <w:color w:val="0B2545"/>
          <w:sz w:val="21"/>
        </w:rPr>
        <w:t xml:space="preserve">API access and API usage are separate: </w:t>
      </w:r>
      <w:r>
        <w:rPr>
          <w:rFonts w:ascii="Calibri" w:hAnsi="Calibri"/>
          <w:color w:val="1E2227"/>
          <w:sz w:val="21"/>
        </w:rPr>
        <w:t>API access unlocks the integration channel; it does not include free usage. Applicable chargeable events consume credits.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/>
          <w:color w:val="0B2545"/>
          <w:sz w:val="21"/>
        </w:rPr>
        <w:t xml:space="preserve">Automation is chargeable: </w:t>
      </w:r>
      <w:r>
        <w:rPr>
          <w:rFonts w:ascii="Calibri" w:hAnsi="Calibri"/>
          <w:color w:val="1E2227"/>
          <w:sz w:val="21"/>
        </w:rPr>
        <w:t>An automated execution maps to a chargeable event by definition.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/>
          <w:color w:val="0B2545"/>
          <w:sz w:val="21"/>
        </w:rPr>
        <w:t xml:space="preserve">Verification controls apply: </w:t>
      </w:r>
      <w:r>
        <w:rPr>
          <w:rFonts w:ascii="Calibri" w:hAnsi="Calibri"/>
          <w:color w:val="1E2227"/>
          <w:sz w:val="21"/>
        </w:rPr>
        <w:t>Retry and attempt controls apply to verification services.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4. Commercial guardrails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450"/>
        <w:gridCol w:w="3860"/>
      </w:tblGrid>
      <w:tr>
        <w:tc>
          <w:tcPr>
            <w:tcW w:type="dxa" w:w="20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Guardrail</w:t>
            </w:r>
          </w:p>
        </w:tc>
        <w:tc>
          <w:tcPr>
            <w:tcW w:type="dxa" w:w="34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What it controls</w:t>
            </w:r>
          </w:p>
        </w:tc>
        <w:tc>
          <w:tcPr>
            <w:tcW w:type="dxa" w:w="38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Commercial implication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Regulatory / Regional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Legal, compliance and geographic availability.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National ID and Qualified services are region-locked; availability must be confirmed.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Requires Approval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Pricing or risk gates.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The Add-On cannot be finalized until the required approval is obtained.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Bundlable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Whether the Add-On can be sold independently or only with an eligible plan.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Bundles package existing Add-Ons; they do not create new entitlements.</w:t>
            </w:r>
          </w:p>
        </w:tc>
      </w:tr>
      <w:tr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Credit-Only</w:t>
            </w:r>
          </w:p>
        </w:tc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Prepaid or wallet-based consumption.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Calibri" w:hAnsi="Calibri"/>
                <w:color w:val="1E2227"/>
                <w:sz w:val="18"/>
              </w:rPr>
              <w:t>The relevant consumption must be funded through credits.</w:t>
            </w:r>
          </w:p>
        </w:tc>
      </w:tr>
    </w:tbl>
    <w:p>
      <w:pPr>
        <w:keepNext w:val="0"/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Assurance boundary:  </w:t>
            </w:r>
            <w:r>
              <w:rPr>
                <w:rFonts w:ascii="Calibri" w:hAnsi="Calibri"/>
                <w:color w:val="1E2227"/>
                <w:sz w:val="21"/>
              </w:rPr>
              <w:t>An Add-On may change a capability or assurance level, but it does not redefine the legal meaning of the underlying transaction or service.</w:t>
            </w:r>
          </w:p>
        </w:tc>
      </w:tr>
    </w:tbl>
    <w:p>
      <w:pPr>
        <w:keepNext w:val="0"/>
        <w:spacing w:before="0" w:after="40" w:line="240" w:lineRule="auto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5. Inputs needed for DTC’s tailored quotation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i w:val="0"/>
          <w:color w:val="1E2227"/>
          <w:sz w:val="22"/>
        </w:rPr>
        <w:t>The following inputs allow Circularo to select the correct Add-On types, scopes and charging structures without creating overlapping or ambiguous entitlements: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/>
          <w:color w:val="0B2545"/>
          <w:sz w:val="21"/>
        </w:rPr>
        <w:t xml:space="preserve">Capabilities required: </w:t>
      </w:r>
      <w:r>
        <w:rPr>
          <w:rFonts w:ascii="Calibri" w:hAnsi="Calibri"/>
          <w:color w:val="1E2227"/>
          <w:sz w:val="21"/>
        </w:rPr>
        <w:t>Features, trust services, identity or verification services, API enablement, automation and professional services.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/>
          <w:color w:val="0B2545"/>
          <w:sz w:val="21"/>
        </w:rPr>
        <w:t xml:space="preserve">Usage profile: </w:t>
      </w:r>
      <w:r>
        <w:rPr>
          <w:rFonts w:ascii="Calibri" w:hAnsi="Calibri"/>
          <w:color w:val="1E2227"/>
          <w:sz w:val="21"/>
        </w:rPr>
        <w:t>Expected chargeable events, annual and peak volumes, execution channel and retry/attempt patterns.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/>
          <w:color w:val="0B2545"/>
          <w:sz w:val="21"/>
        </w:rPr>
        <w:t xml:space="preserve">User and organizational scope: </w:t>
      </w:r>
      <w:r>
        <w:rPr>
          <w:rFonts w:ascii="Calibri" w:hAnsi="Calibri"/>
          <w:color w:val="1E2227"/>
          <w:sz w:val="21"/>
        </w:rPr>
        <w:t>Number of covered users and the organizational entities to which each capability should apply.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/>
          <w:color w:val="0B2545"/>
          <w:sz w:val="21"/>
        </w:rPr>
        <w:t xml:space="preserve">Deployment and geography: </w:t>
      </w:r>
      <w:r>
        <w:rPr>
          <w:rFonts w:ascii="Calibri" w:hAnsi="Calibri"/>
          <w:color w:val="1E2227"/>
          <w:sz w:val="21"/>
        </w:rPr>
        <w:t>Cloud, on-premises or sovereign requirements and the countries or regions in scope.</w:t>
      </w:r>
    </w:p>
    <w:p>
      <w:pPr>
        <w:keepNext w:val="0"/>
        <w:spacing w:before="0" w:after="100" w:line="264" w:lineRule="auto"/>
      </w:pPr>
      <w:r>
        <w:rPr>
          <w:rFonts w:ascii="Calibri" w:hAnsi="Calibri"/>
          <w:b/>
          <w:color w:val="0B2545"/>
          <w:sz w:val="21"/>
        </w:rPr>
        <w:t xml:space="preserve">Commercial packaging: </w:t>
      </w:r>
      <w:r>
        <w:rPr>
          <w:rFonts w:ascii="Calibri" w:hAnsi="Calibri"/>
          <w:color w:val="1E2227"/>
          <w:sz w:val="21"/>
        </w:rPr>
        <w:t>Eligible plan, standalone or bundled treatment, activation work and any approval dependencies.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 xml:space="preserve">Quotation boundary:  </w:t>
            </w:r>
            <w:r>
              <w:rPr>
                <w:rFonts w:ascii="Calibri" w:hAnsi="Calibri"/>
                <w:color w:val="1E2227"/>
                <w:sz w:val="21"/>
              </w:rPr>
              <w:t>Prices, credit values, commitments, bundles and service fees are not set here. They will be confirmed after DTC’s requirements are validated in a tailored commercial proposal.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Calibri" w:hAnsi="Calibri"/>
        <w:color w:val="59636E"/>
        <w:sz w:val="16"/>
      </w:rPr>
      <w:t>High-level commercial model — subject to solution scoping and quotation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Calibri" w:hAnsi="Calibri"/>
        <w:b/>
        <w:color w:val="59636E"/>
        <w:sz w:val="17"/>
      </w:rPr>
      <w:t>CIRCULARO  |  DTC ADD-ON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Circularo Add-On Commercial Model Overview — DTC</dc:title>
  <dc:subject>High-level Add-On commercial model</dc:subject>
  <dc:creator>Circularo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