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40" w:lineRule="auto"/>
      </w:pPr>
      <w:r>
        <w:rPr>
          <w:rFonts w:ascii="Calibri" w:hAnsi="Calibri"/>
          <w:b/>
          <w:color w:val="2E74B5"/>
          <w:sz w:val="20"/>
        </w:rPr>
        <w:t>CIRCULARO</w:t>
      </w:r>
    </w:p>
    <w:p>
      <w:pPr>
        <w:keepNext w:val="0"/>
        <w:spacing w:before="0" w:after="80" w:line="240" w:lineRule="auto"/>
      </w:pPr>
      <w:r>
        <w:rPr>
          <w:rFonts w:ascii="Calibri" w:hAnsi="Calibri"/>
          <w:b/>
          <w:color w:val="0B2545"/>
          <w:sz w:val="46"/>
        </w:rPr>
        <w:t>Licensing &amp; Commercial Model Overview</w:t>
      </w:r>
    </w:p>
    <w:p>
      <w:pPr>
        <w:keepNext w:val="0"/>
        <w:spacing w:before="0" w:after="280" w:line="240" w:lineRule="auto"/>
      </w:pPr>
      <w:r>
        <w:rPr>
          <w:rFonts w:ascii="Calibri" w:hAnsi="Calibri"/>
          <w:color w:val="59636E"/>
          <w:sz w:val="26"/>
        </w:rPr>
        <w:t>Prepared for DTC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1E2227"/>
                <w:sz w:val="19"/>
              </w:rPr>
              <w:t>A concise explanation of Circularo’s approved licensing and deployment model.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1E2227"/>
                <w:sz w:val="19"/>
              </w:rPr>
              <w:t>Discussion overview only — not a commercial quotation or contract.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Core principle:  </w:t>
            </w:r>
            <w:r>
              <w:rPr>
                <w:rFonts w:ascii="Calibri" w:hAnsi="Calibri"/>
                <w:color w:val="1E2227"/>
                <w:sz w:val="21"/>
              </w:rPr>
              <w:t>Circularo combines user-based licensing for human-centric signing with consumption-based licensing for API, automation, integration, bulk-processing and advanced trust-service use cases. This allows DTC to match commercial structure to the way each service is used.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Licensing model at a glance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Category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Approved model position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DTC scoping point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Regular Users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Licensed users for human-centric use, with the relevant annual transaction allowance.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number of users, role mix and expected human-led signing activity.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Lite Users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 lower-cost option for users with restricted access/capability.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required permissions and whether any users need Regular-user capability.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Admin Users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Administrator is a role assigned to a licensed user; it is not a separate licence type.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the number of named administrators and their underlying user type.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External Signatories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External recipients/signatories are free and unlimited.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recipient populations only where it helps forecast workflow scale.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Enterprise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Circularo-managed SaaS/cloud deployment.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cloud requirements, data/security requirements and implementation scope.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Ultimate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Self-hosted/on-premises deployment.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hosting architecture, operational ownership and environment requirements.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API, automation and transaction consumption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1E2227"/>
          <w:sz w:val="22"/>
        </w:rPr>
        <w:t>The commercial model treats API, automation, integrations, bulk processing and advanced trust services separately from ordinary user-led signing, according to their consumption characteristics. This distinction is important for transparent planning: DTC should not assume that a user-based entitlement automatically covers automated or high-volume service patterns.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/>
          <w:color w:val="1E2227"/>
          <w:sz w:val="22"/>
        </w:rPr>
        <w:t>The approved model does not provide this overview with a DTC-specific API unit definition, tier, allowance or price. Those items must be determined in a tailored quotation after DTC confirms its expected use.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API calls and transactions: </w:t>
      </w:r>
      <w:r>
        <w:rPr>
          <w:rFonts w:ascii="Calibri" w:hAnsi="Calibri"/>
          <w:color w:val="1E2227"/>
          <w:sz w:val="21"/>
        </w:rPr>
        <w:t>Expected workflows, frequency, document volumes and peak patterns.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Automation and integrations: </w:t>
      </w:r>
      <w:r>
        <w:rPr>
          <w:rFonts w:ascii="Calibri" w:hAnsi="Calibri"/>
          <w:color w:val="1E2227"/>
          <w:sz w:val="21"/>
        </w:rPr>
        <w:t>Systems involved, triggering logic, batch sizes and throughput requirements.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Bulk processing and trust services: </w:t>
      </w:r>
      <w:r>
        <w:rPr>
          <w:rFonts w:ascii="Calibri" w:hAnsi="Calibri"/>
          <w:color w:val="1E2227"/>
          <w:sz w:val="21"/>
        </w:rPr>
        <w:t>Whether these are required, the intended scale and any service-specific requirements.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Scalability approach:  </w:t>
            </w:r>
            <w:r>
              <w:rPr>
                <w:rFonts w:ascii="Calibri" w:hAnsi="Calibri"/>
                <w:color w:val="1E2227"/>
                <w:sz w:val="21"/>
              </w:rPr>
              <w:t>User-led signing can be structured around predictable annual licensing. Capacity for automated, API-driven and high-volume services should be defined separately and transparently, using DTC’s verified usage inputs.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QuickSign and bulk-signing considerations</w:t>
      </w:r>
    </w:p>
    <w:p>
      <w:pPr>
        <w:keepNext w:val="0"/>
        <w:spacing w:before="0" w:after="120" w:line="264" w:lineRule="auto"/>
      </w:pPr>
      <w:r>
        <w:rPr>
          <w:rFonts w:ascii="Calibri" w:hAnsi="Calibri"/>
          <w:i w:val="0"/>
          <w:color w:val="1E2227"/>
          <w:sz w:val="22"/>
        </w:rPr>
        <w:t>QuickSign may be relevant to executive users and high-volume approvers, but it should be assessed against the actual approval journey and volume profile. Bulk-signing functionality is not simply an extension of an “unlimited human transactions” entitlement; its licensing and service implications require separate scoping.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Category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Approved model position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DTC scoping point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Executive approvers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Potentially suitable where a fast, focused approval experience matches the executive workflow.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decision rights, signing frequency, device/security expectations and delegation controls.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High-volume approvers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Potentially suitable only after bulk patterns and throughput are assessed.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documents per approver, peak periods, batch characteristics and audit/trust requirements.</w:t>
            </w:r>
          </w:p>
        </w:tc>
      </w:tr>
      <w:tr>
        <w:tc>
          <w:tcPr>
            <w:tcW w:type="dxa" w:w="24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Commercial treatment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No DTC-specific QuickSign or bulk-signing commercial term is stated here.</w:t>
            </w:r>
          </w:p>
        </w:tc>
        <w:tc>
          <w:tcPr>
            <w:tcW w:type="dxa" w:w="3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Confirm use case first; reflect any separate consumption/service requirements in the tailored quote.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What DTC should provide for a tailored proposal</w:t>
      </w:r>
    </w:p>
    <w:p>
      <w:pPr>
        <w:keepNext w:val="0"/>
        <w:spacing w:before="0" w:after="80" w:line="264" w:lineRule="auto"/>
      </w:pPr>
      <w:r>
        <w:rPr>
          <w:rFonts w:ascii="Calibri" w:hAnsi="Calibri"/>
          <w:i w:val="0"/>
          <w:color w:val="1E2227"/>
          <w:sz w:val="22"/>
        </w:rPr>
        <w:t>To complete a transparent commercial proposal, Circularo will need the consolidated requirement set requested in DTC’s note. The following inputs are particularly material: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User categories and numbers: </w:t>
      </w:r>
      <w:r>
        <w:rPr>
          <w:rFonts w:ascii="Calibri" w:hAnsi="Calibri"/>
          <w:color w:val="1E2227"/>
          <w:sz w:val="21"/>
        </w:rPr>
        <w:t>Regular, Lite/restricted and administrator roles.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Annual signing volumes: </w:t>
      </w:r>
      <w:r>
        <w:rPr>
          <w:rFonts w:ascii="Calibri" w:hAnsi="Calibri"/>
          <w:color w:val="1E2227"/>
          <w:sz w:val="21"/>
        </w:rPr>
        <w:t>Current and projected volumes, including internal and external participation.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API, integration, automation, QuickSign and bulk signing: </w:t>
      </w:r>
      <w:r>
        <w:rPr>
          <w:rFonts w:ascii="Calibri" w:hAnsi="Calibri"/>
          <w:color w:val="1E2227"/>
          <w:sz w:val="21"/>
        </w:rPr>
        <w:t>Use cases, including expected peaks.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Trust services and deployment: </w:t>
      </w:r>
      <w:r>
        <w:rPr>
          <w:rFonts w:ascii="Calibri" w:hAnsi="Calibri"/>
          <w:color w:val="1E2227"/>
          <w:sz w:val="21"/>
        </w:rPr>
        <w:t>Required advanced trust services, security/data requirements and preferred deployment model (Enterprise/cloud or Ultimate/on-premises).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b/>
          <w:color w:val="0B2545"/>
          <w:sz w:val="21"/>
        </w:rPr>
        <w:t xml:space="preserve">Growth assumptions: </w:t>
      </w:r>
      <w:r>
        <w:rPr>
          <w:rFonts w:ascii="Calibri" w:hAnsi="Calibri"/>
          <w:color w:val="1E2227"/>
          <w:sz w:val="21"/>
        </w:rPr>
        <w:t>Any desired long-term capacity or budget predictability objectives.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Quotation boundary:  </w:t>
            </w:r>
            <w:r>
              <w:rPr>
                <w:rFonts w:ascii="Calibri" w:hAnsi="Calibri"/>
                <w:color w:val="1E2227"/>
                <w:sz w:val="21"/>
              </w:rPr>
              <w:t>Pricing, precise consumption calculations and tiers, implementation scope, and any DTC-specific enterprise or Ultimate commercial terms require the above inputs and will be presented in a tailored quotation. This overview intentionally does not invent those terms.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Recommended direction:  </w:t>
            </w:r>
            <w:r>
              <w:rPr>
                <w:rFonts w:ascii="Calibri" w:hAnsi="Calibri"/>
                <w:color w:val="1E2227"/>
                <w:sz w:val="21"/>
              </w:rPr>
              <w:t>Use annual user-based licensing for ordinary human-led signing, with separately defined capacity for API-driven, automated and high-volume services. This supports predictable growth without re-evaluating consumption for normal signing activity.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9636E"/>
        <w:sz w:val="16"/>
      </w:rPr>
      <w:t>Commercial model summary — subject to DTC scoping and quotation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59636E"/>
        <w:sz w:val="17"/>
      </w:rPr>
      <w:t>CIRCULARO  |  DTC COMMERCIAL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Circularo Licensing &amp; Commercial Model Overview — DTC</dc:title>
  <dc:subject>Licensing and commercial-model overview</dc:subject>
  <dc:creator>Circularo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