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Circularo Strategic Shareholder Opportunity</w:t>
      </w:r>
    </w:p>
    <w:p>
      <w:pPr>
        <w:spacing w:after="140"/>
      </w:pPr>
      <w:r>
        <w:rPr>
          <w:sz w:val="18"/>
        </w:rPr>
        <w:t>Prepared for Joshua Jahani by Josef Neumann</w:t>
        <w:br/>
        <w:t>Confidential discussion draft | 6 October 2026</w:t>
      </w:r>
    </w:p>
    <w:p>
      <w:pPr>
        <w:pStyle w:val="Heading2"/>
      </w:pPr>
      <w:r>
        <w:t>How Circularo has evolved</w:t>
      </w:r>
    </w:p>
    <w:p>
      <w:r>
        <w:t>Since our earlier conversations, Circularo's scope has expanded from digital signatures and document workflows toward a broader Digital Trust and Trust Orchestration platform, including government shared-service deployments.</w:t>
      </w:r>
    </w:p>
    <w:p>
      <w:r>
        <w:rPr>
          <w:b/>
        </w:rPr>
        <w:t>Digital Signatures → Digital Trust → Trusted Execution → Agentic Trusted Execution</w:t>
      </w:r>
    </w:p>
    <w:p>
      <w:r>
        <w:t>This describes expanding strategic scope, not four completed product generations. eSignature gave us an entry point into identity, approvals, organizational authority, trust services, evidence and records. We are building on that foundation toward richer trusted records and governed execution, with agentic capabilities remaining a longer-term direction.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419"/>
        <w:gridCol w:w="7416"/>
      </w:tblGrid>
      <w:tr>
        <w:trPr>
          <w:tblHeader/>
          <w:cantSplit/>
        </w:trPr>
        <w:tc>
          <w:tcPr>
            <w:tcW w:type="dxa" w:w="2419"/>
            <w:vAlign w:val="center"/>
            <w:shd w:fill="E8EDF2"/>
          </w:tcPr>
          <w:p>
            <w:pPr>
              <w:spacing w:line="247" w:lineRule="auto" w:before="0" w:after="0"/>
            </w:pPr>
            <w:r>
              <w:rPr>
                <w:b/>
                <w:sz w:val="18"/>
              </w:rPr>
              <w:t>Area</w:t>
            </w:r>
          </w:p>
        </w:tc>
        <w:tc>
          <w:tcPr>
            <w:tcW w:type="dxa" w:w="7416"/>
            <w:vAlign w:val="center"/>
            <w:shd w:fill="E8EDF2"/>
          </w:tcPr>
          <w:p>
            <w:pPr>
              <w:spacing w:line="247" w:lineRule="auto" w:before="0" w:after="0"/>
            </w:pPr>
            <w:r>
              <w:rPr>
                <w:b/>
                <w:sz w:val="18"/>
              </w:rPr>
              <w:t>Strategic role</w:t>
            </w:r>
          </w:p>
        </w:tc>
      </w:tr>
      <w:tr>
        <w:trPr>
          <w:cantSplit/>
        </w:trPr>
        <w:tc>
          <w:tcPr>
            <w:tcW w:type="dxa" w:w="2419"/>
            <w:vAlign w:val="center"/>
            <w:shd w:fill="FFFFFF"/>
          </w:tcPr>
          <w:p>
            <w:pPr>
              <w:spacing w:line="247" w:lineRule="auto" w:before="0" w:after="0"/>
            </w:pPr>
            <w:r>
              <w:rPr>
                <w:b/>
                <w:sz w:val="18"/>
              </w:rPr>
              <w:t>Content &amp; Collaboration</w:t>
            </w:r>
          </w:p>
        </w:tc>
        <w:tc>
          <w:tcPr>
            <w:tcW w:type="dxa" w:w="7416"/>
            <w:vAlign w:val="center"/>
            <w:shd w:fill="FFFFFF"/>
          </w:tcPr>
          <w:p>
            <w:pPr>
              <w:spacing w:line="247" w:lineRule="auto" w:before="0" w:after="0"/>
            </w:pPr>
            <w:r>
              <w:rPr>
                <w:sz w:val="18"/>
              </w:rPr>
              <w:t>Connect preparation, versions and review to the subsequent decision.</w:t>
            </w:r>
          </w:p>
        </w:tc>
      </w:tr>
      <w:tr>
        <w:trPr>
          <w:cantSplit/>
        </w:trPr>
        <w:tc>
          <w:tcPr>
            <w:tcW w:type="dxa" w:w="2419"/>
            <w:vAlign w:val="center"/>
            <w:shd w:fill="F6F7F8"/>
          </w:tcPr>
          <w:p>
            <w:pPr>
              <w:spacing w:line="247" w:lineRule="auto" w:before="0" w:after="0"/>
            </w:pPr>
            <w:r>
              <w:rPr>
                <w:b/>
                <w:sz w:val="18"/>
              </w:rPr>
              <w:t>Identity &amp; Authority</w:t>
            </w:r>
          </w:p>
        </w:tc>
        <w:tc>
          <w:tcPr>
            <w:tcW w:type="dxa" w:w="7416"/>
            <w:vAlign w:val="center"/>
            <w:shd w:fill="F6F7F8"/>
          </w:tcPr>
          <w:p>
            <w:pPr>
              <w:spacing w:line="247" w:lineRule="auto" w:before="0" w:after="0"/>
            </w:pPr>
            <w:r>
              <w:rPr>
                <w:sz w:val="18"/>
              </w:rPr>
              <w:t>Establish who is acting, whom they represent and what they may do; deeper authority models are in development.</w:t>
            </w:r>
          </w:p>
        </w:tc>
      </w:tr>
      <w:tr>
        <w:trPr>
          <w:cantSplit/>
        </w:trPr>
        <w:tc>
          <w:tcPr>
            <w:tcW w:type="dxa" w:w="2419"/>
            <w:vAlign w:val="center"/>
            <w:shd w:fill="FFFFFF"/>
          </w:tcPr>
          <w:p>
            <w:pPr>
              <w:spacing w:line="247" w:lineRule="auto" w:before="0" w:after="0"/>
            </w:pPr>
            <w:r>
              <w:rPr>
                <w:b/>
                <w:sz w:val="18"/>
              </w:rPr>
              <w:t>Workflow &amp; Approval</w:t>
            </w:r>
          </w:p>
        </w:tc>
        <w:tc>
          <w:tcPr>
            <w:tcW w:type="dxa" w:w="7416"/>
            <w:vAlign w:val="center"/>
            <w:shd w:fill="FFFFFF"/>
          </w:tcPr>
          <w:p>
            <w:pPr>
              <w:spacing w:line="247" w:lineRule="auto" w:before="0" w:after="0"/>
            </w:pPr>
            <w:r>
              <w:rPr>
                <w:sz w:val="18"/>
              </w:rPr>
              <w:t>Coordinate participation, decisions and required approvals.</w:t>
            </w:r>
          </w:p>
        </w:tc>
      </w:tr>
      <w:tr>
        <w:trPr>
          <w:cantSplit/>
        </w:trPr>
        <w:tc>
          <w:tcPr>
            <w:tcW w:type="dxa" w:w="2419"/>
            <w:vAlign w:val="center"/>
            <w:shd w:fill="F6F7F8"/>
          </w:tcPr>
          <w:p>
            <w:pPr>
              <w:spacing w:line="247" w:lineRule="auto" w:before="0" w:after="0"/>
            </w:pPr>
            <w:r>
              <w:rPr>
                <w:b/>
                <w:sz w:val="18"/>
              </w:rPr>
              <w:t>Trust Services</w:t>
            </w:r>
          </w:p>
        </w:tc>
        <w:tc>
          <w:tcPr>
            <w:tcW w:type="dxa" w:w="7416"/>
            <w:vAlign w:val="center"/>
            <w:shd w:fill="F6F7F8"/>
          </w:tcPr>
          <w:p>
            <w:pPr>
              <w:spacing w:line="247" w:lineRule="auto" w:before="0" w:after="0"/>
            </w:pPr>
            <w:r>
              <w:rPr>
                <w:sz w:val="18"/>
              </w:rPr>
              <w:t>Apply supported verification, signatures, seals, timestamps and related trust services.</w:t>
            </w:r>
          </w:p>
        </w:tc>
      </w:tr>
      <w:tr>
        <w:trPr>
          <w:cantSplit/>
        </w:trPr>
        <w:tc>
          <w:tcPr>
            <w:tcW w:type="dxa" w:w="2419"/>
            <w:vAlign w:val="center"/>
            <w:shd w:fill="FFFFFF"/>
          </w:tcPr>
          <w:p>
            <w:pPr>
              <w:spacing w:line="247" w:lineRule="auto" w:before="0" w:after="0"/>
            </w:pPr>
            <w:r>
              <w:rPr>
                <w:b/>
                <w:sz w:val="18"/>
              </w:rPr>
              <w:t>Evidence &amp; Trusted Records</w:t>
            </w:r>
          </w:p>
        </w:tc>
        <w:tc>
          <w:tcPr>
            <w:tcW w:type="dxa" w:w="7416"/>
            <w:vAlign w:val="center"/>
            <w:shd w:fill="FFFFFF"/>
          </w:tcPr>
          <w:p>
            <w:pPr>
              <w:spacing w:line="247" w:lineRule="auto" w:before="0" w:after="0"/>
            </w:pPr>
            <w:r>
              <w:rPr>
                <w:sz w:val="18"/>
              </w:rPr>
              <w:t>Preserve process evidence and context; richer native Trusted Records are in development.</w:t>
            </w:r>
          </w:p>
        </w:tc>
      </w:tr>
      <w:tr>
        <w:trPr>
          <w:cantSplit/>
        </w:trPr>
        <w:tc>
          <w:tcPr>
            <w:tcW w:type="dxa" w:w="2419"/>
            <w:vAlign w:val="center"/>
            <w:shd w:fill="F6F7F8"/>
          </w:tcPr>
          <w:p>
            <w:pPr>
              <w:spacing w:line="247" w:lineRule="auto" w:before="0" w:after="0"/>
            </w:pPr>
            <w:r>
              <w:rPr>
                <w:b/>
                <w:sz w:val="18"/>
              </w:rPr>
              <w:t>Programmable Trust</w:t>
            </w:r>
          </w:p>
        </w:tc>
        <w:tc>
          <w:tcPr>
            <w:tcW w:type="dxa" w:w="7416"/>
            <w:vAlign w:val="center"/>
            <w:shd w:fill="F6F7F8"/>
          </w:tcPr>
          <w:p>
            <w:pPr>
              <w:spacing w:line="247" w:lineRule="auto" w:before="0" w:after="0"/>
            </w:pPr>
            <w:r>
              <w:rPr>
                <w:sz w:val="18"/>
              </w:rPr>
              <w:t>Connect trust capabilities to enterprise applications and integrations through APIs, providing a foundation for future governed agentic operations.</w:t>
            </w:r>
          </w:p>
        </w:tc>
      </w:tr>
    </w:tbl>
    <w:p>
      <w:pPr>
        <w:keepNext/>
        <w:spacing w:after="0" w:line="140" w:lineRule="exact"/>
      </w:pPr>
      <w:r>
        <w:rPr>
          <w:sz w:val="4"/>
        </w:rPr>
      </w:r>
    </w:p>
    <w:p>
      <w:r>
        <w:t>We are exploring Circularo's first external shareholder transaction to accelerate GCC and international expansion while providing meaningful liquidity to the founders. We would value your perspective on the investor universe, transaction structure and evidence needed to support a market-tested valuation.</w:t>
      </w:r>
    </w:p>
    <w:p>
      <w:pPr>
        <w:pStyle w:val="Heading2"/>
      </w:pPr>
      <w:r>
        <w:t>The business today</w:t>
      </w:r>
    </w:p>
    <w:p>
      <w:r>
        <w:t xml:space="preserve">Circularo is a </w:t>
      </w:r>
      <w:r>
        <w:rPr>
          <w:b/>
        </w:rPr>
        <w:t>Digital Trust technology company headquartered in Dubai, UAE</w:t>
      </w:r>
      <w:r>
        <w:t>, developing infrastructure that enables governments and enterprises to execute trusted digital processes with verifiable identity, authority, control and evidence.</w:t>
      </w:r>
    </w:p>
    <w:p>
      <w:r>
        <w:t xml:space="preserve">Circularo’s strategic proposition is </w:t>
      </w:r>
      <w:r>
        <w:rPr>
          <w:b/>
        </w:rPr>
        <w:t>Trust Orchestration</w:t>
      </w:r>
      <w:r>
        <w:t xml:space="preserve"> — connecting identity, organizational authority, workflows, approvals, trust services, execution and trusted records within a unified platform.</w:t>
      </w:r>
    </w:p>
    <w:p>
      <w:r>
        <w:t>The same technology operates as managed SaaS, in customer-controlled infrastructure and as shared services supporting multiple organizations.</w:t>
      </w:r>
    </w:p>
    <w:p>
      <w:r>
        <w:t>Our revenue model is subscription-based, complemented by consumption-based add-ons, advanced trust services and support services. We have built the business without external institutional equity funding. We are profitable and debt free.</w:t>
      </w:r>
    </w:p>
    <w:p>
      <w:pPr>
        <w:pStyle w:val="Heading2"/>
      </w:pPr>
      <w:r>
        <w:t>Reported financial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4651"/>
        <w:gridCol w:w="2592"/>
        <w:gridCol w:w="2592"/>
      </w:tblGrid>
      <w:tr>
        <w:trPr>
          <w:tblHeader/>
          <w:cantSplit/>
        </w:trPr>
        <w:tc>
          <w:tcPr>
            <w:tcW w:type="dxa" w:w="4651"/>
            <w:vAlign w:val="center"/>
            <w:shd w:fill="E8EDF2"/>
          </w:tcPr>
          <w:p>
            <w:pPr>
              <w:spacing w:line="247" w:lineRule="auto" w:before="0" w:after="0"/>
            </w:pPr>
            <w:r>
              <w:rPr>
                <w:b/>
                <w:sz w:val="18"/>
              </w:rPr>
              <w:t>Metric</w:t>
            </w:r>
          </w:p>
        </w:tc>
        <w:tc>
          <w:tcPr>
            <w:tcW w:type="dxa" w:w="2592"/>
            <w:vAlign w:val="center"/>
            <w:shd w:fill="E8EDF2"/>
          </w:tcPr>
          <w:p>
            <w:pPr>
              <w:spacing w:line="247" w:lineRule="auto" w:before="0" w:after="0"/>
              <w:jc w:val="right"/>
            </w:pPr>
            <w:r>
              <w:rPr>
                <w:b/>
                <w:sz w:val="18"/>
              </w:rPr>
              <w:t>2024</w:t>
            </w:r>
          </w:p>
        </w:tc>
        <w:tc>
          <w:tcPr>
            <w:tcW w:type="dxa" w:w="2592"/>
            <w:vAlign w:val="center"/>
            <w:shd w:fill="E8EDF2"/>
          </w:tcPr>
          <w:p>
            <w:pPr>
              <w:spacing w:line="247" w:lineRule="auto" w:before="0" w:after="0"/>
              <w:jc w:val="right"/>
            </w:pPr>
            <w:r>
              <w:rPr>
                <w:b/>
                <w:sz w:val="18"/>
              </w:rPr>
              <w:t>2025</w:t>
            </w:r>
          </w:p>
        </w:tc>
      </w:tr>
      <w:tr>
        <w:trPr>
          <w:cantSplit/>
        </w:trPr>
        <w:tc>
          <w:tcPr>
            <w:tcW w:type="dxa" w:w="4651"/>
            <w:vAlign w:val="center"/>
            <w:shd w:fill="FFFFFF"/>
          </w:tcPr>
          <w:p>
            <w:pPr>
              <w:spacing w:line="247" w:lineRule="auto" w:before="0" w:after="0"/>
            </w:pPr>
            <w:r>
              <w:rPr>
                <w:sz w:val="18"/>
              </w:rPr>
              <w:t>Net revenue</w:t>
            </w:r>
          </w:p>
        </w:tc>
        <w:tc>
          <w:tcPr>
            <w:tcW w:type="dxa" w:w="2592"/>
            <w:vAlign w:val="center"/>
            <w:shd w:fill="FFFFFF"/>
          </w:tcPr>
          <w:p>
            <w:pPr>
              <w:spacing w:line="247" w:lineRule="auto" w:before="0" w:after="0"/>
              <w:jc w:val="right"/>
            </w:pPr>
            <w:r>
              <w:rPr>
                <w:sz w:val="18"/>
              </w:rPr>
              <w:t>USD 2.41M</w:t>
            </w:r>
          </w:p>
        </w:tc>
        <w:tc>
          <w:tcPr>
            <w:tcW w:type="dxa" w:w="2592"/>
            <w:vAlign w:val="center"/>
            <w:shd w:fill="FFFFFF"/>
          </w:tcPr>
          <w:p>
            <w:pPr>
              <w:spacing w:line="247" w:lineRule="auto" w:before="0" w:after="0"/>
              <w:jc w:val="right"/>
            </w:pPr>
            <w:r>
              <w:rPr>
                <w:sz w:val="18"/>
              </w:rPr>
              <w:t>USD 2.79M</w:t>
            </w:r>
          </w:p>
        </w:tc>
      </w:tr>
      <w:tr>
        <w:trPr>
          <w:cantSplit/>
        </w:trPr>
        <w:tc>
          <w:tcPr>
            <w:tcW w:type="dxa" w:w="4651"/>
            <w:vAlign w:val="center"/>
            <w:shd w:fill="F6F7F8"/>
          </w:tcPr>
          <w:p>
            <w:pPr>
              <w:spacing w:line="247" w:lineRule="auto" w:before="0" w:after="0"/>
            </w:pPr>
            <w:r>
              <w:rPr>
                <w:sz w:val="18"/>
              </w:rPr>
              <w:t>Adjusted EBITDA</w:t>
            </w:r>
          </w:p>
        </w:tc>
        <w:tc>
          <w:tcPr>
            <w:tcW w:type="dxa" w:w="2592"/>
            <w:vAlign w:val="center"/>
            <w:shd w:fill="F6F7F8"/>
          </w:tcPr>
          <w:p>
            <w:pPr>
              <w:spacing w:line="247" w:lineRule="auto" w:before="0" w:after="0"/>
              <w:jc w:val="right"/>
            </w:pPr>
            <w:r>
              <w:rPr>
                <w:sz w:val="18"/>
              </w:rPr>
              <w:t>USD 535K</w:t>
            </w:r>
          </w:p>
        </w:tc>
        <w:tc>
          <w:tcPr>
            <w:tcW w:type="dxa" w:w="2592"/>
            <w:vAlign w:val="center"/>
            <w:shd w:fill="F6F7F8"/>
          </w:tcPr>
          <w:p>
            <w:pPr>
              <w:spacing w:line="247" w:lineRule="auto" w:before="0" w:after="0"/>
              <w:jc w:val="right"/>
            </w:pPr>
            <w:r>
              <w:rPr>
                <w:sz w:val="18"/>
              </w:rPr>
              <w:t>USD 859K</w:t>
            </w:r>
          </w:p>
        </w:tc>
      </w:tr>
      <w:tr>
        <w:trPr>
          <w:cantSplit/>
        </w:trPr>
        <w:tc>
          <w:tcPr>
            <w:tcW w:type="dxa" w:w="4651"/>
            <w:vAlign w:val="center"/>
            <w:shd w:fill="FFFFFF"/>
          </w:tcPr>
          <w:p>
            <w:pPr>
              <w:spacing w:line="247" w:lineRule="auto" w:before="0" w:after="0"/>
            </w:pPr>
            <w:r>
              <w:rPr>
                <w:sz w:val="18"/>
              </w:rPr>
              <w:t>Adjusted EBITDA margin</w:t>
            </w:r>
          </w:p>
        </w:tc>
        <w:tc>
          <w:tcPr>
            <w:tcW w:type="dxa" w:w="2592"/>
            <w:vAlign w:val="center"/>
            <w:shd w:fill="FFFFFF"/>
          </w:tcPr>
          <w:p>
            <w:pPr>
              <w:spacing w:line="247" w:lineRule="auto" w:before="0" w:after="0"/>
              <w:jc w:val="right"/>
            </w:pPr>
            <w:r>
              <w:rPr>
                <w:sz w:val="18"/>
              </w:rPr>
              <w:t>22.2%</w:t>
            </w:r>
          </w:p>
        </w:tc>
        <w:tc>
          <w:tcPr>
            <w:tcW w:type="dxa" w:w="2592"/>
            <w:vAlign w:val="center"/>
            <w:shd w:fill="FFFFFF"/>
          </w:tcPr>
          <w:p>
            <w:pPr>
              <w:spacing w:line="247" w:lineRule="auto" w:before="0" w:after="0"/>
              <w:jc w:val="right"/>
            </w:pPr>
            <w:r>
              <w:rPr>
                <w:sz w:val="18"/>
              </w:rPr>
              <w:t>30.7%</w:t>
            </w:r>
          </w:p>
        </w:tc>
      </w:tr>
      <w:tr>
        <w:trPr>
          <w:cantSplit/>
        </w:trPr>
        <w:tc>
          <w:tcPr>
            <w:tcW w:type="dxa" w:w="4651"/>
            <w:vAlign w:val="center"/>
            <w:shd w:fill="F6F7F8"/>
          </w:tcPr>
          <w:p>
            <w:pPr>
              <w:spacing w:line="247" w:lineRule="auto" w:before="0" w:after="0"/>
            </w:pPr>
            <w:r>
              <w:rPr>
                <w:sz w:val="18"/>
              </w:rPr>
              <w:t>Gross margin</w:t>
            </w:r>
          </w:p>
        </w:tc>
        <w:tc>
          <w:tcPr>
            <w:tcW w:type="dxa" w:w="2592"/>
            <w:vAlign w:val="center"/>
            <w:shd w:fill="F6F7F8"/>
          </w:tcPr>
          <w:p>
            <w:pPr>
              <w:spacing w:line="247" w:lineRule="auto" w:before="0" w:after="0"/>
              <w:jc w:val="right"/>
            </w:pPr>
            <w:r>
              <w:rPr>
                <w:sz w:val="18"/>
              </w:rPr>
              <w:t>66.6%</w:t>
            </w:r>
          </w:p>
        </w:tc>
        <w:tc>
          <w:tcPr>
            <w:tcW w:type="dxa" w:w="2592"/>
            <w:vAlign w:val="center"/>
            <w:shd w:fill="F6F7F8"/>
          </w:tcPr>
          <w:p>
            <w:pPr>
              <w:spacing w:line="247" w:lineRule="auto" w:before="0" w:after="0"/>
              <w:jc w:val="right"/>
            </w:pPr>
            <w:r>
              <w:rPr>
                <w:sz w:val="18"/>
              </w:rPr>
              <w:t>69.2%</w:t>
            </w:r>
          </w:p>
        </w:tc>
      </w:tr>
    </w:tbl>
    <w:p>
      <w:pPr>
        <w:keepNext/>
        <w:spacing w:after="0" w:line="140" w:lineRule="exact"/>
      </w:pPr>
      <w:r>
        <w:rPr>
          <w:sz w:val="4"/>
        </w:rPr>
      </w:r>
    </w:p>
    <w:p>
      <w:pPr>
        <w:spacing w:after="140"/>
      </w:pPr>
      <w:r>
        <w:rPr>
          <w:sz w:val="18"/>
        </w:rPr>
        <w:t>Figures are management-reported historical results. The adjustment basis and supporting financial statements will be provided for review.</w:t>
      </w:r>
    </w:p>
    <w:p>
      <w:r>
        <w:t>Our September 2026 subscription snapshot reports 143 active paid commercial accounts across 15 countries. These commercial accounts are distinct from the underlying organizations reached through government platforms and enterprise groups. Revenue remains predominantly GCC-based.</w:t>
      </w:r>
    </w:p>
    <w:p>
      <w:pPr>
        <w:pStyle w:val="Heading1"/>
        <w:pageBreakBefore/>
      </w:pPr>
      <w:r>
        <w:t>Growth Through Platforms and Distribution</w:t>
      </w:r>
    </w:p>
    <w:p>
      <w:r>
        <w:t>Our growth strategy builds on the operating business and platform positions already established. The next phase is to multiply adoption within those environments and replicate the model through new platforms and partners.</w:t>
      </w:r>
    </w:p>
    <w:p>
      <w:pPr>
        <w:pStyle w:val="Heading2"/>
      </w:pPr>
      <w:r>
        <w:t>Three engines for scale</w:t>
      </w:r>
    </w:p>
    <w:p>
      <w:r>
        <w:t xml:space="preserve">1. </w:t>
      </w:r>
      <w:r>
        <w:rPr>
          <w:b/>
        </w:rPr>
        <w:t>Direct Enterprise Adoption</w:t>
      </w:r>
      <w:r>
        <w:t xml:space="preserve"> expands through new customers and additional users, departments and use cases within existing accounts.</w:t>
      </w:r>
    </w:p>
    <w:p>
      <w:r>
        <w:t xml:space="preserve">2. </w:t>
      </w:r>
      <w:r>
        <w:rPr>
          <w:b/>
        </w:rPr>
        <w:t>Sovereign &amp; Shared-Service Platforms</w:t>
      </w:r>
      <w:r>
        <w:t xml:space="preserve"> expand through broader paid adoption across underlying entities, additional processes and replication in other jurisdictions.</w:t>
      </w:r>
    </w:p>
    <w:p>
      <w:r>
        <w:t xml:space="preserve">3. </w:t>
      </w:r>
      <w:r>
        <w:rPr>
          <w:b/>
        </w:rPr>
        <w:t>Strategic Distribution Partners</w:t>
      </w:r>
      <w:r>
        <w:t xml:space="preserve"> commercialize Circularo through their own brands, services and customer ecosystems.</w:t>
      </w:r>
    </w:p>
    <w:p>
      <w:pPr>
        <w:pStyle w:val="Heading2"/>
      </w:pPr>
      <w:r>
        <w:t>Platform Multiplication as the key growth mechanism</w:t>
      </w:r>
    </w:p>
    <w:p>
      <w:r>
        <w:rPr>
          <w:b/>
        </w:rPr>
        <w:t>Direct Enterprise:</w:t>
      </w:r>
      <w:r>
        <w:t xml:space="preserve"> Circularo → Enterprise Customer</w:t>
      </w:r>
    </w:p>
    <w:p>
      <w:r>
        <w:rPr>
          <w:b/>
        </w:rPr>
        <w:t>Government Shared Services:</w:t>
      </w:r>
      <w:r>
        <w:t xml:space="preserve"> Circularo → Government Shared-Service Platform → Multiple Government Entities</w:t>
      </w:r>
    </w:p>
    <w:p>
      <w:r>
        <w:rPr>
          <w:b/>
        </w:rPr>
        <w:t>Strategic Distribution:</w:t>
      </w:r>
      <w:r>
        <w:t xml:space="preserve"> Circularo → Strategic Partner / Service Provider → Multiple Downstream Customers</w:t>
      </w:r>
    </w:p>
    <w:p>
      <w:r>
        <w:rPr>
          <w:b/>
        </w:rPr>
        <w:t>One Circularo platform deployment or strategic relationship can potentially create access to many underlying organizations, departments or downstream customers.</w:t>
      </w:r>
      <w:r>
        <w:t xml:space="preserve"> Together, these engines create the </w:t>
      </w:r>
      <w:r>
        <w:rPr>
          <w:b/>
        </w:rPr>
        <w:t>Platform Multiplication effect</w:t>
      </w:r>
      <w:r>
        <w:t>: growth through direct adoption, expansion within shared platforms and distribution across partner ecosystems.</w:t>
      </w:r>
    </w:p>
    <w:p>
      <w:r>
        <w:t>The next phase focuses on multiplying a proven operating base. The investment case depends on converting ecosystem access into paying adoption and recurring revenue; replication in new markets still requires commercial validation and execution.</w:t>
      </w:r>
    </w:p>
    <w:p>
      <w:r>
        <w:t>This is why the choice of shareholder matters. A strategic shareholder with relevant government, enterprise or portfolio-company access can accelerate the same mechanism through specific deployments, distribution initiatives and expansion opportunities.</w:t>
      </w:r>
    </w:p>
    <w:p>
      <w:pPr>
        <w:pStyle w:val="Heading2"/>
      </w:pPr>
      <w:r>
        <w:t>Existing platforms and expansion opportunities</w:t>
      </w:r>
    </w:p>
    <w:p>
      <w:r>
        <w:t>The following positions are described in management's current briefing. Expansion remains dependent on adoption, procurement and commercial terms; it is not contracted revenue.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160"/>
        <w:gridCol w:w="3816"/>
        <w:gridCol w:w="3859"/>
      </w:tblGrid>
      <w:tr>
        <w:trPr>
          <w:tblHeader/>
          <w:cantSplit/>
        </w:trPr>
        <w:tc>
          <w:tcPr>
            <w:tcW w:type="dxa" w:w="2160"/>
            <w:vAlign w:val="center"/>
            <w:shd w:fill="E8EDF2"/>
          </w:tcPr>
          <w:p>
            <w:pPr>
              <w:spacing w:line="247" w:lineRule="auto" w:before="0" w:after="0"/>
            </w:pPr>
            <w:r>
              <w:rPr>
                <w:b/>
                <w:sz w:val="18"/>
              </w:rPr>
              <w:t>Platform</w:t>
            </w:r>
          </w:p>
        </w:tc>
        <w:tc>
          <w:tcPr>
            <w:tcW w:type="dxa" w:w="3816"/>
            <w:vAlign w:val="center"/>
            <w:shd w:fill="E8EDF2"/>
          </w:tcPr>
          <w:p>
            <w:pPr>
              <w:spacing w:line="247" w:lineRule="auto" w:before="0" w:after="0"/>
            </w:pPr>
            <w:r>
              <w:rPr>
                <w:b/>
                <w:sz w:val="18"/>
              </w:rPr>
              <w:t>Present position</w:t>
            </w:r>
          </w:p>
        </w:tc>
        <w:tc>
          <w:tcPr>
            <w:tcW w:type="dxa" w:w="3859"/>
            <w:vAlign w:val="center"/>
            <w:shd w:fill="E8EDF2"/>
          </w:tcPr>
          <w:p>
            <w:pPr>
              <w:spacing w:line="247" w:lineRule="auto" w:before="0" w:after="0"/>
            </w:pPr>
            <w:r>
              <w:rPr>
                <w:b/>
                <w:sz w:val="18"/>
              </w:rPr>
              <w:t>Next growth opportunity</w:t>
            </w:r>
          </w:p>
        </w:tc>
      </w:tr>
      <w:tr>
        <w:trPr>
          <w:cantSplit/>
        </w:trPr>
        <w:tc>
          <w:tcPr>
            <w:tcW w:type="dxa" w:w="2160"/>
            <w:vAlign w:val="center"/>
            <w:shd w:fill="FFFFFF"/>
          </w:tcPr>
          <w:p>
            <w:pPr>
              <w:spacing w:line="247" w:lineRule="auto" w:before="0" w:after="0"/>
            </w:pPr>
            <w:r>
              <w:rPr>
                <w:sz w:val="18"/>
              </w:rPr>
              <w:t>Digital Dubai</w:t>
              <w:br/>
              <w:t>DigitalSign</w:t>
            </w:r>
          </w:p>
        </w:tc>
        <w:tc>
          <w:tcPr>
            <w:tcW w:type="dxa" w:w="3816"/>
            <w:vAlign w:val="center"/>
            <w:shd w:fill="FFFFFF"/>
          </w:tcPr>
          <w:p>
            <w:pPr>
              <w:spacing w:line="247" w:lineRule="auto" w:before="0" w:after="0"/>
            </w:pPr>
            <w:r>
              <w:rPr>
                <w:sz w:val="18"/>
              </w:rPr>
              <w:t>Shared-service deployment with adoption across multiple government entities.</w:t>
            </w:r>
          </w:p>
        </w:tc>
        <w:tc>
          <w:tcPr>
            <w:tcW w:type="dxa" w:w="3859"/>
            <w:vAlign w:val="center"/>
            <w:shd w:fill="FFFFFF"/>
          </w:tcPr>
          <w:p>
            <w:pPr>
              <w:spacing w:line="247" w:lineRule="auto" w:before="0" w:after="0"/>
            </w:pPr>
            <w:r>
              <w:rPr>
                <w:sz w:val="18"/>
              </w:rPr>
              <w:t>Broader entity adoption, workflows and potential central procurement.</w:t>
            </w:r>
          </w:p>
        </w:tc>
      </w:tr>
      <w:tr>
        <w:trPr>
          <w:cantSplit/>
        </w:trPr>
        <w:tc>
          <w:tcPr>
            <w:tcW w:type="dxa" w:w="2160"/>
            <w:vAlign w:val="center"/>
            <w:shd w:fill="F6F7F8"/>
          </w:tcPr>
          <w:p>
            <w:pPr>
              <w:spacing w:line="247" w:lineRule="auto" w:before="0" w:after="0"/>
            </w:pPr>
            <w:r>
              <w:rPr>
                <w:sz w:val="18"/>
              </w:rPr>
              <w:t>TDRA</w:t>
              <w:br/>
              <w:t>GovSign</w:t>
            </w:r>
          </w:p>
        </w:tc>
        <w:tc>
          <w:tcPr>
            <w:tcW w:type="dxa" w:w="3816"/>
            <w:vAlign w:val="center"/>
            <w:shd w:fill="F6F7F8"/>
          </w:tcPr>
          <w:p>
            <w:pPr>
              <w:spacing w:line="247" w:lineRule="auto" w:before="0" w:after="0"/>
            </w:pPr>
            <w:r>
              <w:rPr>
                <w:sz w:val="18"/>
              </w:rPr>
              <w:t>Federal shared-service deployment; GovSign 2.0 launched in October 2025.</w:t>
            </w:r>
          </w:p>
        </w:tc>
        <w:tc>
          <w:tcPr>
            <w:tcW w:type="dxa" w:w="3859"/>
            <w:vAlign w:val="center"/>
            <w:shd w:fill="F6F7F8"/>
          </w:tcPr>
          <w:p>
            <w:pPr>
              <w:spacing w:line="247" w:lineRule="auto" w:before="0" w:after="0"/>
            </w:pPr>
            <w:r>
              <w:rPr>
                <w:sz w:val="18"/>
              </w:rPr>
              <w:t>Further federal-entity adoption and expanded document processes.</w:t>
            </w:r>
          </w:p>
        </w:tc>
      </w:tr>
      <w:tr>
        <w:trPr>
          <w:cantSplit/>
        </w:trPr>
        <w:tc>
          <w:tcPr>
            <w:tcW w:type="dxa" w:w="2160"/>
            <w:vAlign w:val="center"/>
            <w:shd w:fill="FFFFFF"/>
          </w:tcPr>
          <w:p>
            <w:pPr>
              <w:spacing w:line="247" w:lineRule="auto" w:before="0" w:after="0"/>
            </w:pPr>
            <w:r>
              <w:rPr>
                <w:sz w:val="18"/>
              </w:rPr>
              <w:t>Sharjah Government</w:t>
              <w:br/>
              <w:t>Sharjah Sign</w:t>
            </w:r>
          </w:p>
        </w:tc>
        <w:tc>
          <w:tcPr>
            <w:tcW w:type="dxa" w:w="3816"/>
            <w:vAlign w:val="center"/>
            <w:shd w:fill="FFFFFF"/>
          </w:tcPr>
          <w:p>
            <w:pPr>
              <w:spacing w:line="247" w:lineRule="auto" w:before="0" w:after="0"/>
            </w:pPr>
            <w:r>
              <w:rPr>
                <w:sz w:val="18"/>
              </w:rPr>
              <w:t>Shared-service deployment across the Sharjah government ecosystem.</w:t>
            </w:r>
          </w:p>
        </w:tc>
        <w:tc>
          <w:tcPr>
            <w:tcW w:type="dxa" w:w="3859"/>
            <w:vAlign w:val="center"/>
            <w:shd w:fill="FFFFFF"/>
          </w:tcPr>
          <w:p>
            <w:pPr>
              <w:spacing w:line="247" w:lineRule="auto" w:before="0" w:after="0"/>
            </w:pPr>
            <w:r>
              <w:rPr>
                <w:sz w:val="18"/>
              </w:rPr>
              <w:t>Additional departments, users and transaction volumes.</w:t>
            </w:r>
          </w:p>
        </w:tc>
      </w:tr>
    </w:tbl>
    <w:p>
      <w:pPr>
        <w:keepNext/>
        <w:spacing w:after="0" w:line="140" w:lineRule="exact"/>
      </w:pPr>
      <w:r>
        <w:rPr>
          <w:sz w:val="4"/>
        </w:rPr>
      </w:r>
    </w:p>
    <w:p>
      <w:pPr>
        <w:pStyle w:val="Heading2"/>
      </w:pPr>
      <w:r>
        <w:t>Strategic distribution in practice</w:t>
      </w:r>
    </w:p>
    <w:p>
      <w:r>
        <w:t>e&amp; DigiSign and TCC/Mokham in Saudi Arabia are  examples of the partner co-branded model. The economics depend on each agreement: downstream service revenue must be distinguished from the revenue Circularo receives.</w:t>
      </w:r>
    </w:p>
    <w:p>
      <w:pPr>
        <w:pStyle w:val="Heading2"/>
      </w:pPr>
      <w:r>
        <w:t>Strategic value and execution risks</w:t>
      </w:r>
    </w:p>
    <w:p>
      <w:r>
        <w:t>The combination of deployment flexibility, regional identity integrations, enterprise workflows and operating experience in government environments can make Circularo relevant to a buyer seeking GCC market access or complementary trust technology. The strategic value should be tested through specific commercial opportunities the buyer can unlock.</w:t>
      </w:r>
    </w:p>
    <w:p>
      <w:r>
        <w:t>The main risks are GCC and customer concentration, long procurement cycles, and the pace at which platform access converts to paid adoption. International replication and partner distribution also require execution resources. We would welcome a candid assessment of these constraints.</w:t>
      </w:r>
    </w:p>
    <w:p>
      <w:pPr>
        <w:pStyle w:val="Heading1"/>
        <w:pageBreakBefore/>
      </w:pPr>
      <w:r>
        <w:t>Shareholder Objectives and Transaction Discussion</w:t>
      </w:r>
    </w:p>
    <w:p>
      <w:r>
        <w:t>We want a shareholder who can help turn Circularo's existing technology and customer positions into a materially larger business. Relevant contributions include enterprise distribution, new shared-service platforms, geographic expansion and integration into a broader technology offering.</w:t>
      </w:r>
    </w:p>
    <w:p>
      <w:pPr>
        <w:pStyle w:val="Heading2"/>
      </w:pPr>
      <w:r>
        <w:t>The transaction we want to explore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419"/>
        <w:gridCol w:w="7416"/>
      </w:tblGrid>
      <w:tr>
        <w:trPr>
          <w:tblHeader/>
          <w:cantSplit/>
        </w:trPr>
        <w:tc>
          <w:tcPr>
            <w:tcW w:type="dxa" w:w="2419"/>
            <w:vAlign w:val="center"/>
            <w:shd w:fill="E8EDF2"/>
          </w:tcPr>
          <w:p>
            <w:pPr>
              <w:spacing w:line="247" w:lineRule="auto" w:before="0" w:after="0"/>
            </w:pPr>
            <w:r>
              <w:rPr>
                <w:b/>
                <w:sz w:val="18"/>
              </w:rPr>
              <w:t>Objective</w:t>
            </w:r>
          </w:p>
        </w:tc>
        <w:tc>
          <w:tcPr>
            <w:tcW w:type="dxa" w:w="7416"/>
            <w:vAlign w:val="center"/>
            <w:shd w:fill="E8EDF2"/>
          </w:tcPr>
          <w:p>
            <w:pPr>
              <w:spacing w:line="247" w:lineRule="auto" w:before="0" w:after="0"/>
            </w:pPr>
            <w:r>
              <w:rPr>
                <w:b/>
                <w:sz w:val="18"/>
              </w:rPr>
              <w:t>Starting position for discussion</w:t>
            </w:r>
          </w:p>
        </w:tc>
      </w:tr>
      <w:tr>
        <w:trPr>
          <w:cantSplit/>
        </w:trPr>
        <w:tc>
          <w:tcPr>
            <w:tcW w:type="dxa" w:w="2419"/>
            <w:vAlign w:val="center"/>
            <w:shd w:fill="FFFFFF"/>
          </w:tcPr>
          <w:p>
            <w:pPr>
              <w:spacing w:line="247" w:lineRule="auto" w:before="0" w:after="0"/>
            </w:pPr>
            <w:r>
              <w:rPr>
                <w:sz w:val="18"/>
              </w:rPr>
              <w:t>Founder liquidity</w:t>
            </w:r>
          </w:p>
        </w:tc>
        <w:tc>
          <w:tcPr>
            <w:tcW w:type="dxa" w:w="7416"/>
            <w:vAlign w:val="center"/>
            <w:shd w:fill="FFFFFF"/>
          </w:tcPr>
          <w:p>
            <w:pPr>
              <w:spacing w:line="247" w:lineRule="auto" w:before="0" w:after="0"/>
            </w:pPr>
            <w:r>
              <w:rPr>
                <w:sz w:val="18"/>
              </w:rPr>
              <w:t>Meaningful secondary proceeds are required.</w:t>
            </w:r>
          </w:p>
        </w:tc>
      </w:tr>
      <w:tr>
        <w:trPr>
          <w:cantSplit/>
        </w:trPr>
        <w:tc>
          <w:tcPr>
            <w:tcW w:type="dxa" w:w="2419"/>
            <w:vAlign w:val="center"/>
            <w:shd w:fill="F6F7F8"/>
          </w:tcPr>
          <w:p>
            <w:pPr>
              <w:spacing w:line="247" w:lineRule="auto" w:before="0" w:after="0"/>
            </w:pPr>
            <w:r>
              <w:rPr>
                <w:sz w:val="18"/>
              </w:rPr>
              <w:t>Ownership</w:t>
            </w:r>
          </w:p>
        </w:tc>
        <w:tc>
          <w:tcPr>
            <w:tcW w:type="dxa" w:w="7416"/>
            <w:vAlign w:val="center"/>
            <w:shd w:fill="F6F7F8"/>
          </w:tcPr>
          <w:p>
            <w:pPr>
              <w:spacing w:line="247" w:lineRule="auto" w:before="0" w:after="0"/>
            </w:pPr>
            <w:r>
              <w:rPr>
                <w:sz w:val="18"/>
              </w:rPr>
              <w:t>A minority interest of up to approximately 25% is preferred.</w:t>
            </w:r>
          </w:p>
        </w:tc>
      </w:tr>
      <w:tr>
        <w:trPr>
          <w:cantSplit/>
        </w:trPr>
        <w:tc>
          <w:tcPr>
            <w:tcW w:type="dxa" w:w="2419"/>
            <w:vAlign w:val="center"/>
            <w:shd w:fill="FFFFFF"/>
          </w:tcPr>
          <w:p>
            <w:pPr>
              <w:spacing w:line="247" w:lineRule="auto" w:before="0" w:after="0"/>
            </w:pPr>
            <w:r>
              <w:rPr>
                <w:sz w:val="18"/>
              </w:rPr>
              <w:t>Indicative size</w:t>
            </w:r>
          </w:p>
        </w:tc>
        <w:tc>
          <w:tcPr>
            <w:tcW w:type="dxa" w:w="7416"/>
            <w:vAlign w:val="center"/>
            <w:shd w:fill="FFFFFF"/>
          </w:tcPr>
          <w:p>
            <w:pPr>
              <w:spacing w:line="247" w:lineRule="auto" w:before="0" w:after="0"/>
            </w:pPr>
            <w:r>
              <w:rPr>
                <w:sz w:val="18"/>
              </w:rPr>
              <w:t>USD 10-15M is a working scenario to test, not a fixed offer.</w:t>
            </w:r>
          </w:p>
        </w:tc>
      </w:tr>
      <w:tr>
        <w:trPr>
          <w:cantSplit/>
        </w:trPr>
        <w:tc>
          <w:tcPr>
            <w:tcW w:type="dxa" w:w="2419"/>
            <w:vAlign w:val="center"/>
            <w:shd w:fill="F6F7F8"/>
          </w:tcPr>
          <w:p>
            <w:pPr>
              <w:spacing w:line="247" w:lineRule="auto" w:before="0" w:after="0"/>
            </w:pPr>
            <w:r>
              <w:rPr>
                <w:sz w:val="18"/>
              </w:rPr>
              <w:t>Primary capital</w:t>
            </w:r>
          </w:p>
        </w:tc>
        <w:tc>
          <w:tcPr>
            <w:tcW w:type="dxa" w:w="7416"/>
            <w:vAlign w:val="center"/>
            <w:shd w:fill="F6F7F8"/>
          </w:tcPr>
          <w:p>
            <w:pPr>
              <w:spacing w:line="247" w:lineRule="auto" w:before="0" w:after="0"/>
            </w:pPr>
            <w:r>
              <w:rPr>
                <w:sz w:val="18"/>
              </w:rPr>
              <w:t>Optional where a defined growth plan justifies it.</w:t>
            </w:r>
          </w:p>
        </w:tc>
      </w:tr>
      <w:tr>
        <w:trPr>
          <w:cantSplit/>
        </w:trPr>
        <w:tc>
          <w:tcPr>
            <w:tcW w:type="dxa" w:w="2419"/>
            <w:vAlign w:val="center"/>
            <w:shd w:fill="FFFFFF"/>
          </w:tcPr>
          <w:p>
            <w:pPr>
              <w:spacing w:line="247" w:lineRule="auto" w:before="0" w:after="0"/>
            </w:pPr>
            <w:r>
              <w:rPr>
                <w:sz w:val="18"/>
              </w:rPr>
              <w:t>Valuation and structure</w:t>
            </w:r>
          </w:p>
        </w:tc>
        <w:tc>
          <w:tcPr>
            <w:tcW w:type="dxa" w:w="7416"/>
            <w:vAlign w:val="center"/>
            <w:shd w:fill="FFFFFF"/>
          </w:tcPr>
          <w:p>
            <w:pPr>
              <w:spacing w:line="247" w:lineRule="auto" w:before="0" w:after="0"/>
            </w:pPr>
            <w:r>
              <w:rPr>
                <w:sz w:val="18"/>
              </w:rPr>
              <w:t>To be tested against buyer appetite, evidence and strategic contribution.</w:t>
            </w:r>
          </w:p>
        </w:tc>
      </w:tr>
    </w:tbl>
    <w:p>
      <w:pPr>
        <w:keepNext/>
        <w:spacing w:after="0" w:line="140" w:lineRule="exact"/>
      </w:pPr>
      <w:r>
        <w:rPr>
          <w:sz w:val="4"/>
        </w:rPr>
      </w:r>
    </w:p>
    <w:p>
      <w:r>
        <w:t>A wholly secondary purchase of 25% for USD 10-15M would imply USD 40-60M equity value. We would value your assessment of whether the business and buyer-specific opportunities support that expectation, and which alternative structures merit consideration.</w:t>
      </w:r>
    </w:p>
    <w:p>
      <w:pPr>
        <w:pStyle w:val="Heading2"/>
      </w:pPr>
      <w:r>
        <w:t>The shareholder we are looking for</w:t>
      </w:r>
    </w:p>
    <w:p>
      <w:r>
        <w:t>Our preferred routes include a strategic technology company, a sovereign or institutional investor, or a group with relevant GCC and international reach. We are open to considering financial investors with demonstrable commercial capabilities. We would like to understand which candidates can provide founder liquidity and make a measurable contribution to growth.</w:t>
      </w:r>
    </w:p>
    <w:p>
      <w:r>
        <w:t>Any strategic rationale should translate into concrete initiatives, such as distribution resources, portfolio deployments, integrations or named market-entry programmes. We also want to understand the governance and alignment required to make those initiatives work.</w:t>
      </w:r>
    </w:p>
    <w:p>
      <w:pPr>
        <w:pStyle w:val="Heading2"/>
      </w:pPr>
      <w:r>
        <w:t>The AI opportunity and longer term product direction</w:t>
      </w:r>
    </w:p>
    <w:p>
      <w:r>
        <w:t>For Circularo, the larger AI opportunity lies in the institutional trust problem created when AI systems move from advising people to acting on behalf of organizations.</w:t>
      </w:r>
    </w:p>
    <w:p>
      <w:r>
        <w:rPr>
          <w:b/>
        </w:rPr>
        <w:t>Intelligence alone does not establish authority.</w:t>
      </w:r>
      <w:r>
        <w:t xml:space="preserve"> Governments and enterprises need infrastructure that determines who or what may act, under whose authority, through which controls, and what verifiable evidence remains afterwards.</w:t>
      </w:r>
    </w:p>
    <w:p>
      <w:r>
        <w:t>Circularo's existing architecture, sovereign deployments, workflow and approval capabilities, APIs and transaction evidence provide a relevant foundation for addressing that problem. Our developing Trusted Records and deeper authority models extend that foundation.</w:t>
      </w:r>
    </w:p>
    <w:p>
      <w:r>
        <w:t xml:space="preserve">This creates a potential role for Circularo as the </w:t>
      </w:r>
      <w:r>
        <w:rPr>
          <w:b/>
        </w:rPr>
        <w:t>trust, authority, execution and evidence layer for consequential digital actions performed by humans, enterprise systems and increasingly AI agents</w:t>
      </w:r>
      <w:r>
        <w:t>.</w:t>
      </w:r>
    </w:p>
    <w:p>
      <w:r>
        <w:t>Agentic Trusted Execution remains a longer-term strategic direction. It should be understood as an opportunity to expand Circularo's role and product category, separate from current revenue and released capabilities.</w:t>
      </w:r>
    </w:p>
    <w:sectPr w:rsidR="00FC693F" w:rsidRPr="0006063C" w:rsidSect="00034616">
      <w:footerReference w:type="default" r:id="rId9"/>
      <w:pgSz w:w="11909" w:h="16834"/>
      <w:pgMar w:top="792" w:right="1037" w:bottom="792"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35" w:val="right"/>
      </w:tabs>
      <w:spacing w:after="0"/>
    </w:pPr>
    <w:r>
      <w:rPr>
        <w:rFonts w:ascii="Arial" w:hAnsi="Arial"/>
        <w:color w:val="555555"/>
        <w:sz w:val="16"/>
      </w:rPr>
      <w:t>CONFIDENTIAL | Discussion draft | 6 October 2026</w:t>
      <w:tab/>
    </w:r>
    <w:fldSimple w:instr="PAGE"/>
    <w:r>
      <w:rPr>
        <w:sz w:val="16"/>
      </w:rPr>
      <w:t xml:space="preserve"> / </w:t>
    </w:r>
    <w:fldSimple w:instr="NUMPAGES"/>
    <w:r>
      <w:rPr>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8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Circularo Strategic Shareholder Opportunity</dc:title>
  <dc:subject>Confidential briefing for Joshua Jahani</dc:subject>
  <dc:creator>Josef Neumann</dc:creator>
  <cp:keywords>Circularo, strategic shareholder, confidential, draft</cp:keywords>
  <dc:description>Exported from Markdown revision 3.</dc:description>
  <cp:lastModifiedBy/>
  <cp:revision>1</cp:revision>
  <dcterms:created xsi:type="dcterms:W3CDTF">2013-12-23T23:15:00Z</dcterms:created>
  <dcterms:modified xsi:type="dcterms:W3CDTF">2013-12-23T23:15:00Z</dcterms:modified>
  <cp:category/>
</cp:coreProperties>
</file>