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urbano-profesional, cercana pero con autoridad —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un acento violeta `#5E17EB` sutil en el vestuario/iluminación (no en el fondo completo) — igual que se le pide al creador humano en el otro brief.</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long dark brown wavy hair worn down with natural loose texture. She has realistic skin texture with visible pores, subtle natural imperfections. She is speaking directly to the camera, headphones resting around her neck,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leather jacket over a fitted white top, dark jeans, small gold hoop earrings, and a thin bracelet with a subtle deep violet stone accent visible at the wrist.</w:t>
        <w:br/>
        <w:br/>
        <w:t>Standing against a dark matte wall with a single soft violet-toned LED light strip glowing along one edge of the frame, minimal urban background,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hairstyle, outfit, framing, expression, background, and overall composition. Preserve realistic proportions, accurate hands and facial features,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same eye shape and spacing, same nose, same lips, same jawline, same hairstyle and hairline, same skin tone, same proportions, same age, same ethnicity, same facial asymmetries and unique identifying features.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Hair,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