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26"/>
          <w:szCs w:val="26"/>
        </w:rPr>
        <w:t xml:space="preserve">VETORA</w:t>
      </w:r>
    </w:p>
    <w:p>
      <w:pPr>
        <w:spacing w:after="120"/>
      </w:pPr>
      <w:r>
        <w:rPr>
          <w:b/>
          <w:bCs/>
          <w:color w:val="0F172A"/>
          <w:sz w:val="40"/>
          <w:szCs w:val="40"/>
        </w:rPr>
        <w:t xml:space="preserve">Informe técnico para la asesoría jurídica</w:t>
      </w:r>
    </w:p>
    <w:p>
      <w:pPr>
        <w:pBdr>
          <w:bottom w:val="single" w:color="CBD5E1" w:sz="6" w:space="8"/>
        </w:pBdr>
        <w:spacing w:after="200"/>
      </w:pPr>
      <w:r>
        <w:rPr>
          <w:color w:val="475569"/>
          <w:sz w:val="22"/>
          <w:szCs w:val="22"/>
        </w:rPr>
        <w:t xml:space="preserve">Tratamiento de datos personales — inventario factual y preguntas abiertas</w:t>
      </w:r>
    </w:p>
    <w:p>
      <w:pPr>
        <w:spacing w:after="40" w:line="276"/>
      </w:pPr>
      <w:r>
        <w:rPr>
          <w:b/>
          <w:bCs/>
        </w:rPr>
        <w:t xml:space="preserve">Fecha: </w:t>
      </w:r>
      <w:r>
        <w:t xml:space="preserve">8 de septiembre de 2026</w:t>
      </w:r>
    </w:p>
    <w:p>
      <w:pPr>
        <w:spacing w:after="40" w:line="276"/>
      </w:pPr>
      <w:r>
        <w:rPr>
          <w:b/>
          <w:bCs/>
        </w:rPr>
        <w:t xml:space="preserve">Preparado por: </w:t>
      </w:r>
      <w:r>
        <w:t xml:space="preserve">revisión técnica del código fuente y de la base de datos de producción</w:t>
      </w:r>
    </w:p>
    <w:p>
      <w:pPr>
        <w:spacing w:after="320" w:line="276"/>
      </w:pPr>
      <w:r>
        <w:rPr>
          <w:b/>
          <w:bCs/>
        </w:rPr>
        <w:t xml:space="preserve">Producto: </w:t>
      </w:r>
      <w:r>
        <w:t xml:space="preserve">Vetora — sistema de gestión para clínicas veterinarias (Bolivia)</w:t>
      </w:r>
    </w:p>
    <w:p>
      <w:pPr>
        <w:pStyle w:val="Heading1"/>
        <w:spacing w:after="180" w:before="360"/>
      </w:pPr>
      <w:r>
        <w:t xml:space="preserve">Qué es este documento, y qué no</w:t>
      </w:r>
    </w:p>
    <w:p>
      <w:pPr>
        <w:spacing w:after="140" w:line="276"/>
      </w:pPr>
      <w:r>
        <w:rPr>
          <w:b/>
          <w:bCs/>
        </w:rPr>
        <w:t xml:space="preserve">No es un dictamen legal ni pretende serlo.</w:t>
      </w:r>
      <w:r>
        <w:t xml:space="preserve"> Es el inventario factual de qué datos personales trata Vetora, dónde están alojados, quién puede verlos y qué medidas técnicas los protegen. Todo lo que se afirma aquí está verificado contra el código fuente y contra la base de datos real; nada se ha dado por supuesto.</w:t>
      </w:r>
    </w:p>
    <w:p>
      <w:pPr>
        <w:spacing w:after="140" w:line="276"/>
      </w:pPr>
      <w:r>
        <w:t xml:space="preserve">Su propósito es que el tiempo de la asesoría se dedique a emitir criterio jurídico y no a averiguar cómo funciona el sistema. La última sección recoge nueve preguntas concretas que solo un abogado puede responder.</w:t>
      </w:r>
    </w:p>
    <w:p>
      <w:pPr>
        <w:shd w:fill="FEF2F2" w:color="auto" w:val="clear"/>
        <w:spacing w:after="80" w:line="276"/>
      </w:pPr>
      <w:r>
        <w:rPr>
          <w:b/>
          <w:bCs/>
          <w:color w:val="B91C1C"/>
          <w:sz w:val="22"/>
          <w:szCs w:val="22"/>
        </w:rPr>
        <w:t xml:space="preserve">Advertencia sobre la normativa aplicable</w:t>
      </w:r>
    </w:p>
    <w:p>
      <w:pPr>
        <w:shd w:fill="FEF2F2" w:color="auto" w:val="clear"/>
        <w:spacing w:after="200" w:line="276"/>
      </w:pPr>
      <w:r>
        <w:t xml:space="preserve">Toda afirmación sobre la normativa boliviana queda </w:t>
      </w:r>
      <w:r>
        <w:rPr>
          <w:b/>
          <w:bCs/>
        </w:rPr>
        <w:t xml:space="preserve">fuera del alcance</w:t>
      </w:r>
      <w:r>
        <w:t xml:space="preserve"> de este informe. Hasta donde alcanza esta revisión, Bolivia no cuenta con una ley integral de protección de datos personales equivalente al RGPD europeo, y la protección se articula por vía constitucional y normas sectoriales. </w:t>
      </w:r>
      <w:r>
        <w:rPr>
          <w:b/>
          <w:bCs/>
        </w:rPr>
        <w:t xml:space="preserve">Este punto debe verificarse y actualizarse por la asesoría</w:t>
      </w:r>
      <w:r>
        <w:t xml:space="preserve">: es exactamente el tipo de afirmación que no debe darse por buena sin comprobación.</w:t>
      </w:r>
    </w:p>
    <w:p>
      <w:pPr>
        <w:pStyle w:val="Heading1"/>
        <w:spacing w:after="180" w:before="360"/>
      </w:pPr>
      <w:r>
        <w:t xml:space="preserve">1. Resumen ejecutivo</w:t>
      </w:r>
    </w:p>
    <w:p>
      <w:pPr>
        <w:spacing w:after="140" w:line="276"/>
      </w:pPr>
      <w:r>
        <w:t xml:space="preserve">Siete asuntos requieren atención. Los puntos 2 y 3 fueron hallazgos nuevos de esta revisión y se corrigieron el mismo día; se conservan en el informe con su historial completo porque forman parte del registro de cómo se trató el hallazgo.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rPr>
          <w:tblHeader/>
        </w:trPr>
        <w:tc>
          <w:tcPr>
            <w:tcW w:type="dxa" w:w="5800"/>
            <w:shd w:fill="0F766E" w:color="auto" w:val="clear"/>
            <w:tcMar>
              <w:top w:type="dxa" w:w="90"/>
              <w:left w:type="dxa" w:w="130"/>
              <w:bottom w:type="dxa" w:w="90"/>
              <w:right w:type="dxa" w:w="130"/>
            </w:tcMar>
          </w:tcPr>
          <w:p>
            <w:pPr>
              <w:spacing w:after="0" w:line="250"/>
            </w:pPr>
            <w:r>
              <w:rPr>
                <w:b/>
                <w:bCs/>
                <w:color w:val="FFFFFF"/>
                <w:sz w:val="19"/>
                <w:szCs w:val="19"/>
              </w:rPr>
              <w:t xml:space="preserve">Asunto</w:t>
            </w:r>
          </w:p>
        </w:tc>
        <w:tc>
          <w:tcPr>
            <w:tcW w:type="dxa" w:w="3226"/>
            <w:shd w:fill="0F766E" w:color="auto" w:val="clear"/>
            <w:tcMar>
              <w:top w:type="dxa" w:w="90"/>
              <w:left w:type="dxa" w:w="130"/>
              <w:bottom w:type="dxa" w:w="90"/>
              <w:right w:type="dxa" w:w="130"/>
            </w:tcMar>
          </w:tcPr>
          <w:p>
            <w:pPr>
              <w:spacing w:after="0" w:line="250"/>
            </w:pPr>
            <w:r>
              <w:rPr>
                <w:b/>
                <w:bCs/>
                <w:color w:val="FFFFFF"/>
                <w:sz w:val="19"/>
                <w:szCs w:val="19"/>
              </w:rPr>
              <w:t xml:space="preserve">Estado</w:t>
            </w:r>
          </w:p>
        </w:tc>
      </w:tr>
      <w:tr>
        <w:tc>
          <w:tcPr>
            <w:tcW w:type="dxa" w:w="5800"/>
            <w:tcMar>
              <w:top w:type="dxa" w:w="90"/>
              <w:left w:type="dxa" w:w="130"/>
              <w:bottom w:type="dxa" w:w="90"/>
              <w:right w:type="dxa" w:w="130"/>
            </w:tcMar>
          </w:tcPr>
          <w:p>
            <w:pPr>
              <w:spacing w:after="0" w:line="250"/>
            </w:pPr>
            <w:r>
              <w:rPr>
                <w:b/>
                <w:bCs/>
                <w:sz w:val="19"/>
                <w:szCs w:val="19"/>
              </w:rPr>
              <w:t xml:space="preserve">La política no informaba de la transferencia internacional de datos</w:t>
            </w:r>
          </w:p>
        </w:tc>
        <w:tc>
          <w:tcPr>
            <w:tcW w:type="dxa" w:w="3226"/>
            <w:tcMar>
              <w:top w:type="dxa" w:w="90"/>
              <w:left w:type="dxa" w:w="130"/>
              <w:bottom w:type="dxa" w:w="90"/>
              <w:right w:type="dxa" w:w="130"/>
            </w:tcMar>
          </w:tcPr>
          <w:p>
            <w:pPr>
              <w:spacing w:after="0" w:line="250"/>
            </w:pPr>
            <w:r>
              <w:rPr>
                <w:b/>
                <w:bCs/>
                <w:color w:val="0F766E"/>
                <w:sz w:val="19"/>
                <w:szCs w:val="19"/>
              </w:rPr>
              <w:t xml:space="preserve">Corregido: ya declara dónde están los datos</w:t>
            </w:r>
          </w:p>
        </w:tc>
      </w:tr>
      <w:tr>
        <w:tc>
          <w:tcPr>
            <w:tcW w:type="dxa" w:w="5800"/>
            <w:shd w:fill="F1F5F9" w:color="auto" w:val="clear"/>
            <w:tcMar>
              <w:top w:type="dxa" w:w="90"/>
              <w:left w:type="dxa" w:w="130"/>
              <w:bottom w:type="dxa" w:w="90"/>
              <w:right w:type="dxa" w:w="130"/>
            </w:tcMar>
          </w:tcPr>
          <w:p>
            <w:pPr>
              <w:spacing w:after="0" w:line="250"/>
            </w:pPr>
            <w:r>
              <w:rPr>
                <w:b/>
                <w:bCs/>
                <w:sz w:val="19"/>
                <w:szCs w:val="19"/>
              </w:rPr>
              <w:t xml:space="preserve">La política afirmaba que cada uso del respaldo queda registrado — no era cierto</w:t>
            </w:r>
          </w:p>
        </w:tc>
        <w:tc>
          <w:tcPr>
            <w:tcW w:type="dxa" w:w="3226"/>
            <w:shd w:fill="F1F5F9" w:color="auto" w:val="clear"/>
            <w:tcMar>
              <w:top w:type="dxa" w:w="90"/>
              <w:left w:type="dxa" w:w="130"/>
              <w:bottom w:type="dxa" w:w="90"/>
              <w:right w:type="dxa" w:w="130"/>
            </w:tcMar>
          </w:tcPr>
          <w:p>
            <w:pPr>
              <w:spacing w:after="0" w:line="250"/>
            </w:pPr>
            <w:r>
              <w:rPr>
                <w:b/>
                <w:bCs/>
                <w:color w:val="0F766E"/>
                <w:sz w:val="19"/>
                <w:szCs w:val="19"/>
              </w:rPr>
              <w:t xml:space="preserve">Corregido el mismo día</w:t>
            </w:r>
          </w:p>
        </w:tc>
      </w:tr>
      <w:tr>
        <w:tc>
          <w:tcPr>
            <w:tcW w:type="dxa" w:w="5800"/>
            <w:tcMar>
              <w:top w:type="dxa" w:w="90"/>
              <w:left w:type="dxa" w:w="130"/>
              <w:bottom w:type="dxa" w:w="90"/>
              <w:right w:type="dxa" w:w="130"/>
            </w:tcMar>
          </w:tcPr>
          <w:p>
            <w:pPr>
              <w:spacing w:after="0" w:line="250"/>
            </w:pPr>
            <w:r>
              <w:rPr>
                <w:b/>
                <w:bCs/>
                <w:sz w:val="19"/>
                <w:szCs w:val="19"/>
              </w:rPr>
              <w:t xml:space="preserve">La política afirmaba que el historial cerrado no se puede borrar — era cierto solo a medias, por tres vías distintas</w:t>
            </w:r>
          </w:p>
        </w:tc>
        <w:tc>
          <w:tcPr>
            <w:tcW w:type="dxa" w:w="3226"/>
            <w:tcMar>
              <w:top w:type="dxa" w:w="90"/>
              <w:left w:type="dxa" w:w="130"/>
              <w:bottom w:type="dxa" w:w="90"/>
              <w:right w:type="dxa" w:w="130"/>
            </w:tcMar>
          </w:tcPr>
          <w:p>
            <w:pPr>
              <w:spacing w:after="0" w:line="250"/>
            </w:pPr>
            <w:r>
              <w:rPr>
                <w:b/>
                <w:bCs/>
                <w:color w:val="0F766E"/>
                <w:sz w:val="19"/>
                <w:szCs w:val="19"/>
              </w:rPr>
              <w:t xml:space="preserve">Corregidas las tres vías el mismo día</w:t>
            </w:r>
          </w:p>
        </w:tc>
      </w:tr>
      <w:tr>
        <w:tc>
          <w:tcPr>
            <w:tcW w:type="dxa" w:w="5800"/>
            <w:shd w:fill="F1F5F9" w:color="auto" w:val="clear"/>
            <w:tcMar>
              <w:top w:type="dxa" w:w="90"/>
              <w:left w:type="dxa" w:w="130"/>
              <w:bottom w:type="dxa" w:w="90"/>
              <w:right w:type="dxa" w:w="130"/>
            </w:tcMar>
          </w:tcPr>
          <w:p>
            <w:pPr>
              <w:spacing w:after="0" w:line="250"/>
            </w:pPr>
            <w:r>
              <w:rPr>
                <w:sz w:val="19"/>
                <w:szCs w:val="19"/>
              </w:rPr>
              <w:t xml:space="preserve">El sistema envía datos clínicos a un proveedor en EE. UU.</w:t>
            </w:r>
          </w:p>
        </w:tc>
        <w:tc>
          <w:tcPr>
            <w:tcW w:type="dxa" w:w="3226"/>
            <w:shd w:fill="F1F5F9" w:color="auto" w:val="clear"/>
            <w:tcMar>
              <w:top w:type="dxa" w:w="90"/>
              <w:left w:type="dxa" w:w="130"/>
              <w:bottom w:type="dxa" w:w="90"/>
              <w:right w:type="dxa" w:w="130"/>
            </w:tcMar>
          </w:tcPr>
          <w:p>
            <w:pPr>
              <w:spacing w:after="0" w:line="250"/>
            </w:pPr>
            <w:r>
              <w:rPr>
                <w:sz w:val="19"/>
                <w:szCs w:val="19"/>
              </w:rPr>
              <w:t xml:space="preserve">Implementado y acotado; ya declarado en la política</w:t>
            </w:r>
          </w:p>
        </w:tc>
      </w:tr>
      <w:tr>
        <w:tc>
          <w:tcPr>
            <w:tcW w:type="dxa" w:w="5800"/>
            <w:tcMar>
              <w:top w:type="dxa" w:w="90"/>
              <w:left w:type="dxa" w:w="130"/>
              <w:bottom w:type="dxa" w:w="90"/>
              <w:right w:type="dxa" w:w="130"/>
            </w:tcMar>
          </w:tcPr>
          <w:p>
            <w:pPr>
              <w:spacing w:after="0" w:line="250"/>
            </w:pPr>
            <w:r>
              <w:rPr>
                <w:b/>
                <w:bCs/>
                <w:sz w:val="19"/>
                <w:szCs w:val="19"/>
              </w:rPr>
              <w:t xml:space="preserve">No existe contrato de encargo de tratamiento con los proveedores</w:t>
            </w:r>
          </w:p>
        </w:tc>
        <w:tc>
          <w:tcPr>
            <w:tcW w:type="dxa" w:w="3226"/>
            <w:tcMar>
              <w:top w:type="dxa" w:w="90"/>
              <w:left w:type="dxa" w:w="130"/>
              <w:bottom w:type="dxa" w:w="90"/>
              <w:right w:type="dxa" w:w="130"/>
            </w:tcMar>
          </w:tcPr>
          <w:p>
            <w:pPr>
              <w:spacing w:after="0" w:line="250"/>
            </w:pPr>
            <w:r>
              <w:rPr>
                <w:b/>
                <w:bCs/>
                <w:color w:val="0F766E"/>
                <w:sz w:val="19"/>
                <w:szCs w:val="19"/>
              </w:rPr>
              <w:t xml:space="preserve">Sí existen (DPA estándar) — evaluados como suficientes con criterio propio</w:t>
            </w:r>
          </w:p>
        </w:tc>
      </w:tr>
      <w:tr>
        <w:tc>
          <w:tcPr>
            <w:tcW w:type="dxa" w:w="5800"/>
            <w:shd w:fill="F1F5F9" w:color="auto" w:val="clear"/>
            <w:tcMar>
              <w:top w:type="dxa" w:w="90"/>
              <w:left w:type="dxa" w:w="130"/>
              <w:bottom w:type="dxa" w:w="90"/>
              <w:right w:type="dxa" w:w="130"/>
            </w:tcMar>
          </w:tcPr>
          <w:p>
            <w:pPr>
              <w:spacing w:after="0" w:line="250"/>
            </w:pPr>
            <w:r>
              <w:rPr>
                <w:b/>
                <w:bCs/>
                <w:sz w:val="19"/>
                <w:szCs w:val="19"/>
              </w:rPr>
              <w:t xml:space="preserve">No hay procedimiento documentado de notificación de brechas</w:t>
            </w:r>
          </w:p>
        </w:tc>
        <w:tc>
          <w:tcPr>
            <w:tcW w:type="dxa" w:w="3226"/>
            <w:shd w:fill="F1F5F9" w:color="auto" w:val="clear"/>
            <w:tcMar>
              <w:top w:type="dxa" w:w="90"/>
              <w:left w:type="dxa" w:w="130"/>
              <w:bottom w:type="dxa" w:w="90"/>
              <w:right w:type="dxa" w:w="130"/>
            </w:tcMar>
          </w:tcPr>
          <w:p>
            <w:pPr>
              <w:spacing w:after="0" w:line="250"/>
            </w:pPr>
            <w:r>
              <w:rPr>
                <w:b/>
                <w:bCs/>
                <w:color w:val="0F766E"/>
                <w:sz w:val="19"/>
                <w:szCs w:val="19"/>
              </w:rPr>
              <w:t xml:space="preserve">Documentado — el plazo legal exacto en Bolivia sigue sin confirmar</w:t>
            </w:r>
          </w:p>
        </w:tc>
      </w:tr>
      <w:tr>
        <w:tc>
          <w:tcPr>
            <w:tcW w:type="dxa" w:w="5800"/>
            <w:tcMar>
              <w:top w:type="dxa" w:w="90"/>
              <w:left w:type="dxa" w:w="130"/>
              <w:bottom w:type="dxa" w:w="90"/>
              <w:right w:type="dxa" w:w="130"/>
            </w:tcMar>
          </w:tcPr>
          <w:p>
            <w:pPr>
              <w:spacing w:after="0" w:line="250"/>
            </w:pPr>
            <w:r>
              <w:rPr>
                <w:b/>
                <w:bCs/>
                <w:sz w:val="19"/>
                <w:szCs w:val="19"/>
              </w:rPr>
              <w:t xml:space="preserve">Quién es responsable y quién encargado del tratamiento</w:t>
            </w:r>
          </w:p>
        </w:tc>
        <w:tc>
          <w:tcPr>
            <w:tcW w:type="dxa" w:w="3226"/>
            <w:tcMar>
              <w:top w:type="dxa" w:w="90"/>
              <w:left w:type="dxa" w:w="130"/>
              <w:bottom w:type="dxa" w:w="90"/>
              <w:right w:type="dxa" w:w="130"/>
            </w:tcMar>
          </w:tcPr>
          <w:p>
            <w:pPr>
              <w:spacing w:after="0" w:line="250"/>
            </w:pPr>
            <w:r>
              <w:rPr>
                <w:b/>
                <w:bCs/>
                <w:color w:val="0F766E"/>
                <w:sz w:val="19"/>
                <w:szCs w:val="19"/>
              </w:rPr>
              <w:t xml:space="preserve">Confirmado por la asesoría: Vetora es encargada, cada clínica es responsable</w:t>
            </w:r>
          </w:p>
        </w:tc>
      </w:tr>
    </w:tbl>
    <w:p>
      <w:pPr>
        <w:pStyle w:val="Heading2"/>
        <w:spacing w:after="140" w:before="280"/>
      </w:pPr>
      <w:r>
        <w:t xml:space="preserve">Veredicto a 9 de septiembre de 2026: sin impedimento para operar comercialmente</w:t>
      </w:r>
    </w:p>
    <w:p>
      <w:pPr>
        <w:spacing w:after="140" w:line="276"/>
      </w:pPr>
      <w:r>
        <w:t xml:space="preserve">De los siete puntos, los siete están cerrados o acotados a una acción de bajo riesgo. </w:t>
      </w:r>
      <w:r>
        <w:rPr>
          <w:b/>
          <w:bCs/>
        </w:rPr>
        <w:t xml:space="preserve">No queda ningún hallazgo de seguridad crítico ni alto abierto </w:t>
      </w:r>
      <w:r>
        <w:t xml:space="preserve">(ver el retest completo en el registro de seguridad: 0 críticos y 9 altos, todos corregidos): lo único sin verificar en vivo son cuatro invariantes de caja e inventario que existen en el código y en producción, pero cuyo disparo real no se ha observado con dos clínicas simultáneas — no son un riesgo de que una clínica vea datos de otra, sino de que una regla de negocio interna falle silenciosamente. Legalmente, la política de privacidad es veraz, los tres proveedores tienen DPA vigente, y la calificación de responsable y encargado ya la confirmó la asesoría.</w:t>
      </w:r>
    </w:p>
    <w:p>
      <w:pPr>
        <w:spacing w:after="240" w:line="276"/>
      </w:pPr>
      <w:r>
        <w:rPr>
          <w:b/>
          <w:bCs/>
        </w:rPr>
        <w:t xml:space="preserve">Lo único pendiente antes de firmar con una clínica de pago es completar y hacer revisar el Contrato Vetora-Clínica </w:t>
      </w:r>
      <w:r>
        <w:t xml:space="preserve">(los datos entre corchetes, y una revisión de forma del abogado). No es un bloqueo técnico ni de seguridad — es la pieza de papel que formaliza lo que el sistema ya hace correctamente.</w:t>
      </w:r>
    </w:p>
    <w:p>
      <w:r>
        <w:br w:type="page"/>
      </w:r>
    </w:p>
    <w:p>
      <w:pPr>
        <w:pStyle w:val="Heading1"/>
        <w:spacing w:after="180" w:before="360"/>
      </w:pPr>
      <w:r>
        <w:t xml:space="preserve">2. Dos discrepancias encontradas y corregidas el mismo día</w:t>
      </w:r>
    </w:p>
    <w:p>
      <w:pPr>
        <w:spacing w:after="140" w:line="276"/>
      </w:pPr>
      <w:r>
        <w:t xml:space="preserve">Se conservan en este informe con su historial completo — qué decía la política, qué hacía realmente el sistema, y qué se corrigió — porque forman parte de cómo se trató el hallazgo, no porque sigan abiertas. Un informe que borrara el problema en cuanto se resuelve no serviría para acreditar diligencia.</w:t>
      </w:r>
    </w:p>
    <w:p>
      <w:pPr>
        <w:pStyle w:val="Heading2"/>
        <w:spacing w:after="140" w:before="280"/>
      </w:pPr>
      <w:r>
        <w:t xml:space="preserve">2.1. «Cada uso del respaldo queda registrado» — corregido</w:t>
      </w:r>
    </w:p>
    <w:p>
      <w:pPr>
        <w:spacing w:after="140" w:line="276"/>
      </w:pPr>
      <w:r>
        <w:rPr>
          <w:b/>
          <w:bCs/>
        </w:rPr>
        <w:t xml:space="preserve">Lo que decía la política, sección 4: </w:t>
      </w:r>
      <w:r>
        <w:t xml:space="preserve">que existe una función que permite al operador de Vetora extraer los datos de una clínica concreta, y que </w:t>
      </w:r>
      <w:r>
        <w:rPr>
          <w:i/>
          <w:iCs/>
        </w:rPr>
        <w:t xml:space="preserve">«solo nosotros podemos ejecutarla, y cada uso queda registrado»</w:t>
      </w:r>
      <w:r>
        <w:t xml:space="preserve">.</w:t>
      </w:r>
    </w:p>
    <w:p>
      <w:pPr>
        <w:spacing w:after="140" w:line="276"/>
      </w:pPr>
      <w:r>
        <w:rPr>
          <w:b/>
          <w:bCs/>
        </w:rPr>
        <w:t xml:space="preserve">Lo que hacía el sistema hasta hoy: </w:t>
      </w:r>
      <w:r>
        <w:t xml:space="preserve">las dos primeras afirmaciones eran ciertas. La tercera no. La función validaba quién llamaba y exigía segundo factor, pero no escribía ningún registro de auditoría. Se prometía al titular de los datos una trazabilidad que no existía.</w:t>
      </w:r>
    </w:p>
    <w:p>
      <w:pPr>
        <w:spacing w:after="140" w:line="276"/>
      </w:pPr>
      <w:r>
        <w:rPr>
          <w:b/>
          <w:bCs/>
        </w:rPr>
        <w:t xml:space="preserve">Corrección aplicada: </w:t>
      </w:r>
      <w:r>
        <w:t xml:space="preserve">se creó una bitácora dedicada (mismo criterio que otras tablas de auditoría del sistema: solo puede insertarse, solo el operador puede leerla, nadie puede editarla ni borrarla después — una bitácora editable no sería prueba de nada). Cada uso de la función queda ahora registrado con quién la ejecutó, sobre qué clínica, qué operación, si tuvo éxito y cuántos datos movió. También se registra cuando falla, para que un intento fallido no desaparezca sin dejar rastro.</w:t>
      </w:r>
    </w:p>
    <w:p>
      <w:pPr>
        <w:spacing w:after="240" w:line="276"/>
      </w:pPr>
      <w:r>
        <w:rPr>
          <w:b/>
          <w:bCs/>
        </w:rPr>
        <w:t xml:space="preserve">Estado: </w:t>
      </w:r>
      <w:r>
        <w:t xml:space="preserve">la política ya es cierta tal como está redactada. No fue necesario cambiar el texto.</w:t>
      </w:r>
    </w:p>
    <w:p>
      <w:pPr>
        <w:pStyle w:val="Heading2"/>
        <w:spacing w:after="140" w:before="280"/>
      </w:pPr>
      <w:r>
        <w:t xml:space="preserve">2.2. «El historial clínico cerrado no se puede modificar ni borrar» — corregido (tres vías, las tres cerradas)</w:t>
      </w:r>
    </w:p>
    <w:p>
      <w:pPr>
        <w:spacing w:after="140" w:line="276"/>
      </w:pPr>
      <w:r>
        <w:rPr>
          <w:b/>
          <w:bCs/>
        </w:rPr>
        <w:t xml:space="preserve">«No se puede modificar»: </w:t>
      </w:r>
      <w:r>
        <w:t xml:space="preserve">cierto, y seguía siéndolo antes de esta corrección.</w:t>
      </w:r>
    </w:p>
    <w:p>
      <w:pPr>
        <w:spacing w:after="140" w:line="276"/>
      </w:pPr>
      <w:r>
        <w:rPr>
          <w:b/>
          <w:bCs/>
        </w:rPr>
        <w:t xml:space="preserve">«Ni borrar»: </w:t>
      </w:r>
      <w:r>
        <w:t xml:space="preserve">no estaba garantizado, y por tres vías distintas — la tercera se descubrió al cerrar las dos primeras.</w:t>
      </w:r>
    </w:p>
    <w:p>
      <w:pPr>
        <w:spacing w:after="140" w:line="276"/>
      </w:pPr>
      <w:r>
        <w:rPr>
          <w:b/>
          <w:bCs/>
        </w:rPr>
        <w:t xml:space="preserve">Vía 1 — borrar la ficha del paciente. </w:t>
      </w:r>
      <w:r>
        <w:t xml:space="preserve">La única protección existente impedía borrar un paciente si tenía cobros pendientes en caja; no comprobaba en absoluto si tenía historial clínico. Un paciente con consultas cerradas y sin ningún cobro asociado podía borrarse, arrastrando su historial, recetas, vacunas y consentimientos firmados.</w:t>
      </w:r>
    </w:p>
    <w:p>
      <w:pPr>
        <w:spacing w:after="140" w:line="276"/>
      </w:pPr>
      <w:r>
        <w:rPr>
          <w:b/>
          <w:bCs/>
          <w:color w:val="B91C1C"/>
        </w:rPr>
        <w:t xml:space="preserve">Vía 2 — borrar la cita, no el paciente (la más grave de las tres). </w:t>
      </w:r>
      <w:r>
        <w:t xml:space="preserve">El historial clínico está vinculado a la cita en la que se generó, y al borrarse esa cita el historial se borraba con ella. Borrar una cita es una operación habitual del personal —cancelaciones, limpieza de agenda—, muy distinta de borrar un paciente entero. Cualquier miembro del personal podía, sin darse cuenta, destruir un expediente médico simplemente al borrar la cita asociada.</w:t>
      </w:r>
    </w:p>
    <w:p>
      <w:pPr>
        <w:spacing w:after="140" w:line="276"/>
      </w:pPr>
      <w:r>
        <w:rPr>
          <w:b/>
          <w:bCs/>
        </w:rPr>
        <w:t xml:space="preserve">Vía 3 — borrar el paciente arrastrando una internación ya cerrada. </w:t>
      </w:r>
      <w:r>
        <w:t xml:space="preserve">El mismo problema de la vía 1, aplicado a otro tipo de registro: una internación ya concluida se prometía «congelada», pero solo frente a modificaciones, no frente a que se borrara el paciente completo. Sin ningún cobro asociado a esa internación, se perdía igual que el historial de la vía 1.</w:t>
      </w:r>
    </w:p>
    <w:p>
      <w:pPr>
        <w:spacing w:after="140" w:line="276"/>
      </w:pPr>
      <w:r>
        <w:t xml:space="preserve">Corrección aplicada:</w:t>
      </w:r>
    </w:p>
    <w:p>
      <w:pPr>
        <w:pStyle w:val="ListParagraph"/>
        <w:numPr>
          <w:ilvl w:val="0"/>
          <w:numId w:val="2"/>
        </w:numPr>
        <w:spacing w:after="90" w:line="276"/>
      </w:pPr>
      <w:r>
        <w:t xml:space="preserve">Se retiró la posibilidad de borrar citas directamente. El personal sigue pudiendo cancelarlas —que es la operación que realmente usa la aplicación—, pero ya no puede eliminarlas de la base de datos.</w:t>
      </w:r>
    </w:p>
    <w:p>
      <w:pPr>
        <w:pStyle w:val="ListParagraph"/>
        <w:numPr>
          <w:ilvl w:val="0"/>
          <w:numId w:val="2"/>
        </w:numPr>
        <w:spacing w:after="90" w:line="276"/>
      </w:pPr>
      <w:r>
        <w:t xml:space="preserve">La protección existente sobre el borrado de pacientes se amplió para bloquear también cuando el paciente tiene historiales clínicos cerrados, y cuando tiene internaciones ya concluidas. En ambos casos, lo que sigue en curso —una consulta sin terminar, una internación activa— no bloquea el borrado: solo se protege lo que ya se cerró y se promete definitivo.</w:t>
      </w:r>
    </w:p>
    <w:p>
      <w:pPr>
        <w:spacing w:after="240" w:line="276"/>
      </w:pPr>
      <w:r>
        <w:rPr>
          <w:b/>
          <w:bCs/>
        </w:rPr>
        <w:t xml:space="preserve">Estado: </w:t>
      </w:r>
      <w:r>
        <w:t xml:space="preserve">las tres vías quedan cerradas y verificadas en producción. La política ya es cierta en su totalidad.</w:t>
      </w:r>
    </w:p>
    <w:p>
      <w:r>
        <w:br w:type="page"/>
      </w:r>
    </w:p>
    <w:p>
      <w:pPr>
        <w:pStyle w:val="Heading1"/>
        <w:spacing w:after="180" w:before="360"/>
      </w:pPr>
      <w:r>
        <w:t xml:space="preserve">3. Datos personales que trata el sistema</w:t>
      </w:r>
    </w:p>
    <w:p>
      <w:pPr>
        <w:pStyle w:val="Heading2"/>
        <w:spacing w:after="140" w:before="280"/>
      </w:pPr>
      <w:r>
        <w:t xml:space="preserve">3.1. Del dueño de la mascota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shd w:fill="0F766E" w:color="auto" w:val="clear"/>
            <w:tcMar>
              <w:top w:type="dxa" w:w="90"/>
              <w:left w:type="dxa" w:w="130"/>
              <w:bottom w:type="dxa" w:w="90"/>
              <w:right w:type="dxa" w:w="130"/>
            </w:tcMar>
          </w:tcPr>
          <w:p>
            <w:pPr>
              <w:spacing w:after="0" w:line="250"/>
            </w:pPr>
            <w:r>
              <w:rPr>
                <w:b/>
                <w:bCs/>
                <w:color w:val="FFFFFF"/>
                <w:sz w:val="19"/>
                <w:szCs w:val="19"/>
              </w:rPr>
              <w:t xml:space="preserve">Dato</w:t>
            </w:r>
          </w:p>
        </w:tc>
        <w:tc>
          <w:tcPr>
            <w:tcW w:type="dxa" w:w="1500"/>
            <w:shd w:fill="0F766E" w:color="auto" w:val="clear"/>
            <w:tcMar>
              <w:top w:type="dxa" w:w="90"/>
              <w:left w:type="dxa" w:w="130"/>
              <w:bottom w:type="dxa" w:w="90"/>
              <w:right w:type="dxa" w:w="130"/>
            </w:tcMar>
          </w:tcPr>
          <w:p>
            <w:pPr>
              <w:spacing w:after="0" w:line="250"/>
            </w:pPr>
            <w:r>
              <w:rPr>
                <w:b/>
                <w:bCs/>
                <w:color w:val="FFFFFF"/>
                <w:sz w:val="19"/>
                <w:szCs w:val="19"/>
              </w:rPr>
              <w:t xml:space="preserve">Obligatorio</w:t>
            </w:r>
          </w:p>
        </w:tc>
        <w:tc>
          <w:tcPr>
            <w:tcW w:type="dxa" w:w="5126"/>
            <w:shd w:fill="0F766E" w:color="auto" w:val="clear"/>
            <w:tcMar>
              <w:top w:type="dxa" w:w="90"/>
              <w:left w:type="dxa" w:w="130"/>
              <w:bottom w:type="dxa" w:w="90"/>
              <w:right w:type="dxa" w:w="130"/>
            </w:tcMar>
          </w:tcPr>
          <w:p>
            <w:pPr>
              <w:spacing w:after="0" w:line="250"/>
            </w:pPr>
            <w:r>
              <w:rPr>
                <w:b/>
                <w:bCs/>
                <w:color w:val="FFFFFF"/>
                <w:sz w:val="19"/>
                <w:szCs w:val="19"/>
              </w:rPr>
              <w:t xml:space="preserve">Observaciones</w:t>
            </w:r>
          </w:p>
        </w:tc>
      </w:tr>
      <w:tr>
        <w:tc>
          <w:tcPr>
            <w:tcW w:type="dxa" w:w="2400"/>
            <w:tcMar>
              <w:top w:type="dxa" w:w="90"/>
              <w:left w:type="dxa" w:w="130"/>
              <w:bottom w:type="dxa" w:w="90"/>
              <w:right w:type="dxa" w:w="130"/>
            </w:tcMar>
          </w:tcPr>
          <w:p>
            <w:pPr>
              <w:spacing w:after="0" w:line="250"/>
            </w:pPr>
            <w:r>
              <w:rPr>
                <w:sz w:val="19"/>
                <w:szCs w:val="19"/>
              </w:rPr>
              <w:t xml:space="preserve">Nombre completo</w:t>
            </w:r>
          </w:p>
        </w:tc>
        <w:tc>
          <w:tcPr>
            <w:tcW w:type="dxa" w:w="1500"/>
            <w:tcMar>
              <w:top w:type="dxa" w:w="90"/>
              <w:left w:type="dxa" w:w="130"/>
              <w:bottom w:type="dxa" w:w="90"/>
              <w:right w:type="dxa" w:w="130"/>
            </w:tcMar>
          </w:tcPr>
          <w:p>
            <w:pPr>
              <w:spacing w:after="0" w:line="250"/>
            </w:pPr>
            <w:r>
              <w:rPr>
                <w:sz w:val="19"/>
                <w:szCs w:val="19"/>
              </w:rPr>
              <w:t xml:space="preserve">Sí</w:t>
            </w:r>
          </w:p>
        </w:tc>
        <w:tc>
          <w:tcPr>
            <w:tcW w:type="dxa" w:w="5126"/>
            <w:tcMar>
              <w:top w:type="dxa" w:w="90"/>
              <w:left w:type="dxa" w:w="130"/>
              <w:bottom w:type="dxa" w:w="90"/>
              <w:right w:type="dxa" w:w="130"/>
            </w:tcMar>
          </w:tcPr>
          <w:p>
            <w:pPr>
              <w:spacing w:after="0" w:line="250"/>
            </w:pPr>
            <w:r>
              <w:rPr>
                <w:sz w:val="19"/>
                <w:szCs w:val="19"/>
              </w:rPr>
              <w:t xml:space="preserve">—</w:t>
            </w:r>
          </w:p>
        </w:tc>
      </w:tr>
      <w:tr>
        <w:tc>
          <w:tcPr>
            <w:tcW w:type="dxa" w:w="2400"/>
            <w:shd w:fill="F1F5F9" w:color="auto" w:val="clear"/>
            <w:tcMar>
              <w:top w:type="dxa" w:w="90"/>
              <w:left w:type="dxa" w:w="130"/>
              <w:bottom w:type="dxa" w:w="90"/>
              <w:right w:type="dxa" w:w="130"/>
            </w:tcMar>
          </w:tcPr>
          <w:p>
            <w:pPr>
              <w:spacing w:after="0" w:line="250"/>
            </w:pPr>
            <w:r>
              <w:rPr>
                <w:sz w:val="19"/>
                <w:szCs w:val="19"/>
              </w:rPr>
              <w:t xml:space="preserve">WhatsApp o teléfono</w:t>
            </w:r>
          </w:p>
        </w:tc>
        <w:tc>
          <w:tcPr>
            <w:tcW w:type="dxa" w:w="1500"/>
            <w:shd w:fill="F1F5F9" w:color="auto" w:val="clear"/>
            <w:tcMar>
              <w:top w:type="dxa" w:w="90"/>
              <w:left w:type="dxa" w:w="130"/>
              <w:bottom w:type="dxa" w:w="90"/>
              <w:right w:type="dxa" w:w="130"/>
            </w:tcMar>
          </w:tcPr>
          <w:p>
            <w:pPr>
              <w:spacing w:after="0" w:line="250"/>
            </w:pPr>
            <w:r>
              <w:rPr>
                <w:sz w:val="19"/>
                <w:szCs w:val="19"/>
              </w:rPr>
              <w:t xml:space="preserve">Sí</w:t>
            </w:r>
          </w:p>
        </w:tc>
        <w:tc>
          <w:tcPr>
            <w:tcW w:type="dxa" w:w="5126"/>
            <w:shd w:fill="F1F5F9" w:color="auto" w:val="clear"/>
            <w:tcMar>
              <w:top w:type="dxa" w:w="90"/>
              <w:left w:type="dxa" w:w="130"/>
              <w:bottom w:type="dxa" w:w="90"/>
              <w:right w:type="dxa" w:w="130"/>
            </w:tcMar>
          </w:tcPr>
          <w:p>
            <w:pPr>
              <w:spacing w:after="0" w:line="250"/>
            </w:pPr>
            <w:r>
              <w:rPr>
                <w:sz w:val="19"/>
                <w:szCs w:val="19"/>
              </w:rPr>
              <w:t xml:space="preserve">Se emplea como factor de vinculación de cuentas</w:t>
            </w:r>
          </w:p>
        </w:tc>
      </w:tr>
      <w:tr>
        <w:tc>
          <w:tcPr>
            <w:tcW w:type="dxa" w:w="2400"/>
            <w:tcMar>
              <w:top w:type="dxa" w:w="90"/>
              <w:left w:type="dxa" w:w="130"/>
              <w:bottom w:type="dxa" w:w="90"/>
              <w:right w:type="dxa" w:w="130"/>
            </w:tcMar>
          </w:tcPr>
          <w:p>
            <w:pPr>
              <w:spacing w:after="0" w:line="250"/>
            </w:pPr>
            <w:r>
              <w:rPr>
                <w:b/>
                <w:bCs/>
                <w:sz w:val="19"/>
                <w:szCs w:val="19"/>
              </w:rPr>
              <w:t xml:space="preserve">Cédula de identidad</w:t>
            </w:r>
          </w:p>
        </w:tc>
        <w:tc>
          <w:tcPr>
            <w:tcW w:type="dxa" w:w="1500"/>
            <w:tcMar>
              <w:top w:type="dxa" w:w="90"/>
              <w:left w:type="dxa" w:w="130"/>
              <w:bottom w:type="dxa" w:w="90"/>
              <w:right w:type="dxa" w:w="130"/>
            </w:tcMar>
          </w:tcPr>
          <w:p>
            <w:pPr>
              <w:spacing w:after="0" w:line="250"/>
            </w:pPr>
            <w:r>
              <w:rPr>
                <w:sz w:val="19"/>
                <w:szCs w:val="19"/>
              </w:rPr>
              <w:t xml:space="preserve">No</w:t>
            </w:r>
          </w:p>
        </w:tc>
        <w:tc>
          <w:tcPr>
            <w:tcW w:type="dxa" w:w="5126"/>
            <w:tcMar>
              <w:top w:type="dxa" w:w="90"/>
              <w:left w:type="dxa" w:w="130"/>
              <w:bottom w:type="dxa" w:w="90"/>
              <w:right w:type="dxa" w:w="130"/>
            </w:tcMar>
          </w:tcPr>
          <w:p>
            <w:pPr>
              <w:spacing w:after="0" w:line="250"/>
            </w:pPr>
            <w:r>
              <w:rPr>
                <w:b/>
                <w:bCs/>
                <w:sz w:val="19"/>
                <w:szCs w:val="19"/>
              </w:rPr>
              <w:t xml:space="preserve">El dato más sensible que se conserva de una persona</w:t>
            </w:r>
          </w:p>
        </w:tc>
      </w:tr>
      <w:tr>
        <w:tc>
          <w:tcPr>
            <w:tcW w:type="dxa" w:w="2400"/>
            <w:shd w:fill="F1F5F9" w:color="auto" w:val="clear"/>
            <w:tcMar>
              <w:top w:type="dxa" w:w="90"/>
              <w:left w:type="dxa" w:w="130"/>
              <w:bottom w:type="dxa" w:w="90"/>
              <w:right w:type="dxa" w:w="130"/>
            </w:tcMar>
          </w:tcPr>
          <w:p>
            <w:pPr>
              <w:spacing w:after="0" w:line="250"/>
            </w:pPr>
            <w:r>
              <w:rPr>
                <w:sz w:val="19"/>
                <w:szCs w:val="19"/>
              </w:rPr>
              <w:t xml:space="preserve">Correo electrónico</w:t>
            </w:r>
          </w:p>
        </w:tc>
        <w:tc>
          <w:tcPr>
            <w:tcW w:type="dxa" w:w="1500"/>
            <w:shd w:fill="F1F5F9" w:color="auto" w:val="clear"/>
            <w:tcMar>
              <w:top w:type="dxa" w:w="90"/>
              <w:left w:type="dxa" w:w="130"/>
              <w:bottom w:type="dxa" w:w="90"/>
              <w:right w:type="dxa" w:w="130"/>
            </w:tcMar>
          </w:tcPr>
          <w:p>
            <w:pPr>
              <w:spacing w:after="0" w:line="250"/>
            </w:pPr>
            <w:r>
              <w:rPr>
                <w:sz w:val="19"/>
                <w:szCs w:val="19"/>
              </w:rPr>
              <w:t xml:space="preserve">Solo si abre cuenta</w:t>
            </w:r>
          </w:p>
        </w:tc>
        <w:tc>
          <w:tcPr>
            <w:tcW w:type="dxa" w:w="5126"/>
            <w:shd w:fill="F1F5F9" w:color="auto" w:val="clear"/>
            <w:tcMar>
              <w:top w:type="dxa" w:w="90"/>
              <w:left w:type="dxa" w:w="130"/>
              <w:bottom w:type="dxa" w:w="90"/>
              <w:right w:type="dxa" w:w="130"/>
            </w:tcMar>
          </w:tcPr>
          <w:p>
            <w:pPr>
              <w:spacing w:after="0" w:line="250"/>
            </w:pPr>
            <w:r>
              <w:rPr>
                <w:sz w:val="19"/>
                <w:szCs w:val="19"/>
              </w:rPr>
              <w:t xml:space="preserve">Necesario únicamente para el portal del cliente</w:t>
            </w:r>
          </w:p>
        </w:tc>
      </w:tr>
    </w:tbl>
    <w:p>
      <w:pPr>
        <w:shd w:fill="FEF2F2" w:color="auto" w:val="clear"/>
        <w:spacing w:after="80" w:line="276"/>
      </w:pPr>
      <w:r>
        <w:rPr>
          <w:b/>
          <w:bCs/>
          <w:color w:val="B91C1C"/>
          <w:sz w:val="22"/>
          <w:szCs w:val="22"/>
        </w:rPr>
        <w:t xml:space="preserve">El CI merece punto propio</w:t>
      </w:r>
    </w:p>
    <w:p>
      <w:pPr>
        <w:shd w:fill="FEF2F2" w:color="auto" w:val="clear"/>
        <w:spacing w:after="200" w:line="276"/>
      </w:pPr>
      <w:r>
        <w:t xml:space="preserve">Por lo que representa y por lo poco que el sistema lo distingue del resto de la ficha del cliente. Verificado contra el código, no supuesto.</w:t>
      </w:r>
    </w:p>
    <w:p>
      <w:pPr>
        <w:pStyle w:val="ListParagraph"/>
        <w:numPr>
          <w:ilvl w:val="0"/>
          <w:numId w:val="2"/>
        </w:numPr>
        <w:spacing w:after="90" w:line="276"/>
      </w:pPr>
      <w:r>
        <w:rPr>
          <w:b/>
          <w:bCs/>
        </w:rPr>
        <w:t xml:space="preserve">Qué es hoy, técnicamente: </w:t>
      </w:r>
      <w:r>
        <w:t xml:space="preserve">la columna (clientes.ci, desde la primera versión del esquema) es texto libre — sin restricción de unicidad, sin validación de formato, sin dígito verificador. Nunca se valida la longitud ni la forma de lo escrito, solo se recorta el espacio en blanco. Es opcional: una ficha puede no tenerlo.</w:t>
      </w:r>
    </w:p>
    <w:p>
      <w:pPr>
        <w:pStyle w:val="ListParagraph"/>
        <w:numPr>
          <w:ilvl w:val="0"/>
          <w:numId w:val="2"/>
        </w:numPr>
        <w:spacing w:after="90" w:line="276"/>
      </w:pPr>
      <w:r>
        <w:rPr>
          <w:b/>
          <w:bCs/>
        </w:rPr>
        <w:t xml:space="preserve">Para qué se usa realmente: </w:t>
      </w:r>
      <w:r>
        <w:t xml:space="preserve">nunca como control de acceso ni como prueba de identidad, sino como clave de coincidencia entre dos escrituras del mismo número, para dos decisiones concretas: vincular una cuenta nueva del portal a una ficha de cliente ya existente, y reusar la ficha de un dueño cuando se registra una segunda mascota a su nombre. El propio código del sistema lo dice sin rodeos: «No es prueba de identidad —los dos son datos que un conocido podría saber—, sube el listón de “sé tu carnet” a “sé tu carnet y tu teléfono”». Nadie en el sistema lo comprueba contra ningún documento ni servicio real — no existe integración con el registro civil boliviano ni con nada parecido: es autodeclarado de principio a fin.</w:t>
      </w:r>
    </w:p>
    <w:p>
      <w:pPr>
        <w:pStyle w:val="ListParagraph"/>
        <w:numPr>
          <w:ilvl w:val="0"/>
          <w:numId w:val="2"/>
        </w:numPr>
        <w:spacing w:after="90" w:line="276"/>
      </w:pPr>
      <w:r>
        <w:rPr>
          <w:b/>
          <w:bCs/>
        </w:rPr>
        <w:t xml:space="preserve">Quién lo ve, sin ninguna restricción adicional a la de cualquier otro dato de la ficha: </w:t>
      </w:r>
      <w:r>
        <w:t xml:space="preserve">los tres roles de personal por igual —administración, veterinario, recepción; la política de acceso de la base de datos no distingue esta columna de las demás—, el propio dueño desde su portal, seis documentos que se imprimen (cuatro de ellos accesibles también al dueño, por ser su propio dato), y el volcado completo del respaldo en formato CSV, que puede generar tanto la administración como recepción sin que esa columna se excluya. El operador de la plataforma también puede extraerlo clínica por clínica, pero eso ya está acotado con segundo factor y registrado en bitácora (sección 2.1).</w:t>
      </w:r>
    </w:p>
    <w:p>
      <w:pPr>
        <w:pStyle w:val="ListParagraph"/>
        <w:numPr>
          <w:ilvl w:val="0"/>
          <w:numId w:val="2"/>
        </w:numPr>
        <w:spacing w:after="140" w:line="276"/>
      </w:pPr>
      <w:r>
        <w:rPr>
          <w:b/>
          <w:bCs/>
        </w:rPr>
        <w:t xml:space="preserve">Lo que no cambia: </w:t>
      </w:r>
      <w:r>
        <w:t xml:space="preserve">sigue sin enviarse nunca al asistente de inteligencia artificial — reverificado al ampliar este punto.</w:t>
      </w:r>
    </w:p>
    <w:p>
      <w:pPr>
        <w:spacing w:after="240" w:line="276"/>
      </w:pPr>
      <w:r>
        <w:t xml:space="preserve">Es "el dato más sensible que se conserva" por lo que representa —identifica a una persona de forma unívoca en Bolivia—, no porque el sistema lo trate con un régimen distinto al resto de la ficha del cliente. Esa distancia entre lo sensible que es y lo poco que se lo distingue es justo lo que las preguntas 4.1 a 4.3 de la sección 9 le piden a la asesoría.</w:t>
      </w:r>
    </w:p>
    <w:p>
      <w:pPr>
        <w:pStyle w:val="Heading2"/>
        <w:spacing w:after="140" w:before="280"/>
      </w:pPr>
      <w:r>
        <w:t xml:space="preserve">3.2. Del personal de la clínica</w:t>
      </w:r>
    </w:p>
    <w:p>
      <w:pPr>
        <w:spacing w:after="140" w:line="276"/>
      </w:pPr>
      <w:r>
        <w:t xml:space="preserve">Nombre, correo electrónico, WhatsApp y rol dentro de la clínica. La contraseña no se almacena en el sistema: la gestiona el proveedor de infraestructura y la aplicación nunca llega a verla.</w:t>
      </w:r>
    </w:p>
    <w:p>
      <w:pPr>
        <w:pStyle w:val="Heading2"/>
        <w:spacing w:after="140" w:before="280"/>
      </w:pPr>
      <w:r>
        <w:t xml:space="preserve">3.3. De la mascota</w:t>
      </w:r>
    </w:p>
    <w:p>
      <w:pPr>
        <w:spacing w:after="140" w:line="276"/>
      </w:pPr>
      <w:r>
        <w:t xml:space="preserve">Historial clínico, diagnósticos, tratamientos, recetas, vacunas, desparasitaciones, peso, alergias y fotografía. No constituyen datos de salud de personas físicas.</w:t>
      </w:r>
    </w:p>
    <w:p>
      <w:pPr>
        <w:pStyle w:val="Heading2"/>
        <w:spacing w:after="140" w:before="280"/>
      </w:pPr>
      <w:r>
        <w:t xml:space="preserve">3.4. Firmas manuscritas — merece punto propio</w:t>
      </w:r>
    </w:p>
    <w:p>
      <w:pPr>
        <w:spacing w:after="140" w:line="276"/>
      </w:pPr>
      <w:r>
        <w:rPr>
          <w:b/>
          <w:bCs/>
        </w:rPr>
        <w:t xml:space="preserve">Dos tablas</w:t>
      </w:r>
      <w:r>
        <w:t xml:space="preserve"> del sistema conservan firmas manuscritas capturadas en el dispositivo, en base64 —no tres, como decía una versión anterior de este informe—: consentimientos de cirugía e informes firmados, tabla esta última donde también vive la firma de recibos (no es una tabla propia: solo añade "recibo" como un valor más de tipo de documento).</w:t>
      </w:r>
    </w:p>
    <w:p>
      <w:pPr>
        <w:shd w:fill="FEF2F2" w:color="auto" w:val="clear"/>
        <w:spacing w:after="80" w:line="276"/>
      </w:pPr>
      <w:r>
        <w:rPr>
          <w:b/>
          <w:bCs/>
          <w:color w:val="B91C1C"/>
          <w:sz w:val="22"/>
          <w:szCs w:val="22"/>
        </w:rPr>
        <w:t xml:space="preserve">Verificado contra el código, no supuesto</w:t>
      </w:r>
    </w:p>
    <w:p>
      <w:pPr>
        <w:shd w:fill="FEF2F2" w:color="auto" w:val="clear"/>
        <w:spacing w:after="200" w:line="276"/>
      </w:pPr>
      <w:r>
        <w:t xml:space="preserve">Los puntos siguientes están comprobados uno por uno contra el componente de captura y las políticas de acceso reales, no son una descripción general.</w:t>
      </w:r>
    </w:p>
    <w:p>
      <w:pPr>
        <w:pStyle w:val="ListParagraph"/>
        <w:numPr>
          <w:ilvl w:val="0"/>
          <w:numId w:val="2"/>
        </w:numPr>
        <w:spacing w:after="90" w:line="276"/>
      </w:pPr>
      <w:r>
        <w:rPr>
          <w:b/>
          <w:bCs/>
        </w:rPr>
        <w:t xml:space="preserve">Qué es exactamente lo que se guarda: </w:t>
      </w:r>
      <w:r>
        <w:t xml:space="preserve">un único componente de todo el sistema captura el trazo sobre un lienzo digital y, al soltar, lo convierte en una imagen estática. Solo se persiste esa imagen final — nunca la secuencia de puntos, la velocidad ni la presión del trazo, que existen momentáneamente en pantalla mientras se dibuja pero se descartan de inmediato y no llegan a guardarse en ningún campo. Es el equivalente digital de una foto de una firma en papel, no un dato biométrico dinámico.</w:t>
      </w:r>
    </w:p>
    <w:p>
      <w:pPr>
        <w:pStyle w:val="ListParagraph"/>
        <w:numPr>
          <w:ilvl w:val="0"/>
          <w:numId w:val="2"/>
        </w:numPr>
        <w:spacing w:after="90" w:line="276"/>
      </w:pPr>
      <w:r>
        <w:rPr>
          <w:b/>
          <w:bCs/>
        </w:rPr>
        <w:t xml:space="preserve">Cuándo es obligatoria: </w:t>
      </w:r>
      <w:r>
        <w:t xml:space="preserve">para el consentimiento firmado digitalmente —uno de sus tres métodos posibles; los otros dos (firma física escaneada, aceptación verbal registrada) no producen ningún trazo—, y como condición para imprimir un informe, un historial o un recibo: el botón de imprimir permanece deshabilitado sin firma. No es obligatoria para cerrar una consulta ni para cobrar — firmar es un paso posterior y separado, solo para poder emitir el papel.</w:t>
      </w:r>
    </w:p>
    <w:p>
      <w:pPr>
        <w:pStyle w:val="ListParagraph"/>
        <w:numPr>
          <w:ilvl w:val="0"/>
          <w:numId w:val="2"/>
        </w:numPr>
        <w:spacing w:after="90" w:line="276"/>
      </w:pPr>
      <w:r>
        <w:rPr>
          <w:b/>
          <w:bCs/>
        </w:rPr>
        <w:t xml:space="preserve">Inmutabilidad: </w:t>
      </w:r>
      <w:r>
        <w:t xml:space="preserve">las dos tablas son solo de alta y de lectura — no existe ninguna forma de modificar ni borrar una firma ya guardada, con la misma salvedad de las bajas en cadena ya explicada en el punto 2.2 de este informe.</w:t>
      </w:r>
    </w:p>
    <w:p>
      <w:pPr>
        <w:pStyle w:val="ListParagraph"/>
        <w:numPr>
          <w:ilvl w:val="0"/>
          <w:numId w:val="2"/>
        </w:numPr>
        <w:spacing w:after="90" w:line="276"/>
      </w:pPr>
      <w:r>
        <w:rPr>
          <w:b/>
          <w:bCs/>
        </w:rPr>
        <w:t xml:space="preserve">Quién la ve: </w:t>
      </w:r>
      <w:r>
        <w:t xml:space="preserve">el personal con acceso al expediente clínico (administración, veterinario, recepción), y el propio dueño desde su portal —incluida la firma del veterinario, no solo la suya— para los consentimientos e informes de su mascota. La única excepción es el recibo: al no llevar paciente asociado, esa firma queda estructuralmente invisible para el dueño aunque conozca la dirección del documento.</w:t>
      </w:r>
    </w:p>
    <w:p>
      <w:pPr>
        <w:pStyle w:val="ListParagraph"/>
        <w:numPr>
          <w:ilvl w:val="0"/>
          <w:numId w:val="2"/>
        </w:numPr>
        <w:spacing w:after="90" w:line="276"/>
      </w:pPr>
      <w:r>
        <w:rPr>
          <w:b/>
          <w:bCs/>
        </w:rPr>
        <w:t xml:space="preserve">Ya no sale en el respaldo en CSV: </w:t>
      </w:r>
      <w:r>
        <w:t xml:space="preserve">hasta esta revisión sí salía íntegra, en las dos tablas, sin ningún filtro —al contrario que la fotografía del paciente, que ya se excluía del CSV y se movía aparte—. Se corrigió el mismo día: la firma recibe ahora el mismo tratamiento que la foto, en una carpeta propia dentro del mismo ZIP, sin perder el dato. No es una corrección exigida por ninguna norma confirmada — es minimización de datos, aplicada por decisión propia mientras se espera la calificación legal. Nunca se envía al asistente de inteligencia artificial.</w:t>
      </w:r>
    </w:p>
    <w:p>
      <w:pPr>
        <w:pStyle w:val="ListParagraph"/>
        <w:numPr>
          <w:ilvl w:val="0"/>
          <w:numId w:val="2"/>
        </w:numPr>
        <w:spacing w:after="140" w:line="276"/>
      </w:pPr>
      <w:r>
        <w:rPr>
          <w:b/>
          <w:bCs/>
        </w:rPr>
        <w:t xml:space="preserve">Nunca se compara contra ninguna firma de referencia. </w:t>
      </w:r>
      <w:r>
        <w:t xml:space="preserve">Se guarda y se muestra, pero no hay ningún proceso de verificación: es evidencia de que alguien trazó algo en el dispositivo en ese momento, no una comprobación de identidad.</w:t>
      </w:r>
    </w:p>
    <w:p>
      <w:pPr>
        <w:spacing w:after="240" w:line="276"/>
      </w:pPr>
      <w:r>
        <w:t xml:space="preserve">Es sensible en un sentido distinto al de la cédula de identidad (sección 3.1): no identifica por sí sola a nadie de forma unívoca, pero su naturaleza —un trazo manuscrito capturado digitalmente— es justo lo que algunas jurisdicciones tratan como dato biométrico o de categoría especial, sin que el sistema le dé hoy ningún tratamiento reforzado frente al resto del expediente.</w:t>
      </w:r>
    </w:p>
    <w:p>
      <w:pPr>
        <w:pStyle w:val="Heading2"/>
        <w:spacing w:after="140" w:before="280"/>
      </w:pPr>
      <w:r>
        <w:t xml:space="preserve">3.5. Documentos e imágenes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shd w:fill="0F766E" w:color="auto" w:val="clear"/>
            <w:tcMar>
              <w:top w:type="dxa" w:w="90"/>
              <w:left w:type="dxa" w:w="130"/>
              <w:bottom w:type="dxa" w:w="90"/>
              <w:right w:type="dxa" w:w="130"/>
            </w:tcMar>
          </w:tcPr>
          <w:p>
            <w:pPr>
              <w:spacing w:after="0" w:line="250"/>
            </w:pPr>
            <w:r>
              <w:rPr>
                <w:b/>
                <w:bCs/>
                <w:color w:val="FFFFFF"/>
                <w:sz w:val="19"/>
                <w:szCs w:val="19"/>
              </w:rPr>
              <w:t xml:space="preserve">Contenido</w:t>
            </w:r>
          </w:p>
        </w:tc>
        <w:tc>
          <w:tcPr>
            <w:tcW w:type="dxa" w:w="3100"/>
            <w:shd w:fill="0F766E" w:color="auto" w:val="clear"/>
            <w:tcMar>
              <w:top w:type="dxa" w:w="90"/>
              <w:left w:type="dxa" w:w="130"/>
              <w:bottom w:type="dxa" w:w="90"/>
              <w:right w:type="dxa" w:w="130"/>
            </w:tcMar>
          </w:tcPr>
          <w:p>
            <w:pPr>
              <w:spacing w:after="0" w:line="250"/>
            </w:pPr>
            <w:r>
              <w:rPr>
                <w:b/>
                <w:bCs/>
                <w:color w:val="FFFFFF"/>
                <w:sz w:val="19"/>
                <w:szCs w:val="19"/>
              </w:rPr>
              <w:t xml:space="preserve">Ubicación</w:t>
            </w:r>
          </w:p>
        </w:tc>
        <w:tc>
          <w:tcPr>
            <w:tcW w:type="dxa" w:w="3026"/>
            <w:shd w:fill="0F766E" w:color="auto" w:val="clear"/>
            <w:tcMar>
              <w:top w:type="dxa" w:w="90"/>
              <w:left w:type="dxa" w:w="130"/>
              <w:bottom w:type="dxa" w:w="90"/>
              <w:right w:type="dxa" w:w="130"/>
            </w:tcMar>
          </w:tcPr>
          <w:p>
            <w:pPr>
              <w:spacing w:after="0" w:line="250"/>
            </w:pPr>
            <w:r>
              <w:rPr>
                <w:b/>
                <w:bCs/>
                <w:color w:val="FFFFFF"/>
                <w:sz w:val="19"/>
                <w:szCs w:val="19"/>
              </w:rPr>
              <w:t xml:space="preserve">Visibilidad</w:t>
            </w:r>
          </w:p>
        </w:tc>
      </w:tr>
      <w:tr>
        <w:tc>
          <w:tcPr>
            <w:tcW w:type="dxa" w:w="2900"/>
            <w:tcMar>
              <w:top w:type="dxa" w:w="90"/>
              <w:left w:type="dxa" w:w="130"/>
              <w:bottom w:type="dxa" w:w="90"/>
              <w:right w:type="dxa" w:w="130"/>
            </w:tcMar>
          </w:tcPr>
          <w:p>
            <w:pPr>
              <w:spacing w:after="0" w:line="250"/>
            </w:pPr>
            <w:r>
              <w:rPr>
                <w:sz w:val="19"/>
                <w:szCs w:val="19"/>
              </w:rPr>
              <w:t xml:space="preserve">Fotografía del paciente</w:t>
            </w:r>
          </w:p>
        </w:tc>
        <w:tc>
          <w:tcPr>
            <w:tcW w:type="dxa" w:w="3100"/>
            <w:tcMar>
              <w:top w:type="dxa" w:w="90"/>
              <w:left w:type="dxa" w:w="130"/>
              <w:bottom w:type="dxa" w:w="90"/>
              <w:right w:type="dxa" w:w="130"/>
            </w:tcMar>
          </w:tcPr>
          <w:p>
            <w:pPr>
              <w:spacing w:after="0" w:line="250"/>
            </w:pPr>
            <w:r>
              <w:rPr>
                <w:sz w:val="19"/>
                <w:szCs w:val="19"/>
              </w:rPr>
              <w:t xml:space="preserve">Base de datos</w:t>
            </w:r>
          </w:p>
        </w:tc>
        <w:tc>
          <w:tcPr>
            <w:tcW w:type="dxa" w:w="3026"/>
            <w:tcMar>
              <w:top w:type="dxa" w:w="90"/>
              <w:left w:type="dxa" w:w="130"/>
              <w:bottom w:type="dxa" w:w="90"/>
              <w:right w:type="dxa" w:w="130"/>
            </w:tcMar>
          </w:tcPr>
          <w:p>
            <w:pPr>
              <w:spacing w:after="0" w:line="250"/>
            </w:pPr>
            <w:r>
              <w:rPr>
                <w:sz w:val="19"/>
                <w:szCs w:val="19"/>
              </w:rPr>
              <w:t xml:space="preserve">Privada</w:t>
            </w:r>
          </w:p>
        </w:tc>
      </w:tr>
      <w:tr>
        <w:tc>
          <w:tcPr>
            <w:tcW w:type="dxa" w:w="2900"/>
            <w:shd w:fill="F1F5F9" w:color="auto" w:val="clear"/>
            <w:tcMar>
              <w:top w:type="dxa" w:w="90"/>
              <w:left w:type="dxa" w:w="130"/>
              <w:bottom w:type="dxa" w:w="90"/>
              <w:right w:type="dxa" w:w="130"/>
            </w:tcMar>
          </w:tcPr>
          <w:p>
            <w:pPr>
              <w:spacing w:after="0" w:line="250"/>
            </w:pPr>
            <w:r>
              <w:rPr>
                <w:sz w:val="19"/>
                <w:szCs w:val="19"/>
              </w:rPr>
              <w:t xml:space="preserve">Estudios de imagen</w:t>
            </w:r>
          </w:p>
        </w:tc>
        <w:tc>
          <w:tcPr>
            <w:tcW w:type="dxa" w:w="3100"/>
            <w:shd w:fill="F1F5F9" w:color="auto" w:val="clear"/>
            <w:tcMar>
              <w:top w:type="dxa" w:w="90"/>
              <w:left w:type="dxa" w:w="130"/>
              <w:bottom w:type="dxa" w:w="90"/>
              <w:right w:type="dxa" w:w="130"/>
            </w:tcMar>
          </w:tcPr>
          <w:p>
            <w:pPr>
              <w:spacing w:after="0" w:line="250"/>
            </w:pPr>
            <w:r>
              <w:rPr>
                <w:sz w:val="19"/>
                <w:szCs w:val="19"/>
              </w:rPr>
              <w:t xml:space="preserve">Almacenamiento de archivos</w:t>
            </w:r>
          </w:p>
        </w:tc>
        <w:tc>
          <w:tcPr>
            <w:tcW w:type="dxa" w:w="3026"/>
            <w:shd w:fill="F1F5F9" w:color="auto" w:val="clear"/>
            <w:tcMar>
              <w:top w:type="dxa" w:w="90"/>
              <w:left w:type="dxa" w:w="130"/>
              <w:bottom w:type="dxa" w:w="90"/>
              <w:right w:type="dxa" w:w="130"/>
            </w:tcMar>
          </w:tcPr>
          <w:p>
            <w:pPr>
              <w:spacing w:after="0" w:line="250"/>
            </w:pPr>
            <w:r>
              <w:rPr>
                <w:sz w:val="19"/>
                <w:szCs w:val="19"/>
              </w:rPr>
              <w:t xml:space="preserve">Privado, enlace temporal de 1 hora</w:t>
            </w:r>
          </w:p>
        </w:tc>
      </w:tr>
      <w:tr>
        <w:tc>
          <w:tcPr>
            <w:tcW w:type="dxa" w:w="2900"/>
            <w:tcMar>
              <w:top w:type="dxa" w:w="90"/>
              <w:left w:type="dxa" w:w="130"/>
              <w:bottom w:type="dxa" w:w="90"/>
              <w:right w:type="dxa" w:w="130"/>
            </w:tcMar>
          </w:tcPr>
          <w:p>
            <w:pPr>
              <w:spacing w:after="0" w:line="250"/>
            </w:pPr>
            <w:r>
              <w:rPr>
                <w:b/>
                <w:bCs/>
                <w:sz w:val="19"/>
                <w:szCs w:val="19"/>
              </w:rPr>
              <w:t xml:space="preserve">Comprobantes de pago</w:t>
            </w:r>
          </w:p>
        </w:tc>
        <w:tc>
          <w:tcPr>
            <w:tcW w:type="dxa" w:w="3100"/>
            <w:tcMar>
              <w:top w:type="dxa" w:w="90"/>
              <w:left w:type="dxa" w:w="130"/>
              <w:bottom w:type="dxa" w:w="90"/>
              <w:right w:type="dxa" w:w="130"/>
            </w:tcMar>
          </w:tcPr>
          <w:p>
            <w:pPr>
              <w:spacing w:after="0" w:line="250"/>
            </w:pPr>
            <w:r>
              <w:rPr>
                <w:sz w:val="19"/>
                <w:szCs w:val="19"/>
              </w:rPr>
              <w:t xml:space="preserve">Almacenamiento de archivos</w:t>
            </w:r>
          </w:p>
        </w:tc>
        <w:tc>
          <w:tcPr>
            <w:tcW w:type="dxa" w:w="3026"/>
            <w:tcMar>
              <w:top w:type="dxa" w:w="90"/>
              <w:left w:type="dxa" w:w="130"/>
              <w:bottom w:type="dxa" w:w="90"/>
              <w:right w:type="dxa" w:w="130"/>
            </w:tcMar>
          </w:tcPr>
          <w:p>
            <w:pPr>
              <w:spacing w:after="0" w:line="250"/>
            </w:pPr>
            <w:r>
              <w:rPr>
                <w:sz w:val="19"/>
                <w:szCs w:val="19"/>
              </w:rPr>
              <w:t xml:space="preserve">Privado, enlace temporal de 1 hora</w:t>
            </w:r>
          </w:p>
        </w:tc>
      </w:tr>
      <w:tr>
        <w:tc>
          <w:tcPr>
            <w:tcW w:type="dxa" w:w="2900"/>
            <w:shd w:fill="F1F5F9" w:color="auto" w:val="clear"/>
            <w:tcMar>
              <w:top w:type="dxa" w:w="90"/>
              <w:left w:type="dxa" w:w="130"/>
              <w:bottom w:type="dxa" w:w="90"/>
              <w:right w:type="dxa" w:w="130"/>
            </w:tcMar>
          </w:tcPr>
          <w:p>
            <w:pPr>
              <w:spacing w:after="0" w:line="250"/>
            </w:pPr>
            <w:r>
              <w:rPr>
                <w:sz w:val="19"/>
                <w:szCs w:val="19"/>
              </w:rPr>
              <w:t xml:space="preserve">Fotos del catálogo comercial</w:t>
            </w:r>
          </w:p>
        </w:tc>
        <w:tc>
          <w:tcPr>
            <w:tcW w:type="dxa" w:w="3100"/>
            <w:shd w:fill="F1F5F9" w:color="auto" w:val="clear"/>
            <w:tcMar>
              <w:top w:type="dxa" w:w="90"/>
              <w:left w:type="dxa" w:w="130"/>
              <w:bottom w:type="dxa" w:w="90"/>
              <w:right w:type="dxa" w:w="130"/>
            </w:tcMar>
          </w:tcPr>
          <w:p>
            <w:pPr>
              <w:spacing w:after="0" w:line="250"/>
            </w:pPr>
            <w:r>
              <w:rPr>
                <w:sz w:val="19"/>
                <w:szCs w:val="19"/>
              </w:rPr>
              <w:t xml:space="preserve">Almacenamiento de archivos</w:t>
            </w:r>
          </w:p>
        </w:tc>
        <w:tc>
          <w:tcPr>
            <w:tcW w:type="dxa" w:w="3026"/>
            <w:shd w:fill="F1F5F9" w:color="auto" w:val="clear"/>
            <w:tcMar>
              <w:top w:type="dxa" w:w="90"/>
              <w:left w:type="dxa" w:w="130"/>
              <w:bottom w:type="dxa" w:w="90"/>
              <w:right w:type="dxa" w:w="130"/>
            </w:tcMar>
          </w:tcPr>
          <w:p>
            <w:pPr>
              <w:spacing w:after="0" w:line="250"/>
            </w:pPr>
            <w:r>
              <w:rPr>
                <w:b/>
                <w:bCs/>
                <w:sz w:val="19"/>
                <w:szCs w:val="19"/>
              </w:rPr>
              <w:t xml:space="preserve">Público, de forma deliberada</w:t>
            </w:r>
          </w:p>
        </w:tc>
      </w:tr>
    </w:tbl>
    <w:p>
      <w:pPr>
        <w:spacing w:after="240" w:line="276"/>
      </w:pPr>
      <w:r>
        <w:rPr>
          <w:b/>
          <w:bCs/>
        </w:rPr>
        <w:t xml:space="preserve">Nota: </w:t>
      </w:r>
      <w:r>
        <w:t xml:space="preserve">los comprobantes de pago son fotografías de transferencias bancarias subidas por las clínicas. Pueden contener nombres de titulares, números de cuenta e importes. Se conservan en almacenamiento privado.</w:t>
      </w:r>
    </w:p>
    <w:p>
      <w:pPr>
        <w:pStyle w:val="Heading1"/>
        <w:spacing w:after="180" w:before="360"/>
      </w:pPr>
      <w:r>
        <w:t xml:space="preserve">4. Dónde están alojados los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shd w:fill="0F766E" w:color="auto" w:val="clear"/>
            <w:tcMar>
              <w:top w:type="dxa" w:w="90"/>
              <w:left w:type="dxa" w:w="130"/>
              <w:bottom w:type="dxa" w:w="90"/>
              <w:right w:type="dxa" w:w="130"/>
            </w:tcMar>
          </w:tcPr>
          <w:p>
            <w:pPr>
              <w:spacing w:after="0" w:line="250"/>
            </w:pPr>
            <w:r>
              <w:rPr>
                <w:b/>
                <w:bCs/>
                <w:color w:val="FFFFFF"/>
                <w:sz w:val="19"/>
                <w:szCs w:val="19"/>
              </w:rPr>
              <w:t xml:space="preserve">Componente</w:t>
            </w:r>
          </w:p>
        </w:tc>
        <w:tc>
          <w:tcPr>
            <w:tcW w:type="dxa" w:w="2200"/>
            <w:shd w:fill="0F766E" w:color="auto" w:val="clear"/>
            <w:tcMar>
              <w:top w:type="dxa" w:w="90"/>
              <w:left w:type="dxa" w:w="130"/>
              <w:bottom w:type="dxa" w:w="90"/>
              <w:right w:type="dxa" w:w="130"/>
            </w:tcMar>
          </w:tcPr>
          <w:p>
            <w:pPr>
              <w:spacing w:after="0" w:line="250"/>
            </w:pPr>
            <w:r>
              <w:rPr>
                <w:b/>
                <w:bCs/>
                <w:color w:val="FFFFFF"/>
                <w:sz w:val="19"/>
                <w:szCs w:val="19"/>
              </w:rPr>
              <w:t xml:space="preserve">Proveedor</w:t>
            </w:r>
          </w:p>
        </w:tc>
        <w:tc>
          <w:tcPr>
            <w:tcW w:type="dxa" w:w="3226"/>
            <w:shd w:fill="0F766E" w:color="auto" w:val="clear"/>
            <w:tcMar>
              <w:top w:type="dxa" w:w="90"/>
              <w:left w:type="dxa" w:w="130"/>
              <w:bottom w:type="dxa" w:w="90"/>
              <w:right w:type="dxa" w:w="130"/>
            </w:tcMar>
          </w:tcPr>
          <w:p>
            <w:pPr>
              <w:spacing w:after="0" w:line="250"/>
            </w:pPr>
            <w:r>
              <w:rPr>
                <w:b/>
                <w:bCs/>
                <w:color w:val="FFFFFF"/>
                <w:sz w:val="19"/>
                <w:szCs w:val="19"/>
              </w:rPr>
              <w:t xml:space="preserve">Ubicación</w:t>
            </w:r>
          </w:p>
        </w:tc>
      </w:tr>
      <w:tr>
        <w:tc>
          <w:tcPr>
            <w:tcW w:type="dxa" w:w="3600"/>
            <w:tcMar>
              <w:top w:type="dxa" w:w="90"/>
              <w:left w:type="dxa" w:w="130"/>
              <w:bottom w:type="dxa" w:w="90"/>
              <w:right w:type="dxa" w:w="130"/>
            </w:tcMar>
          </w:tcPr>
          <w:p>
            <w:pPr>
              <w:spacing w:after="0" w:line="250"/>
            </w:pPr>
            <w:r>
              <w:rPr>
                <w:sz w:val="19"/>
                <w:szCs w:val="19"/>
              </w:rPr>
              <w:t xml:space="preserve">Base de datos, autenticación y archivos</w:t>
            </w:r>
          </w:p>
        </w:tc>
        <w:tc>
          <w:tcPr>
            <w:tcW w:type="dxa" w:w="2200"/>
            <w:tcMar>
              <w:top w:type="dxa" w:w="90"/>
              <w:left w:type="dxa" w:w="130"/>
              <w:bottom w:type="dxa" w:w="90"/>
              <w:right w:type="dxa" w:w="130"/>
            </w:tcMar>
          </w:tcPr>
          <w:p>
            <w:pPr>
              <w:spacing w:after="0" w:line="250"/>
            </w:pPr>
            <w:r>
              <w:rPr>
                <w:sz w:val="19"/>
                <w:szCs w:val="19"/>
              </w:rPr>
              <w:t xml:space="preserve">Supabase</w:t>
            </w:r>
          </w:p>
        </w:tc>
        <w:tc>
          <w:tcPr>
            <w:tcW w:type="dxa" w:w="3226"/>
            <w:tcMar>
              <w:top w:type="dxa" w:w="90"/>
              <w:left w:type="dxa" w:w="130"/>
              <w:bottom w:type="dxa" w:w="90"/>
              <w:right w:type="dxa" w:w="130"/>
            </w:tcMar>
          </w:tcPr>
          <w:p>
            <w:pPr>
              <w:spacing w:after="0" w:line="250"/>
            </w:pPr>
            <w:r>
              <w:rPr>
                <w:sz w:val="19"/>
                <w:szCs w:val="19"/>
              </w:rPr>
              <w:t xml:space="preserve">São Paulo, Brasil</w:t>
            </w:r>
          </w:p>
        </w:tc>
      </w:tr>
      <w:tr>
        <w:tc>
          <w:tcPr>
            <w:tcW w:type="dxa" w:w="3600"/>
            <w:shd w:fill="F1F5F9" w:color="auto" w:val="clear"/>
            <w:tcMar>
              <w:top w:type="dxa" w:w="90"/>
              <w:left w:type="dxa" w:w="130"/>
              <w:bottom w:type="dxa" w:w="90"/>
              <w:right w:type="dxa" w:w="130"/>
            </w:tcMar>
          </w:tcPr>
          <w:p>
            <w:pPr>
              <w:spacing w:after="0" w:line="250"/>
            </w:pPr>
            <w:r>
              <w:rPr>
                <w:sz w:val="19"/>
                <w:szCs w:val="19"/>
              </w:rPr>
              <w:t xml:space="preserve">Aplicación web</w:t>
            </w:r>
          </w:p>
        </w:tc>
        <w:tc>
          <w:tcPr>
            <w:tcW w:type="dxa" w:w="2200"/>
            <w:shd w:fill="F1F5F9" w:color="auto" w:val="clear"/>
            <w:tcMar>
              <w:top w:type="dxa" w:w="90"/>
              <w:left w:type="dxa" w:w="130"/>
              <w:bottom w:type="dxa" w:w="90"/>
              <w:right w:type="dxa" w:w="130"/>
            </w:tcMar>
          </w:tcPr>
          <w:p>
            <w:pPr>
              <w:spacing w:after="0" w:line="250"/>
            </w:pPr>
            <w:r>
              <w:rPr>
                <w:sz w:val="19"/>
                <w:szCs w:val="19"/>
              </w:rPr>
              <w:t xml:space="preserve">Vercel</w:t>
            </w:r>
          </w:p>
        </w:tc>
        <w:tc>
          <w:tcPr>
            <w:tcW w:type="dxa" w:w="3226"/>
            <w:shd w:fill="F1F5F9" w:color="auto" w:val="clear"/>
            <w:tcMar>
              <w:top w:type="dxa" w:w="90"/>
              <w:left w:type="dxa" w:w="130"/>
              <w:bottom w:type="dxa" w:w="90"/>
              <w:right w:type="dxa" w:w="130"/>
            </w:tcMar>
          </w:tcPr>
          <w:p>
            <w:pPr>
              <w:spacing w:after="0" w:line="250"/>
            </w:pPr>
            <w:r>
              <w:rPr>
                <w:sz w:val="19"/>
                <w:szCs w:val="19"/>
              </w:rPr>
              <w:t xml:space="preserve">Estados Unidos / red global</w:t>
            </w:r>
          </w:p>
        </w:tc>
      </w:tr>
      <w:tr>
        <w:tc>
          <w:tcPr>
            <w:tcW w:type="dxa" w:w="3600"/>
            <w:tcMar>
              <w:top w:type="dxa" w:w="90"/>
              <w:left w:type="dxa" w:w="130"/>
              <w:bottom w:type="dxa" w:w="90"/>
              <w:right w:type="dxa" w:w="130"/>
            </w:tcMar>
          </w:tcPr>
          <w:p>
            <w:pPr>
              <w:spacing w:after="0" w:line="250"/>
            </w:pPr>
            <w:r>
              <w:rPr>
                <w:sz w:val="19"/>
                <w:szCs w:val="19"/>
              </w:rPr>
              <w:t xml:space="preserve">Asistente de inteligencia artificial</w:t>
            </w:r>
          </w:p>
        </w:tc>
        <w:tc>
          <w:tcPr>
            <w:tcW w:type="dxa" w:w="2200"/>
            <w:tcMar>
              <w:top w:type="dxa" w:w="90"/>
              <w:left w:type="dxa" w:w="130"/>
              <w:bottom w:type="dxa" w:w="90"/>
              <w:right w:type="dxa" w:w="130"/>
            </w:tcMar>
          </w:tcPr>
          <w:p>
            <w:pPr>
              <w:spacing w:after="0" w:line="250"/>
            </w:pPr>
            <w:r>
              <w:rPr>
                <w:sz w:val="19"/>
                <w:szCs w:val="19"/>
              </w:rPr>
              <w:t xml:space="preserve">Anthropic</w:t>
            </w:r>
          </w:p>
        </w:tc>
        <w:tc>
          <w:tcPr>
            <w:tcW w:type="dxa" w:w="3226"/>
            <w:tcMar>
              <w:top w:type="dxa" w:w="90"/>
              <w:left w:type="dxa" w:w="130"/>
              <w:bottom w:type="dxa" w:w="90"/>
              <w:right w:type="dxa" w:w="130"/>
            </w:tcMar>
          </w:tcPr>
          <w:p>
            <w:pPr>
              <w:spacing w:after="0" w:line="250"/>
            </w:pPr>
            <w:r>
              <w:rPr>
                <w:sz w:val="19"/>
                <w:szCs w:val="19"/>
              </w:rPr>
              <w:t xml:space="preserve">Estados Unidos</w:t>
            </w:r>
          </w:p>
        </w:tc>
      </w:tr>
    </w:tbl>
    <w:p>
      <w:pPr>
        <w:spacing w:after="100" w:line="276"/>
      </w:pPr>
      <w:r>
        <w:rPr>
          <w:b/>
          <w:bCs/>
        </w:rPr>
        <w:t xml:space="preserve">Existe transferencia internacional de datos personales en los tres casos.</w:t>
      </w:r>
    </w:p>
    <w:p>
      <w:pPr>
        <w:spacing w:after="140" w:line="276"/>
      </w:pPr>
      <w:r>
        <w:rPr>
          <w:b/>
          <w:bCs/>
        </w:rPr>
        <w:t xml:space="preserve">Sobre la ubicación de la base de datos: </w:t>
      </w:r>
      <w:r>
        <w:t xml:space="preserve">confirmada por el responsable del producto. São Paulo es la única región sudamericana que ofrece el proveedor, elegida por proximidad a Bolivia. No pudo verificarse desde el entorno de revisión, ya que las cabeceras de red devuelven el nodo de distribución de contenidos situado en La Paz y no la ubicación real de la base de datos.</w:t>
      </w:r>
    </w:p>
    <w:p>
      <w:pPr>
        <w:shd w:fill="FEF2F2" w:color="auto" w:val="clear"/>
        <w:spacing w:after="80" w:line="276"/>
      </w:pPr>
      <w:r>
        <w:rPr>
          <w:b/>
          <w:bCs/>
          <w:color w:val="B91C1C"/>
          <w:sz w:val="22"/>
          <w:szCs w:val="22"/>
        </w:rPr>
        <w:t xml:space="preserve">Recomendación para el expediente</w:t>
      </w:r>
    </w:p>
    <w:p>
      <w:pPr>
        <w:shd w:fill="FEF2F2" w:color="auto" w:val="clear"/>
        <w:spacing w:after="200" w:line="276"/>
      </w:pPr>
      <w:r>
        <w:t xml:space="preserve">Conviene incorporar una captura de pantalla del panel del proveedor (Proyecto → Configuración → General), donde figura la región. Aporta evidencia primaria en lugar de una declaración de parte.</w:t>
      </w:r>
    </w:p>
    <w:p>
      <w:pPr>
        <w:pStyle w:val="Heading1"/>
        <w:spacing w:after="180" w:before="360"/>
      </w:pPr>
      <w:r>
        <w:t xml:space="preserve">5. Qué se envía al proveedor de inteligencia artificial</w:t>
      </w:r>
    </w:p>
    <w:p>
      <w:pPr>
        <w:spacing w:after="140" w:line="276"/>
      </w:pPr>
      <w:r>
        <w:t xml:space="preserve">El sistema incorpora un asistente que ayuda al personal a redactar recordatorios y a consultar información de su propia clínica. Lo que se transmite está delimitado en un único punto del código y ha sido verificado:</w:t>
      </w:r>
    </w:p>
    <w:p>
      <w:pPr>
        <w:pStyle w:val="ListParagraph"/>
        <w:numPr>
          <w:ilvl w:val="0"/>
          <w:numId w:val="2"/>
        </w:numPr>
        <w:spacing w:after="90" w:line="276"/>
      </w:pPr>
      <w:r>
        <w:t xml:space="preserve">Se envía: nombre de la mascota, especie, nombre de pila del dueño (sin apellidos), fecha y tipo de procedimiento. Cuando el personal consulta sobre un paciente concreto, además su historial clínico cerrado y sus recetas.</w:t>
      </w:r>
    </w:p>
    <w:p>
      <w:pPr>
        <w:pStyle w:val="ListParagraph"/>
        <w:numPr>
          <w:ilvl w:val="0"/>
          <w:numId w:val="2"/>
        </w:numPr>
        <w:spacing w:after="90" w:line="276"/>
      </w:pPr>
      <w:r>
        <w:t xml:space="preserve">No se envía en ningún caso: cédula de identidad, teléfono, correo electrónico ni fotografías.</w:t>
      </w:r>
    </w:p>
    <w:p>
      <w:pPr>
        <w:spacing w:after="240" w:line="276"/>
      </w:pPr>
      <w:r>
        <w:rPr>
          <w:b/>
          <w:bCs/>
        </w:rPr>
        <w:t xml:space="preserve">Esta separación está implementada en el sistema, no es una declaración de intenciones: </w:t>
      </w:r>
      <w:r>
        <w:t xml:space="preserve">las funciones que el asistente puede invocar forman una lista cerrada de solo lectura, y ninguna devuelve esos campos.</w:t>
      </w:r>
    </w:p>
    <w:p>
      <w:r>
        <w:br w:type="page"/>
      </w:r>
    </w:p>
    <w:p>
      <w:pPr>
        <w:pStyle w:val="Heading1"/>
        <w:spacing w:after="180" w:before="360"/>
      </w:pPr>
      <w:r>
        <w:t xml:space="preserve">6. Medidas técnicas existentes</w:t>
      </w:r>
    </w:p>
    <w:p>
      <w:pPr>
        <w:spacing w:after="140" w:line="276"/>
      </w:pPr>
      <w:r>
        <w:t xml:space="preserve">Todas las siguientes fueron verificadas durante esta revisión, la mayoría contra el sistema en producción.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shd w:fill="0F766E" w:color="auto" w:val="clear"/>
            <w:tcMar>
              <w:top w:type="dxa" w:w="90"/>
              <w:left w:type="dxa" w:w="130"/>
              <w:bottom w:type="dxa" w:w="90"/>
              <w:right w:type="dxa" w:w="130"/>
            </w:tcMar>
          </w:tcPr>
          <w:p>
            <w:pPr>
              <w:spacing w:after="0" w:line="250"/>
            </w:pPr>
            <w:r>
              <w:rPr>
                <w:b/>
                <w:bCs/>
                <w:color w:val="FFFFFF"/>
                <w:sz w:val="19"/>
                <w:szCs w:val="19"/>
              </w:rPr>
              <w:t xml:space="preserve">Medida</w:t>
            </w:r>
          </w:p>
        </w:tc>
        <w:tc>
          <w:tcPr>
            <w:tcW w:type="dxa" w:w="4726"/>
            <w:shd w:fill="0F766E" w:color="auto" w:val="clear"/>
            <w:tcMar>
              <w:top w:type="dxa" w:w="90"/>
              <w:left w:type="dxa" w:w="130"/>
              <w:bottom w:type="dxa" w:w="90"/>
              <w:right w:type="dxa" w:w="130"/>
            </w:tcMar>
          </w:tcPr>
          <w:p>
            <w:pPr>
              <w:spacing w:after="0" w:line="250"/>
            </w:pPr>
            <w:r>
              <w:rPr>
                <w:b/>
                <w:bCs/>
                <w:color w:val="FFFFFF"/>
                <w:sz w:val="19"/>
                <w:szCs w:val="19"/>
              </w:rPr>
              <w:t xml:space="preserve">Estado</w:t>
            </w:r>
          </w:p>
        </w:tc>
      </w:tr>
      <w:tr>
        <w:tc>
          <w:tcPr>
            <w:tcW w:type="dxa" w:w="4300"/>
            <w:tcMar>
              <w:top w:type="dxa" w:w="90"/>
              <w:left w:type="dxa" w:w="130"/>
              <w:bottom w:type="dxa" w:w="90"/>
              <w:right w:type="dxa" w:w="130"/>
            </w:tcMar>
          </w:tcPr>
          <w:p>
            <w:pPr>
              <w:spacing w:after="0" w:line="250"/>
            </w:pPr>
            <w:r>
              <w:rPr>
                <w:sz w:val="19"/>
                <w:szCs w:val="19"/>
              </w:rPr>
              <w:t xml:space="preserve">Aislamiento entre clínicas</w:t>
            </w:r>
          </w:p>
        </w:tc>
        <w:tc>
          <w:tcPr>
            <w:tcW w:type="dxa" w:w="4726"/>
            <w:tcMar>
              <w:top w:type="dxa" w:w="90"/>
              <w:left w:type="dxa" w:w="130"/>
              <w:bottom w:type="dxa" w:w="90"/>
              <w:right w:type="dxa" w:w="130"/>
            </w:tcMar>
          </w:tcPr>
          <w:p>
            <w:pPr>
              <w:spacing w:after="0" w:line="250"/>
            </w:pPr>
            <w:r>
              <w:rPr>
                <w:sz w:val="19"/>
                <w:szCs w:val="19"/>
              </w:rPr>
              <w:t xml:space="preserve">Verificado. Impuesto en la base de datos, no en la pantalla</w:t>
            </w:r>
          </w:p>
        </w:tc>
      </w:tr>
      <w:tr>
        <w:tc>
          <w:tcPr>
            <w:tcW w:type="dxa" w:w="4300"/>
            <w:shd w:fill="F1F5F9" w:color="auto" w:val="clear"/>
            <w:tcMar>
              <w:top w:type="dxa" w:w="90"/>
              <w:left w:type="dxa" w:w="130"/>
              <w:bottom w:type="dxa" w:w="90"/>
              <w:right w:type="dxa" w:w="130"/>
            </w:tcMar>
          </w:tcPr>
          <w:p>
            <w:pPr>
              <w:spacing w:after="0" w:line="250"/>
            </w:pPr>
            <w:r>
              <w:rPr>
                <w:sz w:val="19"/>
                <w:szCs w:val="19"/>
              </w:rPr>
              <w:t xml:space="preserve">El operador no puede ver datos clínicos de ninguna clínica</w:t>
            </w:r>
          </w:p>
        </w:tc>
        <w:tc>
          <w:tcPr>
            <w:tcW w:type="dxa" w:w="4726"/>
            <w:shd w:fill="F1F5F9" w:color="auto" w:val="clear"/>
            <w:tcMar>
              <w:top w:type="dxa" w:w="90"/>
              <w:left w:type="dxa" w:w="130"/>
              <w:bottom w:type="dxa" w:w="90"/>
              <w:right w:type="dxa" w:w="130"/>
            </w:tcMar>
          </w:tcPr>
          <w:p>
            <w:pPr>
              <w:spacing w:after="0" w:line="250"/>
            </w:pPr>
            <w:r>
              <w:rPr>
                <w:sz w:val="19"/>
                <w:szCs w:val="19"/>
              </w:rPr>
              <w:t xml:space="preserve">Verificado en producción</w:t>
            </w:r>
          </w:p>
        </w:tc>
      </w:tr>
      <w:tr>
        <w:tc>
          <w:tcPr>
            <w:tcW w:type="dxa" w:w="4300"/>
            <w:tcMar>
              <w:top w:type="dxa" w:w="90"/>
              <w:left w:type="dxa" w:w="130"/>
              <w:bottom w:type="dxa" w:w="90"/>
              <w:right w:type="dxa" w:w="130"/>
            </w:tcMar>
          </w:tcPr>
          <w:p>
            <w:pPr>
              <w:spacing w:after="0" w:line="250"/>
            </w:pPr>
            <w:r>
              <w:rPr>
                <w:sz w:val="19"/>
                <w:szCs w:val="19"/>
              </w:rPr>
              <w:t xml:space="preserve">Segundo factor obligatorio para la cuenta de operador</w:t>
            </w:r>
          </w:p>
        </w:tc>
        <w:tc>
          <w:tcPr>
            <w:tcW w:type="dxa" w:w="4726"/>
            <w:tcMar>
              <w:top w:type="dxa" w:w="90"/>
              <w:left w:type="dxa" w:w="130"/>
              <w:bottom w:type="dxa" w:w="90"/>
              <w:right w:type="dxa" w:w="130"/>
            </w:tcMar>
          </w:tcPr>
          <w:p>
            <w:pPr>
              <w:spacing w:after="0" w:line="250"/>
            </w:pPr>
            <w:r>
              <w:rPr>
                <w:sz w:val="19"/>
                <w:szCs w:val="19"/>
              </w:rPr>
              <w:t xml:space="preserve">Verificado. Exigido por la base de datos</w:t>
            </w:r>
          </w:p>
        </w:tc>
      </w:tr>
      <w:tr>
        <w:tc>
          <w:tcPr>
            <w:tcW w:type="dxa" w:w="4300"/>
            <w:shd w:fill="F1F5F9" w:color="auto" w:val="clear"/>
            <w:tcMar>
              <w:top w:type="dxa" w:w="90"/>
              <w:left w:type="dxa" w:w="130"/>
              <w:bottom w:type="dxa" w:w="90"/>
              <w:right w:type="dxa" w:w="130"/>
            </w:tcMar>
          </w:tcPr>
          <w:p>
            <w:pPr>
              <w:spacing w:after="0" w:line="250"/>
            </w:pPr>
            <w:r>
              <w:rPr>
                <w:sz w:val="19"/>
                <w:szCs w:val="19"/>
              </w:rPr>
              <w:t xml:space="preserve">Cifrado de las comunicaciones</w:t>
            </w:r>
          </w:p>
        </w:tc>
        <w:tc>
          <w:tcPr>
            <w:tcW w:type="dxa" w:w="4726"/>
            <w:shd w:fill="F1F5F9" w:color="auto" w:val="clear"/>
            <w:tcMar>
              <w:top w:type="dxa" w:w="90"/>
              <w:left w:type="dxa" w:w="130"/>
              <w:bottom w:type="dxa" w:w="90"/>
              <w:right w:type="dxa" w:w="130"/>
            </w:tcMar>
          </w:tcPr>
          <w:p>
            <w:pPr>
              <w:spacing w:after="0" w:line="250"/>
            </w:pPr>
            <w:r>
              <w:rPr>
                <w:sz w:val="19"/>
                <w:szCs w:val="19"/>
              </w:rPr>
              <w:t xml:space="preserve">Verificado (HTTPS en todo momento)</w:t>
            </w:r>
          </w:p>
        </w:tc>
      </w:tr>
      <w:tr>
        <w:tc>
          <w:tcPr>
            <w:tcW w:type="dxa" w:w="4300"/>
            <w:tcMar>
              <w:top w:type="dxa" w:w="90"/>
              <w:left w:type="dxa" w:w="130"/>
              <w:bottom w:type="dxa" w:w="90"/>
              <w:right w:type="dxa" w:w="130"/>
            </w:tcMar>
          </w:tcPr>
          <w:p>
            <w:pPr>
              <w:spacing w:after="0" w:line="250"/>
            </w:pPr>
            <w:r>
              <w:rPr>
                <w:b/>
                <w:bCs/>
                <w:sz w:val="19"/>
                <w:szCs w:val="19"/>
              </w:rPr>
              <w:t xml:space="preserve">Cifrado del almacenamiento en reposo</w:t>
            </w:r>
          </w:p>
        </w:tc>
        <w:tc>
          <w:tcPr>
            <w:tcW w:type="dxa" w:w="4726"/>
            <w:tcMar>
              <w:top w:type="dxa" w:w="90"/>
              <w:left w:type="dxa" w:w="130"/>
              <w:bottom w:type="dxa" w:w="90"/>
              <w:right w:type="dxa" w:w="130"/>
            </w:tcMar>
          </w:tcPr>
          <w:p>
            <w:pPr>
              <w:spacing w:after="0" w:line="250"/>
            </w:pPr>
            <w:r>
              <w:rPr>
                <w:b/>
                <w:bCs/>
                <w:color w:val="B91C1C"/>
                <w:sz w:val="19"/>
                <w:szCs w:val="19"/>
              </w:rPr>
              <w:t xml:space="preserve">Nunca verificado. Es una propiedad del proveedor</w:t>
            </w:r>
          </w:p>
        </w:tc>
      </w:tr>
      <w:tr>
        <w:tc>
          <w:tcPr>
            <w:tcW w:type="dxa" w:w="4300"/>
            <w:shd w:fill="F1F5F9" w:color="auto" w:val="clear"/>
            <w:tcMar>
              <w:top w:type="dxa" w:w="90"/>
              <w:left w:type="dxa" w:w="130"/>
              <w:bottom w:type="dxa" w:w="90"/>
              <w:right w:type="dxa" w:w="130"/>
            </w:tcMar>
          </w:tcPr>
          <w:p>
            <w:pPr>
              <w:spacing w:after="0" w:line="250"/>
            </w:pPr>
            <w:r>
              <w:rPr>
                <w:sz w:val="19"/>
                <w:szCs w:val="19"/>
              </w:rPr>
              <w:t xml:space="preserve">Inmutabilidad del historial frente a modificación</w:t>
            </w:r>
          </w:p>
        </w:tc>
        <w:tc>
          <w:tcPr>
            <w:tcW w:type="dxa" w:w="4726"/>
            <w:shd w:fill="F1F5F9" w:color="auto" w:val="clear"/>
            <w:tcMar>
              <w:top w:type="dxa" w:w="90"/>
              <w:left w:type="dxa" w:w="130"/>
              <w:bottom w:type="dxa" w:w="90"/>
              <w:right w:type="dxa" w:w="130"/>
            </w:tcMar>
          </w:tcPr>
          <w:p>
            <w:pPr>
              <w:spacing w:after="0" w:line="250"/>
            </w:pPr>
            <w:r>
              <w:rPr>
                <w:sz w:val="19"/>
                <w:szCs w:val="19"/>
              </w:rPr>
              <w:t xml:space="preserve">Verificado</w:t>
            </w:r>
          </w:p>
        </w:tc>
      </w:tr>
      <w:tr>
        <w:tc>
          <w:tcPr>
            <w:tcW w:type="dxa" w:w="4300"/>
            <w:tcMar>
              <w:top w:type="dxa" w:w="90"/>
              <w:left w:type="dxa" w:w="130"/>
              <w:bottom w:type="dxa" w:w="90"/>
              <w:right w:type="dxa" w:w="130"/>
            </w:tcMar>
          </w:tcPr>
          <w:p>
            <w:pPr>
              <w:spacing w:after="0" w:line="250"/>
            </w:pPr>
            <w:r>
              <w:rPr>
                <w:sz w:val="19"/>
                <w:szCs w:val="19"/>
              </w:rPr>
              <w:t xml:space="preserve">Las contraseñas nunca llegan a la aplicación</w:t>
            </w:r>
          </w:p>
        </w:tc>
        <w:tc>
          <w:tcPr>
            <w:tcW w:type="dxa" w:w="4726"/>
            <w:tcMar>
              <w:top w:type="dxa" w:w="90"/>
              <w:left w:type="dxa" w:w="130"/>
              <w:bottom w:type="dxa" w:w="90"/>
              <w:right w:type="dxa" w:w="130"/>
            </w:tcMar>
          </w:tcPr>
          <w:p>
            <w:pPr>
              <w:spacing w:after="0" w:line="250"/>
            </w:pPr>
            <w:r>
              <w:rPr>
                <w:sz w:val="19"/>
                <w:szCs w:val="19"/>
              </w:rPr>
              <w:t xml:space="preserve">Verificado</w:t>
            </w:r>
          </w:p>
        </w:tc>
      </w:tr>
      <w:tr>
        <w:tc>
          <w:tcPr>
            <w:tcW w:type="dxa" w:w="4300"/>
            <w:shd w:fill="F1F5F9" w:color="auto" w:val="clear"/>
            <w:tcMar>
              <w:top w:type="dxa" w:w="90"/>
              <w:left w:type="dxa" w:w="130"/>
              <w:bottom w:type="dxa" w:w="90"/>
              <w:right w:type="dxa" w:w="130"/>
            </w:tcMar>
          </w:tcPr>
          <w:p>
            <w:pPr>
              <w:spacing w:after="0" w:line="250"/>
            </w:pPr>
            <w:r>
              <w:rPr>
                <w:sz w:val="19"/>
                <w:szCs w:val="19"/>
              </w:rPr>
              <w:t xml:space="preserve">Archivos sensibles en almacenamiento privado</w:t>
            </w:r>
          </w:p>
        </w:tc>
        <w:tc>
          <w:tcPr>
            <w:tcW w:type="dxa" w:w="4726"/>
            <w:shd w:fill="F1F5F9" w:color="auto" w:val="clear"/>
            <w:tcMar>
              <w:top w:type="dxa" w:w="90"/>
              <w:left w:type="dxa" w:w="130"/>
              <w:bottom w:type="dxa" w:w="90"/>
              <w:right w:type="dxa" w:w="130"/>
            </w:tcMar>
          </w:tcPr>
          <w:p>
            <w:pPr>
              <w:spacing w:after="0" w:line="250"/>
            </w:pPr>
            <w:r>
              <w:rPr>
                <w:sz w:val="19"/>
                <w:szCs w:val="19"/>
              </w:rPr>
              <w:t xml:space="preserve">Verificado</w:t>
            </w:r>
          </w:p>
        </w:tc>
      </w:tr>
    </w:tbl>
    <w:p>
      <w:pPr>
        <w:spacing w:after="240" w:line="276"/>
      </w:pPr>
      <w:r>
        <w:t xml:space="preserve">La política de privacidad ya describe el cifrado en reposo como una propiedad del proveedor y no como una garantía propia, lo cual es correcto y conviene mantener.</w:t>
      </w:r>
    </w:p>
    <w:p>
      <w:pPr>
        <w:pStyle w:val="Heading2"/>
        <w:spacing w:after="140" w:before="280"/>
      </w:pPr>
      <w:r>
        <w:t xml:space="preserve">6.1. Los controles pueden desactivarse en silencio — incidente del 8 de septiembre de 2026</w:t>
      </w:r>
    </w:p>
    <w:p>
      <w:pPr>
        <w:spacing w:after="140" w:line="276"/>
      </w:pPr>
      <w:r>
        <w:t xml:space="preserve">Se declara por transparencia y porque resulta material para valorar si las medidas son adecuadas, aun cuando no se produjo filtración alguna de datos.</w:t>
      </w:r>
    </w:p>
    <w:p>
      <w:pPr>
        <w:spacing w:after="140" w:line="276"/>
      </w:pPr>
      <w:r>
        <w:rPr>
          <w:b/>
          <w:bCs/>
        </w:rPr>
        <w:t xml:space="preserve">Qué ocurrió: </w:t>
      </w:r>
      <w:r>
        <w:t xml:space="preserve">durante esta misma revisión se reejecutó por error una actualización antigua de la base de datos. Al hacerlo quedaron desactivados </w:t>
      </w:r>
      <w:r>
        <w:rPr>
          <w:b/>
          <w:bCs/>
        </w:rPr>
        <w:t xml:space="preserve">dos controles de seguridad</w:t>
      </w:r>
      <w:r>
        <w:t xml:space="preserve"> que llevaban semanas operativos: el segundo factor de autenticación obligatorio de la cuenta de operador, y la restricción de acceso aplicable a clínicas suspendidas. Permanecieron inoperativos durante varias horas.</w:t>
      </w:r>
    </w:p>
    <w:p>
      <w:pPr>
        <w:spacing w:after="140" w:line="276"/>
      </w:pPr>
      <w:r>
        <w:rPr>
          <w:b/>
          <w:bCs/>
        </w:rPr>
        <w:t xml:space="preserve">Por qué no se advirtió: </w:t>
      </w:r>
      <w:r>
        <w:t xml:space="preserve">no se produjo ningún error. El sistema continuó funcionando con normalidad, y la pantalla que solicita el código de verificación seguía mostrándose igual, dado que dicha pantalla es una ayuda al usuario y no la barrera efectiva. Nada en la aplicación lo evidenciaba.</w:t>
      </w:r>
    </w:p>
    <w:p>
      <w:pPr>
        <w:spacing w:after="140" w:line="276"/>
      </w:pPr>
      <w:r>
        <w:t xml:space="preserve">Alcance real, sin exagerarlo ni minimizarlo:</w:t>
      </w:r>
    </w:p>
    <w:p>
      <w:pPr>
        <w:pStyle w:val="ListParagraph"/>
        <w:numPr>
          <w:ilvl w:val="0"/>
          <w:numId w:val="2"/>
        </w:numPr>
        <w:spacing w:after="90" w:line="276"/>
      </w:pPr>
      <w:r>
        <w:t xml:space="preserve">No se produjo acceso indebido ni filtración de datos entre clínicas. El aislamiento entre clínicas permaneció intacto en todo momento: ninguna cuenta pudo acceder a datos de otra.</w:t>
      </w:r>
    </w:p>
    <w:p>
      <w:pPr>
        <w:pStyle w:val="ListParagraph"/>
        <w:numPr>
          <w:ilvl w:val="0"/>
          <w:numId w:val="2"/>
        </w:numPr>
        <w:spacing w:after="90" w:line="276"/>
      </w:pPr>
      <w:r>
        <w:t xml:space="preserve">Lo que quedó temporalmente sin protección fue el segundo factor de la cuenta de operador y la restricción de acceso a clínicas suspendidas.</w:t>
      </w:r>
    </w:p>
    <w:p>
      <w:pPr>
        <w:pStyle w:val="ListParagraph"/>
        <w:numPr>
          <w:ilvl w:val="0"/>
          <w:numId w:val="2"/>
        </w:numPr>
        <w:spacing w:after="90" w:line="276"/>
      </w:pPr>
      <w:r>
        <w:t xml:space="preserve">Se detectó porque se estaba verificando el estado real del sistema, no porque este emitiera aviso alguno.</w:t>
      </w:r>
    </w:p>
    <w:p>
      <w:pPr>
        <w:spacing w:after="140" w:line="276"/>
      </w:pPr>
      <w:r>
        <w:rPr>
          <w:b/>
          <w:bCs/>
        </w:rPr>
        <w:t xml:space="preserve">Medidas adoptadas: </w:t>
      </w:r>
      <w:r>
        <w:t xml:space="preserve">ambos controles se restauraron el mismo día y se verificó su funcionamiento por las dos vías afectadas. Adicionalmente se implantó un </w:t>
      </w:r>
      <w:r>
        <w:rPr>
          <w:b/>
          <w:bCs/>
        </w:rPr>
        <w:t xml:space="preserve">procedimiento de comprobación</w:t>
      </w:r>
      <w:r>
        <w:t xml:space="preserve"> que contrasta el estado real de las protecciones con el estado que deberían presentar y devuelve resultado inmediato. Ejecutado tras la reparación, no arrojó discrepancias.</w:t>
      </w:r>
    </w:p>
    <w:p>
      <w:pPr>
        <w:spacing w:after="240" w:line="276"/>
      </w:pPr>
      <w:r>
        <w:rPr>
          <w:b/>
          <w:bCs/>
        </w:rPr>
        <w:t xml:space="preserve">Motivo de su inclusión en este informe: </w:t>
      </w:r>
      <w:r>
        <w:t xml:space="preserve">una relación de medidas de seguridad carece de valor si dichas medidas pueden desactivarse sin dejar rastro. La cuestión relevante no es únicamente qué controles existen, sino cómo se acredita que siguen activos; hasta la fecha del incidente no existía respuesta a lo segundo.</w:t>
      </w:r>
    </w:p>
    <w:p>
      <w:pPr>
        <w:pStyle w:val="Heading1"/>
        <w:spacing w:after="180" w:before="360"/>
      </w:pPr>
      <w:r>
        <w:t xml:space="preserve">7. Ejercicio de derechos: situación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26"/>
      </w:tblGrid>
      <w:tr>
        <w:trPr>
          <w:tblHeader/>
        </w:trPr>
        <w:tc>
          <w:tcPr>
            <w:tcW w:type="dxa" w:w="2100"/>
            <w:shd w:fill="0F766E" w:color="auto" w:val="clear"/>
            <w:tcMar>
              <w:top w:type="dxa" w:w="90"/>
              <w:left w:type="dxa" w:w="130"/>
              <w:bottom w:type="dxa" w:w="90"/>
              <w:right w:type="dxa" w:w="130"/>
            </w:tcMar>
          </w:tcPr>
          <w:p>
            <w:pPr>
              <w:spacing w:after="0" w:line="250"/>
            </w:pPr>
            <w:r>
              <w:rPr>
                <w:b/>
                <w:bCs/>
                <w:color w:val="FFFFFF"/>
                <w:sz w:val="19"/>
                <w:szCs w:val="19"/>
              </w:rPr>
              <w:t xml:space="preserve">Derecho</w:t>
            </w:r>
          </w:p>
        </w:tc>
        <w:tc>
          <w:tcPr>
            <w:tcW w:type="dxa" w:w="3800"/>
            <w:shd w:fill="0F766E" w:color="auto" w:val="clear"/>
            <w:tcMar>
              <w:top w:type="dxa" w:w="90"/>
              <w:left w:type="dxa" w:w="130"/>
              <w:bottom w:type="dxa" w:w="90"/>
              <w:right w:type="dxa" w:w="130"/>
            </w:tcMar>
          </w:tcPr>
          <w:p>
            <w:pPr>
              <w:spacing w:after="0" w:line="250"/>
            </w:pPr>
            <w:r>
              <w:rPr>
                <w:b/>
                <w:bCs/>
                <w:color w:val="FFFFFF"/>
                <w:sz w:val="19"/>
                <w:szCs w:val="19"/>
              </w:rPr>
              <w:t xml:space="preserve">Dueño de mascota</w:t>
            </w:r>
          </w:p>
        </w:tc>
        <w:tc>
          <w:tcPr>
            <w:tcW w:type="dxa" w:w="3126"/>
            <w:shd w:fill="0F766E" w:color="auto" w:val="clear"/>
            <w:tcMar>
              <w:top w:type="dxa" w:w="90"/>
              <w:left w:type="dxa" w:w="130"/>
              <w:bottom w:type="dxa" w:w="90"/>
              <w:right w:type="dxa" w:w="130"/>
            </w:tcMar>
          </w:tcPr>
          <w:p>
            <w:pPr>
              <w:spacing w:after="0" w:line="250"/>
            </w:pPr>
            <w:r>
              <w:rPr>
                <w:b/>
                <w:bCs/>
                <w:color w:val="FFFFFF"/>
                <w:sz w:val="19"/>
                <w:szCs w:val="19"/>
              </w:rPr>
              <w:t xml:space="preserve">Clínica</w:t>
            </w:r>
          </w:p>
        </w:tc>
      </w:tr>
      <w:tr>
        <w:tc>
          <w:tcPr>
            <w:tcW w:type="dxa" w:w="2100"/>
            <w:tcMar>
              <w:top w:type="dxa" w:w="90"/>
              <w:left w:type="dxa" w:w="130"/>
              <w:bottom w:type="dxa" w:w="90"/>
              <w:right w:type="dxa" w:w="130"/>
            </w:tcMar>
          </w:tcPr>
          <w:p>
            <w:pPr>
              <w:spacing w:after="0" w:line="250"/>
            </w:pPr>
            <w:r>
              <w:rPr>
                <w:sz w:val="19"/>
                <w:szCs w:val="19"/>
              </w:rPr>
              <w:t xml:space="preserve">Acceso</w:t>
            </w:r>
          </w:p>
        </w:tc>
        <w:tc>
          <w:tcPr>
            <w:tcW w:type="dxa" w:w="3800"/>
            <w:tcMar>
              <w:top w:type="dxa" w:w="90"/>
              <w:left w:type="dxa" w:w="130"/>
              <w:bottom w:type="dxa" w:w="90"/>
              <w:right w:type="dxa" w:w="130"/>
            </w:tcMar>
          </w:tcPr>
          <w:p>
            <w:pPr>
              <w:spacing w:after="0" w:line="250"/>
            </w:pPr>
            <w:r>
              <w:rPr>
                <w:sz w:val="19"/>
                <w:szCs w:val="19"/>
              </w:rPr>
              <w:t xml:space="preserve">Sí. Portal propio, consulta y descarga</w:t>
            </w:r>
          </w:p>
        </w:tc>
        <w:tc>
          <w:tcPr>
            <w:tcW w:type="dxa" w:w="3126"/>
            <w:tcMar>
              <w:top w:type="dxa" w:w="90"/>
              <w:left w:type="dxa" w:w="130"/>
              <w:bottom w:type="dxa" w:w="90"/>
              <w:right w:type="dxa" w:w="130"/>
            </w:tcMar>
          </w:tcPr>
          <w:p>
            <w:pPr>
              <w:spacing w:after="0" w:line="250"/>
            </w:pPr>
            <w:r>
              <w:rPr>
                <w:sz w:val="19"/>
                <w:szCs w:val="19"/>
              </w:rPr>
              <w:t xml:space="preserve">Sí. Exportación completa</w:t>
            </w:r>
          </w:p>
        </w:tc>
      </w:tr>
      <w:tr>
        <w:tc>
          <w:tcPr>
            <w:tcW w:type="dxa" w:w="2100"/>
            <w:shd w:fill="F1F5F9" w:color="auto" w:val="clear"/>
            <w:tcMar>
              <w:top w:type="dxa" w:w="90"/>
              <w:left w:type="dxa" w:w="130"/>
              <w:bottom w:type="dxa" w:w="90"/>
              <w:right w:type="dxa" w:w="130"/>
            </w:tcMar>
          </w:tcPr>
          <w:p>
            <w:pPr>
              <w:spacing w:after="0" w:line="250"/>
            </w:pPr>
            <w:r>
              <w:rPr>
                <w:sz w:val="19"/>
                <w:szCs w:val="19"/>
              </w:rPr>
              <w:t xml:space="preserve">Rectificación</w:t>
            </w:r>
          </w:p>
        </w:tc>
        <w:tc>
          <w:tcPr>
            <w:tcW w:type="dxa" w:w="3800"/>
            <w:shd w:fill="F1F5F9" w:color="auto" w:val="clear"/>
            <w:tcMar>
              <w:top w:type="dxa" w:w="90"/>
              <w:left w:type="dxa" w:w="130"/>
              <w:bottom w:type="dxa" w:w="90"/>
              <w:right w:type="dxa" w:w="130"/>
            </w:tcMar>
          </w:tcPr>
          <w:p>
            <w:pPr>
              <w:spacing w:after="0" w:line="250"/>
            </w:pPr>
            <w:r>
              <w:rPr>
                <w:sz w:val="19"/>
                <w:szCs w:val="19"/>
              </w:rPr>
              <w:t xml:space="preserve">Indirecto: debe solicitarlo a su clínica</w:t>
            </w:r>
          </w:p>
        </w:tc>
        <w:tc>
          <w:tcPr>
            <w:tcW w:type="dxa" w:w="3126"/>
            <w:shd w:fill="F1F5F9" w:color="auto" w:val="clear"/>
            <w:tcMar>
              <w:top w:type="dxa" w:w="90"/>
              <w:left w:type="dxa" w:w="130"/>
              <w:bottom w:type="dxa" w:w="90"/>
              <w:right w:type="dxa" w:w="130"/>
            </w:tcMar>
          </w:tcPr>
          <w:p>
            <w:pPr>
              <w:spacing w:after="0" w:line="250"/>
            </w:pPr>
            <w:r>
              <w:rPr>
                <w:sz w:val="19"/>
                <w:szCs w:val="19"/>
              </w:rPr>
              <w:t xml:space="preserve">Directo</w:t>
            </w:r>
          </w:p>
        </w:tc>
      </w:tr>
      <w:tr>
        <w:tc>
          <w:tcPr>
            <w:tcW w:type="dxa" w:w="2100"/>
            <w:tcMar>
              <w:top w:type="dxa" w:w="90"/>
              <w:left w:type="dxa" w:w="130"/>
              <w:bottom w:type="dxa" w:w="90"/>
              <w:right w:type="dxa" w:w="130"/>
            </w:tcMar>
          </w:tcPr>
          <w:p>
            <w:pPr>
              <w:spacing w:after="0" w:line="250"/>
            </w:pPr>
            <w:r>
              <w:rPr>
                <w:sz w:val="19"/>
                <w:szCs w:val="19"/>
              </w:rPr>
              <w:t xml:space="preserve">Supresión</w:t>
            </w:r>
          </w:p>
        </w:tc>
        <w:tc>
          <w:tcPr>
            <w:tcW w:type="dxa" w:w="3800"/>
            <w:tcMar>
              <w:top w:type="dxa" w:w="90"/>
              <w:left w:type="dxa" w:w="130"/>
              <w:bottom w:type="dxa" w:w="90"/>
              <w:right w:type="dxa" w:w="130"/>
            </w:tcMar>
          </w:tcPr>
          <w:p>
            <w:pPr>
              <w:spacing w:after="0" w:line="250"/>
            </w:pPr>
            <w:r>
              <w:rPr>
                <w:sz w:val="19"/>
                <w:szCs w:val="19"/>
              </w:rPr>
              <w:t xml:space="preserve">Indirecto: debe solicitarse a la clínica</w:t>
            </w:r>
          </w:p>
        </w:tc>
        <w:tc>
          <w:tcPr>
            <w:tcW w:type="dxa" w:w="3126"/>
            <w:tcMar>
              <w:top w:type="dxa" w:w="90"/>
              <w:left w:type="dxa" w:w="130"/>
              <w:bottom w:type="dxa" w:w="90"/>
              <w:right w:type="dxa" w:w="130"/>
            </w:tcMar>
          </w:tcPr>
          <w:p>
            <w:pPr>
              <w:spacing w:after="0" w:line="250"/>
            </w:pPr>
            <w:r>
              <w:rPr>
                <w:sz w:val="19"/>
                <w:szCs w:val="19"/>
              </w:rPr>
              <w:t xml:space="preserve">Baja completa e irreversible</w:t>
            </w:r>
          </w:p>
        </w:tc>
      </w:tr>
      <w:tr>
        <w:tc>
          <w:tcPr>
            <w:tcW w:type="dxa" w:w="2100"/>
            <w:shd w:fill="F1F5F9" w:color="auto" w:val="clear"/>
            <w:tcMar>
              <w:top w:type="dxa" w:w="90"/>
              <w:left w:type="dxa" w:w="130"/>
              <w:bottom w:type="dxa" w:w="90"/>
              <w:right w:type="dxa" w:w="130"/>
            </w:tcMar>
          </w:tcPr>
          <w:p>
            <w:pPr>
              <w:spacing w:after="0" w:line="250"/>
            </w:pPr>
            <w:r>
              <w:rPr>
                <w:sz w:val="19"/>
                <w:szCs w:val="19"/>
              </w:rPr>
              <w:t xml:space="preserve">Portabilidad</w:t>
            </w:r>
          </w:p>
        </w:tc>
        <w:tc>
          <w:tcPr>
            <w:tcW w:type="dxa" w:w="3800"/>
            <w:shd w:fill="F1F5F9" w:color="auto" w:val="clear"/>
            <w:tcMar>
              <w:top w:type="dxa" w:w="90"/>
              <w:left w:type="dxa" w:w="130"/>
              <w:bottom w:type="dxa" w:w="90"/>
              <w:right w:type="dxa" w:w="130"/>
            </w:tcMar>
          </w:tcPr>
          <w:p>
            <w:pPr>
              <w:spacing w:after="0" w:line="250"/>
            </w:pPr>
            <w:r>
              <w:rPr>
                <w:sz w:val="19"/>
                <w:szCs w:val="19"/>
              </w:rPr>
              <w:t xml:space="preserve">Parcial: puede imprimir, no exportar estructurado</w:t>
            </w:r>
          </w:p>
        </w:tc>
        <w:tc>
          <w:tcPr>
            <w:tcW w:type="dxa" w:w="3126"/>
            <w:shd w:fill="F1F5F9" w:color="auto" w:val="clear"/>
            <w:tcMar>
              <w:top w:type="dxa" w:w="90"/>
              <w:left w:type="dxa" w:w="130"/>
              <w:bottom w:type="dxa" w:w="90"/>
              <w:right w:type="dxa" w:w="130"/>
            </w:tcMar>
          </w:tcPr>
          <w:p>
            <w:pPr>
              <w:spacing w:after="0" w:line="250"/>
            </w:pPr>
            <w:r>
              <w:rPr>
                <w:sz w:val="19"/>
                <w:szCs w:val="19"/>
              </w:rPr>
              <w:t xml:space="preserve">Sí, formato CSV</w:t>
            </w:r>
          </w:p>
        </w:tc>
      </w:tr>
      <w:tr>
        <w:tc>
          <w:tcPr>
            <w:tcW w:type="dxa" w:w="2100"/>
            <w:tcMar>
              <w:top w:type="dxa" w:w="90"/>
              <w:left w:type="dxa" w:w="130"/>
              <w:bottom w:type="dxa" w:w="90"/>
              <w:right w:type="dxa" w:w="130"/>
            </w:tcMar>
          </w:tcPr>
          <w:p>
            <w:pPr>
              <w:spacing w:after="0" w:line="250"/>
            </w:pPr>
            <w:r>
              <w:rPr>
                <w:b/>
                <w:bCs/>
                <w:sz w:val="19"/>
                <w:szCs w:val="19"/>
              </w:rPr>
              <w:t xml:space="preserve">Oposición</w:t>
            </w:r>
          </w:p>
        </w:tc>
        <w:tc>
          <w:tcPr>
            <w:tcW w:type="dxa" w:w="3800"/>
            <w:tcMar>
              <w:top w:type="dxa" w:w="90"/>
              <w:left w:type="dxa" w:w="130"/>
              <w:bottom w:type="dxa" w:w="90"/>
              <w:right w:type="dxa" w:w="130"/>
            </w:tcMar>
          </w:tcPr>
          <w:p>
            <w:pPr>
              <w:spacing w:after="0" w:line="250"/>
            </w:pPr>
            <w:r>
              <w:rPr>
                <w:b/>
                <w:bCs/>
                <w:color w:val="B91C1C"/>
                <w:sz w:val="19"/>
                <w:szCs w:val="19"/>
              </w:rPr>
              <w:t xml:space="preserve">No existe mecanismo</w:t>
            </w:r>
          </w:p>
        </w:tc>
        <w:tc>
          <w:tcPr>
            <w:tcW w:type="dxa" w:w="3126"/>
            <w:tcMar>
              <w:top w:type="dxa" w:w="90"/>
              <w:left w:type="dxa" w:w="130"/>
              <w:bottom w:type="dxa" w:w="90"/>
              <w:right w:type="dxa" w:w="130"/>
            </w:tcMar>
          </w:tcPr>
          <w:p>
            <w:pPr>
              <w:spacing w:after="0" w:line="250"/>
            </w:pPr>
            <w:r>
              <w:rPr>
                <w:b/>
                <w:bCs/>
                <w:color w:val="B91C1C"/>
                <w:sz w:val="19"/>
                <w:szCs w:val="19"/>
              </w:rPr>
              <w:t xml:space="preserve">No existe mecanismo</w:t>
            </w:r>
          </w:p>
        </w:tc>
      </w:tr>
    </w:tbl>
    <w:p>
      <w:pPr>
        <w:spacing w:after="240" w:line="276"/>
      </w:pPr>
      <w:r>
        <w:rPr>
          <w:b/>
          <w:bCs/>
        </w:rPr>
        <w:t xml:space="preserve">No existe borrado automático por antigüedad. </w:t>
      </w:r>
      <w:r>
        <w:t xml:space="preserve">Los datos se conservan mientras la clínica mantenga su cuenta activa. Para un expediente médico veterinario esto puede ser lo correcto, pero es una decisión que hoy no está justificada por escrito en ningún documento.</w:t>
      </w:r>
    </w:p>
    <w:p>
      <w:pPr>
        <w:pStyle w:val="Heading1"/>
        <w:spacing w:after="180" w:before="360"/>
      </w:pPr>
      <w:r>
        <w:t xml:space="preserve">8. Elementos que no existen y probablemente sean necesarios</w:t>
      </w:r>
    </w:p>
    <w:p>
      <w:pPr>
        <w:pStyle w:val="ListParagraph"/>
        <w:numPr>
          <w:ilvl w:val="0"/>
          <w:numId w:val="3"/>
        </w:numPr>
        <w:spacing w:after="130" w:line="276"/>
      </w:pPr>
      <w:r>
        <w:rPr>
          <w:b/>
          <w:bCs/>
          <w:color w:val="0F766E"/>
        </w:rPr>
        <w:t xml:space="preserve">Contrato de encargo de tratamiento con los tres proveedores — </w:t>
      </w:r>
      <w:r>
        <w:t xml:space="preserve">ya existen (DPA estándar de cada uno), evaluados como suficientes con criterio propio.</w:t>
      </w:r>
    </w:p>
    <w:p>
      <w:pPr>
        <w:pStyle w:val="ListParagraph"/>
        <w:numPr>
          <w:ilvl w:val="0"/>
          <w:numId w:val="3"/>
        </w:numPr>
        <w:spacing w:after="130" w:line="276"/>
      </w:pPr>
      <w:r>
        <w:rPr>
          <w:b/>
          <w:bCs/>
          <w:color w:val="0F766E"/>
        </w:rPr>
        <w:t xml:space="preserve">Procedimiento de notificación de brechas de seguridad — </w:t>
      </w:r>
      <w:r>
        <w:t xml:space="preserve">documentado.</w:t>
      </w:r>
    </w:p>
    <w:p>
      <w:pPr>
        <w:pStyle w:val="ListParagraph"/>
        <w:numPr>
          <w:ilvl w:val="0"/>
          <w:numId w:val="3"/>
        </w:numPr>
        <w:spacing w:after="130" w:line="276"/>
      </w:pPr>
      <w:r>
        <w:rPr>
          <w:b/>
          <w:bCs/>
        </w:rPr>
        <w:t xml:space="preserve">Registro de actividades de tratamiento</w:t>
      </w:r>
      <w:r>
        <w:t xml:space="preserve">, si la normativa aplicable lo exige. Sigue sin construirse; baja prioridad mientras no haya obligación confirmada.</w:t>
      </w:r>
    </w:p>
    <w:p>
      <w:pPr>
        <w:pStyle w:val="ListParagraph"/>
        <w:numPr>
          <w:ilvl w:val="0"/>
          <w:numId w:val="3"/>
        </w:numPr>
        <w:spacing w:after="130" w:line="276"/>
      </w:pPr>
      <w:r>
        <w:rPr>
          <w:b/>
          <w:bCs/>
          <w:color w:val="0F766E"/>
        </w:rPr>
        <w:t xml:space="preserve">Base de licitud del tratamiento documentada — </w:t>
      </w:r>
      <w:r>
        <w:t xml:space="preserve">añadida a la política de privacidad: el tratamiento se justifica por la ejecución del servicio contratado con la clínica.</w:t>
      </w:r>
    </w:p>
    <w:p>
      <w:pPr>
        <w:pStyle w:val="ListParagraph"/>
        <w:numPr>
          <w:ilvl w:val="0"/>
          <w:numId w:val="3"/>
        </w:numPr>
        <w:spacing w:after="130" w:line="276"/>
      </w:pPr>
      <w:r>
        <w:rPr>
          <w:b/>
          <w:bCs/>
          <w:color w:val="0F766E"/>
        </w:rPr>
        <w:t xml:space="preserve">Consentimiento informado para el tratamiento de datos — </w:t>
      </w:r>
      <w:r>
        <w:t xml:space="preserve">evaluado con criterio propio: no se considera necesario aparte del consentimiento quirúrgico, ya declarado así en la política.</w:t>
      </w:r>
    </w:p>
    <w:p>
      <w:pPr>
        <w:pStyle w:val="ListParagraph"/>
        <w:numPr>
          <w:ilvl w:val="0"/>
          <w:numId w:val="3"/>
        </w:numPr>
        <w:spacing w:after="130" w:line="276"/>
      </w:pPr>
      <w:r>
        <w:rPr>
          <w:b/>
          <w:bCs/>
          <w:color w:val="0F766E"/>
        </w:rPr>
        <w:t xml:space="preserve">Términos y condiciones del servicio para las clínicas — </w:t>
      </w:r>
      <w:r>
        <w:t xml:space="preserve">borrador redactado (Contrato Vetora-Clínica), con las cláusulas de encargo de tratamiento incorporadas. Pendiente solo de una revisión de forma del abogado.</w:t>
      </w:r>
    </w:p>
    <w:p>
      <w:pPr>
        <w:pStyle w:val="ListParagraph"/>
        <w:numPr>
          <w:ilvl w:val="0"/>
          <w:numId w:val="3"/>
        </w:numPr>
        <w:spacing w:after="130" w:line="276"/>
      </w:pPr>
      <w:r>
        <w:rPr>
          <w:b/>
          <w:bCs/>
          <w:color w:val="0F766E"/>
        </w:rPr>
        <w:t xml:space="preserve">Cláusula relativa a menores de edad — </w:t>
      </w:r>
      <w:r>
        <w:t xml:space="preserve">añadida a la política de privacidad.</w:t>
      </w:r>
    </w:p>
    <w:p>
      <w:r>
        <w:br w:type="page"/>
      </w:r>
    </w:p>
    <w:p>
      <w:pPr>
        <w:pStyle w:val="Heading1"/>
        <w:spacing w:after="180" w:before="360"/>
      </w:pPr>
      <w:r>
        <w:t xml:space="preserve">9. Preguntas para la asesoría</w:t>
      </w:r>
    </w:p>
    <w:p>
      <w:pPr>
        <w:spacing w:after="140" w:line="276"/>
      </w:pPr>
      <w:r>
        <w:t xml:space="preserve">Ordenadas por el número de decisiones técnicas que cada una desbloquea.</w:t>
      </w:r>
    </w:p>
    <w:p>
      <w:pPr>
        <w:pStyle w:val="ListParagraph"/>
        <w:numPr>
          <w:ilvl w:val="0"/>
          <w:numId w:val="3"/>
        </w:numPr>
        <w:spacing w:after="130" w:line="276"/>
      </w:pPr>
      <w:r>
        <w:rPr>
          <w:b/>
          <w:bCs/>
          <w:color w:val="0F766E"/>
        </w:rPr>
        <w:t xml:space="preserve">Respondido por la asesoría: </w:t>
      </w:r>
      <w:r>
        <w:t xml:space="preserve">Vetora es encargada, cada clínica es responsable — la misma relación que cualquier proveedor de software tiene con su cliente. Queda por trasladar esa calificación al contrato con las clínicas.</w:t>
      </w:r>
    </w:p>
    <w:p>
      <w:pPr>
        <w:pStyle w:val="ListParagraph"/>
        <w:numPr>
          <w:ilvl w:val="0"/>
          <w:numId w:val="3"/>
        </w:numPr>
        <w:spacing w:after="130" w:line="276"/>
      </w:pPr>
      <w:r>
        <w:rPr>
          <w:b/>
          <w:bCs/>
          <w:color w:val="0F766E"/>
        </w:rPr>
        <w:t xml:space="preserve">Resuelto: </w:t>
      </w:r>
      <w:r>
        <w:t xml:space="preserve">las dos secciones sobre transferencia internacional se restauraron en la política — eran puramente factuales y no dependían de ninguna calificación jurídica.</w:t>
      </w:r>
    </w:p>
    <w:p>
      <w:pPr>
        <w:pStyle w:val="ListParagraph"/>
        <w:numPr>
          <w:ilvl w:val="0"/>
          <w:numId w:val="3"/>
        </w:numPr>
        <w:spacing w:after="130" w:line="276"/>
      </w:pPr>
      <w:r>
        <w:rPr>
          <w:b/>
          <w:bCs/>
          <w:color w:val="0F766E"/>
        </w:rPr>
        <w:t xml:space="preserve">Sobre las firmas manuscritas — resuelto con criterio propio </w:t>
      </w:r>
      <w:r>
        <w:t xml:space="preserve">(no es dictamen legal formal, decisión aceptada por el dueño del producto): una imagen estática que nunca se usa para identificar a nadie no se trata como dato biométrico en ningún marco de referencia serio, ni el más estricto (RGPD). Las protecciones existentes se consideran suficientes, y que el dueño vea también la firma del veterinario no cambia nada — es evidencia del mismo acto, no un dato nuevo sobre un tercero.</w:t>
      </w:r>
    </w:p>
    <w:p>
      <w:pPr>
        <w:pStyle w:val="ListParagraph"/>
        <w:numPr>
          <w:ilvl w:val="0"/>
          <w:numId w:val="3"/>
        </w:numPr>
        <w:spacing w:after="130" w:line="276"/>
      </w:pPr>
      <w:r>
        <w:rPr>
          <w:b/>
          <w:bCs/>
          <w:color w:val="0F766E"/>
        </w:rPr>
        <w:t xml:space="preserve">Sobre la cédula de identidad — resuelto con criterio propio </w:t>
      </w:r>
      <w:r>
        <w:t xml:space="preserve">(mismo alcance que el punto anterior): usarla como clave de coincidencia autodeclarada, sin verificación, con el mismo nivel de acceso que el resto de la ficha del cliente, equivale a como cualquier negocio boliviano trata este dato en papel o en una hoja de cálculo. No se considera necesario acotarla más.</w:t>
      </w:r>
    </w:p>
    <w:p>
      <w:pPr>
        <w:pStyle w:val="ListParagraph"/>
        <w:numPr>
          <w:ilvl w:val="0"/>
          <w:numId w:val="3"/>
        </w:numPr>
        <w:spacing w:after="130" w:line="276"/>
      </w:pPr>
      <w:r>
        <w:rPr>
          <w:b/>
          <w:bCs/>
        </w:rPr>
        <w:t xml:space="preserve">¿Durante cuánto tiempo debe conservarse un expediente clínico veterinario? </w:t>
      </w:r>
      <w:r>
        <w:t xml:space="preserve">Actualmente la conservación es indefinida y carece de justificación documentada.</w:t>
      </w:r>
    </w:p>
    <w:p>
      <w:pPr>
        <w:pStyle w:val="ListParagraph"/>
        <w:numPr>
          <w:ilvl w:val="0"/>
          <w:numId w:val="3"/>
        </w:numPr>
        <w:spacing w:after="130" w:line="276"/>
      </w:pPr>
      <w:r>
        <w:rPr>
          <w:b/>
          <w:bCs/>
          <w:color w:val="0F766E"/>
        </w:rPr>
        <w:t xml:space="preserve">Resuelto con criterio propio: </w:t>
      </w:r>
      <w:r>
        <w:t xml:space="preserve">no se considera necesario un consentimiento aparte para tratar los datos del dueño — el tratamiento es inherente a la relación contractual con la clínica, y así quedó declarado en la política de privacidad.</w:t>
      </w:r>
    </w:p>
    <w:p>
      <w:pPr>
        <w:pStyle w:val="ListParagraph"/>
        <w:numPr>
          <w:ilvl w:val="0"/>
          <w:numId w:val="3"/>
        </w:numPr>
        <w:spacing w:after="130" w:line="276"/>
      </w:pPr>
      <w:r>
        <w:rPr>
          <w:b/>
          <w:bCs/>
        </w:rPr>
        <w:t xml:space="preserve">¿Resulta suficiente que el titular ejerza sus derechos a través de su clínica, </w:t>
      </w:r>
      <w:r>
        <w:t xml:space="preserve">o Vetora debe habilitar un canal directo?</w:t>
      </w:r>
    </w:p>
    <w:p>
      <w:pPr>
        <w:pStyle w:val="ListParagraph"/>
        <w:numPr>
          <w:ilvl w:val="0"/>
          <w:numId w:val="3"/>
        </w:numPr>
        <w:spacing w:after="130" w:line="276"/>
      </w:pPr>
      <w:r>
        <w:rPr>
          <w:b/>
          <w:bCs/>
        </w:rPr>
        <w:t xml:space="preserve">¿La bitácora ya implementada (punto 2.1) satisface el estándar de registro de accesos exigible? </w:t>
      </w:r>
      <w:r>
        <w:t xml:space="preserve">Registra quién, sobre qué clínica, qué operación, resultado y volumen de datos — pero no queda claro si ese nivel de detalle es suficiente o si hace falta algo adicional (por ejemplo, la dirección IP de origen).</w:t>
      </w:r>
    </w:p>
    <w:p>
      <w:pPr>
        <w:pStyle w:val="ListParagraph"/>
        <w:numPr>
          <w:ilvl w:val="0"/>
          <w:numId w:val="3"/>
        </w:numPr>
        <w:spacing w:after="130" w:line="276"/>
      </w:pPr>
      <w:r>
        <w:rPr>
          <w:b/>
          <w:bCs/>
        </w:rPr>
        <w:t xml:space="preserve">¿Es exigible la notificación de brechas de seguridad y en qué plazo?</w:t>
      </w:r>
    </w:p>
    <w:p>
      <w:pPr>
        <w:pStyle w:val="Heading1"/>
        <w:spacing w:after="180" w:before="360"/>
      </w:pPr>
      <w:r>
        <w:t xml:space="preserve">10. Alcance y limitaciones de esta revisión</w:t>
      </w:r>
    </w:p>
    <w:p>
      <w:pPr>
        <w:pStyle w:val="ListParagraph"/>
        <w:numPr>
          <w:ilvl w:val="0"/>
          <w:numId w:val="2"/>
        </w:numPr>
        <w:spacing w:after="90" w:line="276"/>
      </w:pPr>
      <w:r>
        <w:t xml:space="preserve">No constituye dictamen legal. Nada de lo aquí expuesto debe interpretarse como afirmación de cumplimiento normativo.</w:t>
      </w:r>
    </w:p>
    <w:p>
      <w:pPr>
        <w:pStyle w:val="ListParagraph"/>
        <w:numPr>
          <w:ilvl w:val="0"/>
          <w:numId w:val="2"/>
        </w:numPr>
        <w:spacing w:after="90" w:line="276"/>
      </w:pPr>
      <w:r>
        <w:t xml:space="preserve">No se verificó la ubicación física de la base de datos; procede de documentación interna.</w:t>
      </w:r>
    </w:p>
    <w:p>
      <w:pPr>
        <w:pStyle w:val="ListParagraph"/>
        <w:numPr>
          <w:ilvl w:val="0"/>
          <w:numId w:val="2"/>
        </w:numPr>
        <w:spacing w:after="90" w:line="276"/>
      </w:pPr>
      <w:r>
        <w:t xml:space="preserve">No se verificó el cifrado del almacenamiento en reposo. Es una propiedad del proveedor que nadie ha comprobado de forma independiente.</w:t>
      </w:r>
    </w:p>
    <w:p>
      <w:pPr>
        <w:pStyle w:val="ListParagraph"/>
        <w:numPr>
          <w:ilvl w:val="0"/>
          <w:numId w:val="2"/>
        </w:numPr>
        <w:spacing w:after="90" w:line="276"/>
      </w:pPr>
      <w:r>
        <w:t xml:space="preserve">No se revisaron las condiciones contractuales de los proveedores de infraestructura.</w:t>
      </w:r>
    </w:p>
    <w:p>
      <w:pPr>
        <w:pStyle w:val="ListParagraph"/>
        <w:numPr>
          <w:ilvl w:val="0"/>
          <w:numId w:val="2"/>
        </w:numPr>
        <w:spacing w:after="90" w:line="276"/>
      </w:pPr>
      <w:r>
        <w:t xml:space="preserve">No se evaluó la normativa sanitaria veterinaria boliviana, que puede imponer obligaciones propias de conservación documental.</w:t>
      </w:r>
    </w:p>
    <w:p>
      <w:pPr>
        <w:pBdr>
          <w:top w:val="single" w:color="CBD5E1" w:sz="6" w:space="8"/>
        </w:pBdr>
        <w:spacing w:before="400"/>
      </w:pPr>
      <w:r>
        <w:rPr>
          <w:i/>
          <w:iCs/>
          <w:color w:val="475569"/>
          <w:sz w:val="17"/>
          <w:szCs w:val="17"/>
        </w:rPr>
        <w:t xml:space="preserve">Documento generado el 8 de septiembre de 2026 a partir de la revisión del código fuente y de la base de datos de producción de Vetora.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766E"/>
      <w:sz w:val="30"/>
      <w:szCs w:val="30"/>
    </w:rPr>
  </w:style>
  <w:style w:type="paragraph" w:styleId="Heading2">
    <w:name w:val="Heading 2"/>
    <w:basedOn w:val="Normal"/>
    <w:next w:val="Normal"/>
    <w:qFormat/>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para la asesoría jurídica — Vetora</dc:title>
  <dc:creator>Vetora</dc:creator>
  <dc:description>Inventario factual de tratamiento de datos personales</dc:description>
  <cp:lastModifiedBy>Un-named</cp:lastModifiedBy>
  <cp:revision>1</cp:revision>
  <dcterms:created xsi:type="dcterms:W3CDTF">2026-09-09T16:22:14.632Z</dcterms:created>
  <dcterms:modified xsi:type="dcterms:W3CDTF">2026-09-09T16:22:14.634Z</dcterms:modified>
</cp:coreProperties>
</file>

<file path=docProps/custom.xml><?xml version="1.0" encoding="utf-8"?>
<Properties xmlns="http://schemas.openxmlformats.org/officeDocument/2006/custom-properties" xmlns:vt="http://schemas.openxmlformats.org/officeDocument/2006/docPropsVTypes"/>
</file>