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b/>
                <w:bCs/>
                <w:sz w:val="19"/>
                <w:szCs w:val="19"/>
              </w:rPr>
              <w:t xml:space="preserve">La política no informaba de la transferencia internacional de datos</w:t>
            </w:r>
          </w:p>
        </w:tc>
        <w:tc>
          <w:tcPr>
            <w:tcW w:type="dxa" w:w="3226"/>
            <w:tcMar>
              <w:top w:type="dxa" w:w="90"/>
              <w:left w:type="dxa" w:w="130"/>
              <w:bottom w:type="dxa" w:w="90"/>
              <w:right w:type="dxa" w:w="130"/>
            </w:tcMar>
          </w:tcPr>
          <w:p>
            <w:pPr>
              <w:spacing w:after="0" w:line="250"/>
            </w:pPr>
            <w:r>
              <w:rPr>
                <w:b/>
                <w:bCs/>
                <w:color w:val="0F766E"/>
                <w:sz w:val="19"/>
                <w:szCs w:val="19"/>
              </w:rPr>
              <w:t xml:space="preserve">Corregido: ya declara dónde están los datos</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b/>
                <w:bCs/>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b/>
                <w:bCs/>
                <w:color w:val="0F766E"/>
                <w:sz w:val="19"/>
                <w:szCs w:val="19"/>
              </w:rPr>
              <w:t xml:space="preserve">Sí existen (DPA estándar) — evaluados como suficientes con criterio propio</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Documentado — el plazo legal exacto en Bolivia sigue sin confirmar</w:t>
            </w:r>
          </w:p>
        </w:tc>
      </w:tr>
      <w:tr>
        <w:tc>
          <w:tcPr>
            <w:tcW w:type="dxa" w:w="5800"/>
            <w:tcMar>
              <w:top w:type="dxa" w:w="90"/>
              <w:left w:type="dxa" w:w="130"/>
              <w:bottom w:type="dxa" w:w="90"/>
              <w:right w:type="dxa" w:w="130"/>
            </w:tcMar>
          </w:tcPr>
          <w:p>
            <w:pPr>
              <w:spacing w:after="0" w:line="250"/>
            </w:pPr>
            <w:r>
              <w:rPr>
                <w:b/>
                <w:bCs/>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b/>
                <w:bCs/>
                <w:color w:val="0F766E"/>
                <w:sz w:val="19"/>
                <w:szCs w:val="19"/>
              </w:rPr>
              <w:t xml:space="preserve">Confirmado por la asesoría: Vetora es encargada, cada clínica es responsable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color w:val="0F766E"/>
        </w:rPr>
        <w:t xml:space="preserve">Contrato de encargo de tratamiento con los tres proveedores — </w:t>
      </w:r>
      <w:r>
        <w:t xml:space="preserve">ya existen (DPA estándar de cada uno), evaluados como suficientes con criterio propio.</w:t>
      </w:r>
    </w:p>
    <w:p>
      <w:pPr>
        <w:pStyle w:val="ListParagraph"/>
        <w:numPr>
          <w:ilvl w:val="0"/>
          <w:numId w:val="3"/>
        </w:numPr>
        <w:spacing w:after="130" w:line="276"/>
      </w:pPr>
      <w:r>
        <w:rPr>
          <w:b/>
          <w:bCs/>
          <w:color w:val="0F766E"/>
        </w:rPr>
        <w:t xml:space="preserve">Procedimiento de notificación de brechas de seguridad — </w:t>
      </w:r>
      <w:r>
        <w:t xml:space="preserve">documentado.</w:t>
      </w:r>
    </w:p>
    <w:p>
      <w:pPr>
        <w:pStyle w:val="ListParagraph"/>
        <w:numPr>
          <w:ilvl w:val="0"/>
          <w:numId w:val="3"/>
        </w:numPr>
        <w:spacing w:after="130" w:line="276"/>
      </w:pPr>
      <w:r>
        <w:rPr>
          <w:b/>
          <w:bCs/>
        </w:rPr>
        <w:t xml:space="preserve">Registro de actividades de tratamiento</w:t>
      </w:r>
      <w:r>
        <w:t xml:space="preserve">, si la normativa aplicable lo exige. Sigue sin construirse; baja prioridad mientras no haya obligación confirmada.</w:t>
      </w:r>
    </w:p>
    <w:p>
      <w:pPr>
        <w:pStyle w:val="ListParagraph"/>
        <w:numPr>
          <w:ilvl w:val="0"/>
          <w:numId w:val="3"/>
        </w:numPr>
        <w:spacing w:after="130" w:line="276"/>
      </w:pPr>
      <w:r>
        <w:rPr>
          <w:b/>
          <w:bCs/>
          <w:color w:val="0F766E"/>
        </w:rPr>
        <w:t xml:space="preserve">Base de licitud del tratamiento documentada — </w:t>
      </w:r>
      <w:r>
        <w:t xml:space="preserve">añadida a la política de privacidad: el tratamiento se justifica por la ejecución del servicio contratado con la clínica.</w:t>
      </w:r>
    </w:p>
    <w:p>
      <w:pPr>
        <w:pStyle w:val="ListParagraph"/>
        <w:numPr>
          <w:ilvl w:val="0"/>
          <w:numId w:val="3"/>
        </w:numPr>
        <w:spacing w:after="130" w:line="276"/>
      </w:pPr>
      <w:r>
        <w:rPr>
          <w:b/>
          <w:bCs/>
          <w:color w:val="0F766E"/>
        </w:rPr>
        <w:t xml:space="preserve">Consentimiento informado para el tratamiento de datos — </w:t>
      </w:r>
      <w:r>
        <w:t xml:space="preserve">evaluado con criterio propio: no se considera necesario aparte del consentimiento quirúrgico, ya declarado así en la política.</w:t>
      </w:r>
    </w:p>
    <w:p>
      <w:pPr>
        <w:pStyle w:val="ListParagraph"/>
        <w:numPr>
          <w:ilvl w:val="0"/>
          <w:numId w:val="3"/>
        </w:numPr>
        <w:spacing w:after="130" w:line="276"/>
      </w:pPr>
      <w:r>
        <w:rPr>
          <w:b/>
          <w:bCs/>
        </w:rPr>
        <w:t xml:space="preserve">Términos y condiciones </w:t>
      </w:r>
      <w:r>
        <w:t xml:space="preserve">del servicio para las clínicas contratantes. Sigue sin existir — es la pieza pendiente más concreta, y la consecuencia natural de haber confirmado que Vetora es encargada y la clínica responsable.</w:t>
      </w:r>
    </w:p>
    <w:p>
      <w:pPr>
        <w:pStyle w:val="ListParagraph"/>
        <w:numPr>
          <w:ilvl w:val="0"/>
          <w:numId w:val="3"/>
        </w:numPr>
        <w:spacing w:after="130" w:line="276"/>
      </w:pPr>
      <w:r>
        <w:rPr>
          <w:b/>
          <w:bCs/>
          <w:color w:val="0F766E"/>
        </w:rPr>
        <w:t xml:space="preserve">Cláusula relativa a menores de edad — </w:t>
      </w:r>
      <w:r>
        <w:t xml:space="preserve">añadida a la política de privacidad.</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color w:val="0F766E"/>
        </w:rPr>
        <w:t xml:space="preserve">Respondido por la asesoría: </w:t>
      </w:r>
      <w:r>
        <w:t xml:space="preserve">Vetora es encargada, cada clínica es responsable — la misma relación que cualquier proveedor de software tiene con su cliente. Queda por trasladar esa calificación al contrato con las clínicas.</w:t>
      </w:r>
    </w:p>
    <w:p>
      <w:pPr>
        <w:pStyle w:val="ListParagraph"/>
        <w:numPr>
          <w:ilvl w:val="0"/>
          <w:numId w:val="3"/>
        </w:numPr>
        <w:spacing w:after="130" w:line="276"/>
      </w:pPr>
      <w:r>
        <w:rPr>
          <w:b/>
          <w:bCs/>
          <w:color w:val="0F766E"/>
        </w:rPr>
        <w:t xml:space="preserve">Resuelto: </w:t>
      </w:r>
      <w:r>
        <w:t xml:space="preserve">las dos secciones sobre transferencia internacional se restauraron en la política — eran puramente factuales y no dependían de ninguna calificación jurídica.</w:t>
      </w:r>
    </w:p>
    <w:p>
      <w:pPr>
        <w:pStyle w:val="ListParagraph"/>
        <w:numPr>
          <w:ilvl w:val="0"/>
          <w:numId w:val="3"/>
        </w:numPr>
        <w:spacing w:after="130" w:line="276"/>
      </w:pPr>
      <w:r>
        <w:rPr>
          <w:b/>
          <w:bCs/>
          <w:color w:val="0F766E"/>
        </w:rPr>
        <w:t xml:space="preserve">Sobre las firmas manuscritas — resuelto con criterio propio </w:t>
      </w:r>
      <w:r>
        <w:t xml:space="preserve">(no es dictamen legal formal, decisión aceptada por el dueño del producto): una imagen estática que nunca se usa para identificar a nadie no se trata como dato biométrico en ningún marco de referencia serio, ni el más estricto (RGPD). Las protecciones existentes se consideran suficientes, y que el dueño vea también la firma del veterinario no cambia nada — es evidencia del mismo acto, no un dato nuevo sobre un tercero.</w:t>
      </w:r>
    </w:p>
    <w:p>
      <w:pPr>
        <w:pStyle w:val="ListParagraph"/>
        <w:numPr>
          <w:ilvl w:val="0"/>
          <w:numId w:val="3"/>
        </w:numPr>
        <w:spacing w:after="130" w:line="276"/>
      </w:pPr>
      <w:r>
        <w:rPr>
          <w:b/>
          <w:bCs/>
          <w:color w:val="0F766E"/>
        </w:rPr>
        <w:t xml:space="preserve">Sobre la cédula de identidad — resuelto con criterio propio </w:t>
      </w:r>
      <w:r>
        <w:t xml:space="preserve">(mismo alcance que el punto anterior): usarla como clave de coincidencia autodeclarada, sin verificación, con el mismo nivel de acceso que el resto de la ficha del cliente, equivale a como cualquier negocio boliviano trata este dato en papel o en una hoja de cálculo. No se considera necesario acotarla más.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color w:val="0F766E"/>
        </w:rPr>
        <w:t xml:space="preserve">Resuelto con criterio propio: </w:t>
      </w:r>
      <w:r>
        <w:t xml:space="preserve">no se considera necesario un consentimiento aparte para tratar los datos del dueño — el tratamiento es inherente a la relación contractual con la clínica, y así quedó declarado en la política de privacidad.</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2026-09-09T16:07:19.138Z</dcterms:created>
  <dcterms:modified xsi:type="dcterms:W3CDTF">2026-09-09T16:07:19.140Z</dcterms:modified>
</cp:coreProperties>
</file>

<file path=docProps/custom.xml><?xml version="1.0" encoding="utf-8"?>
<Properties xmlns="http://schemas.openxmlformats.org/officeDocument/2006/custom-properties" xmlns:vt="http://schemas.openxmlformats.org/officeDocument/2006/docPropsVTypes"/>
</file>