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766E"/>
          <w:sz w:val="26"/>
          <w:szCs w:val="26"/>
        </w:rPr>
        <w:t xml:space="preserve">VETORA</w:t>
      </w:r>
    </w:p>
    <w:p>
      <w:pPr>
        <w:spacing w:after="120"/>
      </w:pPr>
      <w:r>
        <w:rPr>
          <w:b/>
          <w:bCs/>
          <w:color w:val="0F172A"/>
          <w:sz w:val="40"/>
          <w:szCs w:val="40"/>
        </w:rPr>
        <w:t xml:space="preserve">Informe técnico para la asesoría jurídica</w:t>
      </w:r>
    </w:p>
    <w:p>
      <w:pPr>
        <w:pBdr>
          <w:bottom w:val="single" w:color="CBD5E1" w:sz="6" w:space="8"/>
        </w:pBdr>
        <w:spacing w:after="200"/>
      </w:pPr>
      <w:r>
        <w:rPr>
          <w:color w:val="475569"/>
          <w:sz w:val="22"/>
          <w:szCs w:val="22"/>
        </w:rPr>
        <w:t xml:space="preserve">Tratamiento de datos personales — inventario factual y preguntas abiertas</w:t>
      </w:r>
    </w:p>
    <w:p>
      <w:pPr>
        <w:spacing w:after="40" w:line="276"/>
      </w:pPr>
      <w:r>
        <w:rPr>
          <w:b/>
          <w:bCs/>
        </w:rPr>
        <w:t xml:space="preserve">Fecha: </w:t>
      </w:r>
      <w:r>
        <w:t xml:space="preserve">8 de septiembre de 2026</w:t>
      </w:r>
    </w:p>
    <w:p>
      <w:pPr>
        <w:spacing w:after="40" w:line="276"/>
      </w:pPr>
      <w:r>
        <w:rPr>
          <w:b/>
          <w:bCs/>
        </w:rPr>
        <w:t xml:space="preserve">Preparado por: </w:t>
      </w:r>
      <w:r>
        <w:t xml:space="preserve">revisión técnica del código fuente y de la base de datos de producción</w:t>
      </w:r>
    </w:p>
    <w:p>
      <w:pPr>
        <w:spacing w:after="320" w:line="276"/>
      </w:pPr>
      <w:r>
        <w:rPr>
          <w:b/>
          <w:bCs/>
        </w:rPr>
        <w:t xml:space="preserve">Producto: </w:t>
      </w:r>
      <w:r>
        <w:t xml:space="preserve">Vetora — sistema de gestión para clínicas veterinarias (Bolivia)</w:t>
      </w:r>
    </w:p>
    <w:p>
      <w:pPr>
        <w:pStyle w:val="Heading1"/>
        <w:spacing w:after="180" w:before="360"/>
      </w:pPr>
      <w:r>
        <w:t xml:space="preserve">Qué es este documento, y qué no</w:t>
      </w:r>
    </w:p>
    <w:p>
      <w:pPr>
        <w:spacing w:after="140" w:line="276"/>
      </w:pPr>
      <w:r>
        <w:rPr>
          <w:b/>
          <w:bCs/>
        </w:rPr>
        <w:t xml:space="preserve">No es un dictamen legal ni pretende serlo.</w:t>
      </w:r>
      <w:r>
        <w:t xml:space="preserve"> Es el inventario factual de qué datos personales trata Vetora, dónde están alojados, quién puede verlos y qué medidas técnicas los protegen. Todo lo que se afirma aquí está verificado contra el código fuente y contra la base de datos real; nada se ha dado por supuesto.</w:t>
      </w:r>
    </w:p>
    <w:p>
      <w:pPr>
        <w:spacing w:after="140" w:line="276"/>
      </w:pPr>
      <w:r>
        <w:t xml:space="preserve">Su propósito es que el tiempo de la asesoría se dedique a emitir criterio jurídico y no a averiguar cómo funciona el sistema. La última sección recoge nueve preguntas concretas que solo un abogado puede responder.</w:t>
      </w:r>
    </w:p>
    <w:p>
      <w:pPr>
        <w:shd w:fill="FEF2F2" w:color="auto" w:val="clear"/>
        <w:spacing w:after="80" w:line="276"/>
      </w:pPr>
      <w:r>
        <w:rPr>
          <w:b/>
          <w:bCs/>
          <w:color w:val="B91C1C"/>
          <w:sz w:val="22"/>
          <w:szCs w:val="22"/>
        </w:rPr>
        <w:t xml:space="preserve">Advertencia sobre la normativa aplicable</w:t>
      </w:r>
    </w:p>
    <w:p>
      <w:pPr>
        <w:shd w:fill="FEF2F2" w:color="auto" w:val="clear"/>
        <w:spacing w:after="200" w:line="276"/>
      </w:pPr>
      <w:r>
        <w:t xml:space="preserve">Toda afirmación sobre la normativa boliviana queda </w:t>
      </w:r>
      <w:r>
        <w:rPr>
          <w:b/>
          <w:bCs/>
        </w:rPr>
        <w:t xml:space="preserve">fuera del alcance</w:t>
      </w:r>
      <w:r>
        <w:t xml:space="preserve"> de este informe. Hasta donde alcanza esta revisión, Bolivia no cuenta con una ley integral de protección de datos personales equivalente al RGPD europeo, y la protección se articula por vía constitucional y normas sectoriales. </w:t>
      </w:r>
      <w:r>
        <w:rPr>
          <w:b/>
          <w:bCs/>
        </w:rPr>
        <w:t xml:space="preserve">Este punto debe verificarse y actualizarse por la asesoría</w:t>
      </w:r>
      <w:r>
        <w:t xml:space="preserve">: es exactamente el tipo de afirmación que no debe darse por buena sin comprobación.</w:t>
      </w:r>
    </w:p>
    <w:p>
      <w:pPr>
        <w:pStyle w:val="Heading1"/>
        <w:spacing w:after="180" w:before="360"/>
      </w:pPr>
      <w:r>
        <w:t xml:space="preserve">1. Resumen ejecutivo</w:t>
      </w:r>
    </w:p>
    <w:p>
      <w:pPr>
        <w:spacing w:after="140" w:line="276"/>
      </w:pPr>
      <w:r>
        <w:t xml:space="preserve">Siete asuntos requieren decisión. Los dos primeros son hallazgos nuevos de esta revisión y son los más urgentes, porque se trata de declaraciones ya publicadas en la política de privacidad que el sistema no respalda.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00"/>
        <w:gridCol w:w="3226"/>
      </w:tblGrid>
      <w:tr>
        <w:trPr>
          <w:tblHeader/>
        </w:trPr>
        <w:tc>
          <w:tcPr>
            <w:tcW w:type="dxa" w:w="5800"/>
            <w:shd w:fill="0F766E" w:color="auto" w:val="clear"/>
            <w:tcMar>
              <w:top w:type="dxa" w:w="90"/>
              <w:left w:type="dxa" w:w="130"/>
              <w:bottom w:type="dxa" w:w="90"/>
              <w:right w:type="dxa" w:w="130"/>
            </w:tcMar>
          </w:tcPr>
          <w:p>
            <w:pPr>
              <w:spacing w:after="0" w:line="250"/>
            </w:pPr>
            <w:r>
              <w:rPr>
                <w:b/>
                <w:bCs/>
                <w:color w:val="FFFFFF"/>
                <w:sz w:val="19"/>
                <w:szCs w:val="19"/>
              </w:rPr>
              <w:t xml:space="preserve">Asunto</w:t>
            </w:r>
          </w:p>
        </w:tc>
        <w:tc>
          <w:tcPr>
            <w:tcW w:type="dxa" w:w="3226"/>
            <w:shd w:fill="0F766E" w:color="auto" w:val="clear"/>
            <w:tcMar>
              <w:top w:type="dxa" w:w="90"/>
              <w:left w:type="dxa" w:w="130"/>
              <w:bottom w:type="dxa" w:w="90"/>
              <w:right w:type="dxa" w:w="130"/>
            </w:tcMar>
          </w:tcPr>
          <w:p>
            <w:pPr>
              <w:spacing w:after="0" w:line="250"/>
            </w:pPr>
            <w:r>
              <w:rPr>
                <w:b/>
                <w:bCs/>
                <w:color w:val="FFFFFF"/>
                <w:sz w:val="19"/>
                <w:szCs w:val="19"/>
              </w:rPr>
              <w:t xml:space="preserve">Estado</w:t>
            </w:r>
          </w:p>
        </w:tc>
      </w:tr>
      <w:tr>
        <w:tc>
          <w:tcPr>
            <w:tcW w:type="dxa" w:w="5800"/>
            <w:tcMar>
              <w:top w:type="dxa" w:w="90"/>
              <w:left w:type="dxa" w:w="130"/>
              <w:bottom w:type="dxa" w:w="90"/>
              <w:right w:type="dxa" w:w="130"/>
            </w:tcMar>
          </w:tcPr>
          <w:p>
            <w:pPr>
              <w:spacing w:after="0" w:line="250"/>
            </w:pPr>
            <w:r>
              <w:rPr>
                <w:sz w:val="19"/>
                <w:szCs w:val="19"/>
              </w:rPr>
              <w:t xml:space="preserve">La política no informa de la transferencia internacional de datos</w:t>
            </w:r>
          </w:p>
        </w:tc>
        <w:tc>
          <w:tcPr>
            <w:tcW w:type="dxa" w:w="3226"/>
            <w:tcMar>
              <w:top w:type="dxa" w:w="90"/>
              <w:left w:type="dxa" w:w="130"/>
              <w:bottom w:type="dxa" w:w="90"/>
              <w:right w:type="dxa" w:w="130"/>
            </w:tcMar>
          </w:tcPr>
          <w:p>
            <w:pPr>
              <w:spacing w:after="0" w:line="250"/>
            </w:pPr>
            <w:r>
              <w:rPr>
                <w:sz w:val="19"/>
                <w:szCs w:val="19"/>
              </w:rPr>
              <w:t xml:space="preserve">Omisión deliberada, pendiente de redacción jurídica</w:t>
            </w:r>
          </w:p>
        </w:tc>
      </w:tr>
      <w:tr>
        <w:tc>
          <w:tcPr>
            <w:tcW w:type="dxa" w:w="5800"/>
            <w:shd w:fill="F1F5F9" w:color="auto" w:val="clear"/>
            <w:tcMar>
              <w:top w:type="dxa" w:w="90"/>
              <w:left w:type="dxa" w:w="130"/>
              <w:bottom w:type="dxa" w:w="90"/>
              <w:right w:type="dxa" w:w="130"/>
            </w:tcMar>
          </w:tcPr>
          <w:p>
            <w:pPr>
              <w:spacing w:after="0" w:line="250"/>
            </w:pPr>
            <w:r>
              <w:rPr>
                <w:b/>
                <w:bCs/>
                <w:sz w:val="19"/>
                <w:szCs w:val="19"/>
              </w:rPr>
              <w:t xml:space="preserve">La política afirma que cada uso del respaldo queda registrado — no es cierto</w:t>
            </w:r>
          </w:p>
        </w:tc>
        <w:tc>
          <w:tcPr>
            <w:tcW w:type="dxa" w:w="3226"/>
            <w:shd w:fill="F1F5F9" w:color="auto" w:val="clear"/>
            <w:tcMar>
              <w:top w:type="dxa" w:w="90"/>
              <w:left w:type="dxa" w:w="130"/>
              <w:bottom w:type="dxa" w:w="90"/>
              <w:right w:type="dxa" w:w="130"/>
            </w:tcMar>
          </w:tcPr>
          <w:p>
            <w:pPr>
              <w:spacing w:after="0" w:line="250"/>
            </w:pPr>
            <w:r>
              <w:rPr>
                <w:b/>
                <w:bCs/>
                <w:color w:val="B91C1C"/>
                <w:sz w:val="19"/>
                <w:szCs w:val="19"/>
              </w:rPr>
              <w:t xml:space="preserve">Declaración no respaldada por el sistema</w:t>
            </w:r>
          </w:p>
        </w:tc>
      </w:tr>
      <w:tr>
        <w:tc>
          <w:tcPr>
            <w:tcW w:type="dxa" w:w="5800"/>
            <w:tcMar>
              <w:top w:type="dxa" w:w="90"/>
              <w:left w:type="dxa" w:w="130"/>
              <w:bottom w:type="dxa" w:w="90"/>
              <w:right w:type="dxa" w:w="130"/>
            </w:tcMar>
          </w:tcPr>
          <w:p>
            <w:pPr>
              <w:spacing w:after="0" w:line="250"/>
            </w:pPr>
            <w:r>
              <w:rPr>
                <w:b/>
                <w:bCs/>
                <w:sz w:val="19"/>
                <w:szCs w:val="19"/>
              </w:rPr>
              <w:t xml:space="preserve">La política afirma que el historial cerrado no se puede borrar — solo es cierto a medias</w:t>
            </w:r>
          </w:p>
        </w:tc>
        <w:tc>
          <w:tcPr>
            <w:tcW w:type="dxa" w:w="3226"/>
            <w:tcMar>
              <w:top w:type="dxa" w:w="90"/>
              <w:left w:type="dxa" w:w="130"/>
              <w:bottom w:type="dxa" w:w="90"/>
              <w:right w:type="dxa" w:w="130"/>
            </w:tcMar>
          </w:tcPr>
          <w:p>
            <w:pPr>
              <w:spacing w:after="0" w:line="250"/>
            </w:pPr>
            <w:r>
              <w:rPr>
                <w:b/>
                <w:bCs/>
                <w:color w:val="B91C1C"/>
                <w:sz w:val="19"/>
                <w:szCs w:val="19"/>
              </w:rPr>
              <w:t xml:space="preserve">Declaración parcialmente inexacta</w:t>
            </w:r>
          </w:p>
        </w:tc>
      </w:tr>
      <w:tr>
        <w:tc>
          <w:tcPr>
            <w:tcW w:type="dxa" w:w="5800"/>
            <w:shd w:fill="F1F5F9" w:color="auto" w:val="clear"/>
            <w:tcMar>
              <w:top w:type="dxa" w:w="90"/>
              <w:left w:type="dxa" w:w="130"/>
              <w:bottom w:type="dxa" w:w="90"/>
              <w:right w:type="dxa" w:w="130"/>
            </w:tcMar>
          </w:tcPr>
          <w:p>
            <w:pPr>
              <w:spacing w:after="0" w:line="250"/>
            </w:pPr>
            <w:r>
              <w:rPr>
                <w:sz w:val="19"/>
                <w:szCs w:val="19"/>
              </w:rPr>
              <w:t xml:space="preserve">El sistema envía datos clínicos a un proveedor en EE. UU.</w:t>
            </w:r>
          </w:p>
        </w:tc>
        <w:tc>
          <w:tcPr>
            <w:tcW w:type="dxa" w:w="3226"/>
            <w:shd w:fill="F1F5F9" w:color="auto" w:val="clear"/>
            <w:tcMar>
              <w:top w:type="dxa" w:w="90"/>
              <w:left w:type="dxa" w:w="130"/>
              <w:bottom w:type="dxa" w:w="90"/>
              <w:right w:type="dxa" w:w="130"/>
            </w:tcMar>
          </w:tcPr>
          <w:p>
            <w:pPr>
              <w:spacing w:after="0" w:line="250"/>
            </w:pPr>
            <w:r>
              <w:rPr>
                <w:sz w:val="19"/>
                <w:szCs w:val="19"/>
              </w:rPr>
              <w:t xml:space="preserve">Implementado y acotado; ya declarado en la política</w:t>
            </w:r>
          </w:p>
        </w:tc>
      </w:tr>
      <w:tr>
        <w:tc>
          <w:tcPr>
            <w:tcW w:type="dxa" w:w="5800"/>
            <w:tcMar>
              <w:top w:type="dxa" w:w="90"/>
              <w:left w:type="dxa" w:w="130"/>
              <w:bottom w:type="dxa" w:w="90"/>
              <w:right w:type="dxa" w:w="130"/>
            </w:tcMar>
          </w:tcPr>
          <w:p>
            <w:pPr>
              <w:spacing w:after="0" w:line="250"/>
            </w:pPr>
            <w:r>
              <w:rPr>
                <w:sz w:val="19"/>
                <w:szCs w:val="19"/>
              </w:rPr>
              <w:t xml:space="preserve">No existe contrato de encargo de tratamiento con los proveedores</w:t>
            </w:r>
          </w:p>
        </w:tc>
        <w:tc>
          <w:tcPr>
            <w:tcW w:type="dxa" w:w="3226"/>
            <w:tcMar>
              <w:top w:type="dxa" w:w="90"/>
              <w:left w:type="dxa" w:w="130"/>
              <w:bottom w:type="dxa" w:w="90"/>
              <w:right w:type="dxa" w:w="130"/>
            </w:tcMar>
          </w:tcPr>
          <w:p>
            <w:pPr>
              <w:spacing w:after="0" w:line="250"/>
            </w:pPr>
            <w:r>
              <w:rPr>
                <w:sz w:val="19"/>
                <w:szCs w:val="19"/>
              </w:rPr>
              <w:t xml:space="preserve">Pendiente</w:t>
            </w:r>
          </w:p>
        </w:tc>
      </w:tr>
      <w:tr>
        <w:tc>
          <w:tcPr>
            <w:tcW w:type="dxa" w:w="5800"/>
            <w:shd w:fill="F1F5F9" w:color="auto" w:val="clear"/>
            <w:tcMar>
              <w:top w:type="dxa" w:w="90"/>
              <w:left w:type="dxa" w:w="130"/>
              <w:bottom w:type="dxa" w:w="90"/>
              <w:right w:type="dxa" w:w="130"/>
            </w:tcMar>
          </w:tcPr>
          <w:p>
            <w:pPr>
              <w:spacing w:after="0" w:line="250"/>
            </w:pPr>
            <w:r>
              <w:rPr>
                <w:sz w:val="19"/>
                <w:szCs w:val="19"/>
              </w:rPr>
              <w:t xml:space="preserve">No hay procedimiento documentado de notificación de brechas</w:t>
            </w:r>
          </w:p>
        </w:tc>
        <w:tc>
          <w:tcPr>
            <w:tcW w:type="dxa" w:w="3226"/>
            <w:shd w:fill="F1F5F9" w:color="auto" w:val="clear"/>
            <w:tcMar>
              <w:top w:type="dxa" w:w="90"/>
              <w:left w:type="dxa" w:w="130"/>
              <w:bottom w:type="dxa" w:w="90"/>
              <w:right w:type="dxa" w:w="130"/>
            </w:tcMar>
          </w:tcPr>
          <w:p>
            <w:pPr>
              <w:spacing w:after="0" w:line="250"/>
            </w:pPr>
            <w:r>
              <w:rPr>
                <w:sz w:val="19"/>
                <w:szCs w:val="19"/>
              </w:rPr>
              <w:t xml:space="preserve">Pendiente</w:t>
            </w:r>
          </w:p>
        </w:tc>
      </w:tr>
      <w:tr>
        <w:tc>
          <w:tcPr>
            <w:tcW w:type="dxa" w:w="5800"/>
            <w:tcMar>
              <w:top w:type="dxa" w:w="90"/>
              <w:left w:type="dxa" w:w="130"/>
              <w:bottom w:type="dxa" w:w="90"/>
              <w:right w:type="dxa" w:w="130"/>
            </w:tcMar>
          </w:tcPr>
          <w:p>
            <w:pPr>
              <w:spacing w:after="0" w:line="250"/>
            </w:pPr>
            <w:r>
              <w:rPr>
                <w:sz w:val="19"/>
                <w:szCs w:val="19"/>
              </w:rPr>
              <w:t xml:space="preserve">Quién es responsable y quién encargado del tratamiento</w:t>
            </w:r>
          </w:p>
        </w:tc>
        <w:tc>
          <w:tcPr>
            <w:tcW w:type="dxa" w:w="3226"/>
            <w:tcMar>
              <w:top w:type="dxa" w:w="90"/>
              <w:left w:type="dxa" w:w="130"/>
              <w:bottom w:type="dxa" w:w="90"/>
              <w:right w:type="dxa" w:w="130"/>
            </w:tcMar>
          </w:tcPr>
          <w:p>
            <w:pPr>
              <w:spacing w:after="0" w:line="250"/>
            </w:pPr>
            <w:r>
              <w:rPr>
                <w:sz w:val="19"/>
                <w:szCs w:val="19"/>
              </w:rPr>
              <w:t xml:space="preserve">Calificación jurídica pendiente</w:t>
            </w:r>
          </w:p>
        </w:tc>
      </w:tr>
    </w:tbl>
    <w:p>
      <w:r>
        <w:br w:type="page"/>
      </w:r>
    </w:p>
    <w:p>
      <w:pPr>
        <w:pStyle w:val="Heading1"/>
        <w:spacing w:after="180" w:before="360"/>
      </w:pPr>
      <w:r>
        <w:t xml:space="preserve">2. Discrepancias entre la política publicada y el sistema</w:t>
      </w:r>
    </w:p>
    <w:p>
      <w:pPr>
        <w:spacing w:after="140" w:line="276"/>
      </w:pPr>
      <w:r>
        <w:t xml:space="preserve">Ambas son declaraciones actualmente publicadas que el sistema no cumple. Se detectaron en esta revisión.</w:t>
      </w:r>
    </w:p>
    <w:p>
      <w:pPr>
        <w:pStyle w:val="Heading2"/>
        <w:spacing w:after="140" w:before="280"/>
      </w:pPr>
      <w:r>
        <w:t xml:space="preserve">2.1. «Cada uso del respaldo queda registrado» — no es cierto</w:t>
      </w:r>
    </w:p>
    <w:p>
      <w:pPr>
        <w:spacing w:after="140" w:line="276"/>
      </w:pPr>
      <w:r>
        <w:t xml:space="preserve">La política de privacidad, en su sección 4, declara que existe una función que permite al operador de Vetora extraer los datos de una clínica concreta, y añade que </w:t>
      </w:r>
      <w:r>
        <w:rPr>
          <w:i/>
          <w:iCs/>
        </w:rPr>
        <w:t xml:space="preserve">«solo nosotros podemos ejecutarla, y cada uso queda registrado»</w:t>
      </w:r>
      <w:r>
        <w:t xml:space="preserve">.</w:t>
      </w:r>
    </w:p>
    <w:p>
      <w:pPr>
        <w:spacing w:after="140" w:line="276"/>
      </w:pPr>
      <w:r>
        <w:rPr>
          <w:b/>
          <w:bCs/>
        </w:rPr>
        <w:t xml:space="preserve">Las dos primeras afirmaciones son ciertas. La tercera no lo es.</w:t>
      </w:r>
      <w:r>
        <w:t xml:space="preserve"> La función valida la identidad de quien la invoca, exige segundo factor de autenticación y extrae los datos de esa clínica — pero </w:t>
      </w:r>
      <w:r>
        <w:rPr>
          <w:b/>
          <w:bCs/>
        </w:rPr>
        <w:t xml:space="preserve">no escribe ningún registro de auditoría</w:t>
      </w:r>
      <w:r>
        <w:t xml:space="preserve">. No existe anotación alguna de quién la ejecutó, cuándo, ni sobre qué clínica.</w:t>
      </w:r>
    </w:p>
    <w:p>
      <w:pPr>
        <w:spacing w:after="140" w:line="276"/>
      </w:pPr>
      <w:r>
        <w:rPr>
          <w:b/>
          <w:bCs/>
        </w:rPr>
        <w:t xml:space="preserve">Consecuencia: </w:t>
      </w:r>
      <w:r>
        <w:t xml:space="preserve">se promete al titular de los datos una trazabilidad que no existe. Si una persona preguntara quién accedió a su información y en qué momento, hoy no habría forma de responder.</w:t>
      </w:r>
    </w:p>
    <w:p>
      <w:pPr>
        <w:spacing w:after="140" w:line="276"/>
      </w:pPr>
      <w:r>
        <w:t xml:space="preserve">Hay dos salidas posibles, y la elección tiene componente jurídico:</w:t>
      </w:r>
    </w:p>
    <w:p>
      <w:pPr>
        <w:pStyle w:val="ListParagraph"/>
        <w:numPr>
          <w:ilvl w:val="0"/>
          <w:numId w:val="2"/>
        </w:numPr>
        <w:spacing w:after="130" w:line="276"/>
      </w:pPr>
      <w:r>
        <w:rPr>
          <w:b/>
          <w:bCs/>
        </w:rPr>
        <w:t xml:space="preserve">Implementar el registro. </w:t>
      </w:r>
      <w:r>
        <w:t xml:space="preserve">Técnicamente es una tabla y una inserción; trabajo de unas horas. La política pasaría entonces a ser cierta.</w:t>
      </w:r>
    </w:p>
    <w:p>
      <w:pPr>
        <w:pStyle w:val="ListParagraph"/>
        <w:numPr>
          <w:ilvl w:val="0"/>
          <w:numId w:val="2"/>
        </w:numPr>
        <w:spacing w:after="130" w:line="276"/>
      </w:pPr>
      <w:r>
        <w:rPr>
          <w:b/>
          <w:bCs/>
        </w:rPr>
        <w:t xml:space="preserve">Corregir la política </w:t>
      </w:r>
      <w:r>
        <w:t xml:space="preserve">para que no afirme lo que no ocurre.</w:t>
      </w:r>
    </w:p>
    <w:p>
      <w:pPr>
        <w:spacing w:after="240" w:line="276"/>
      </w:pPr>
      <w:r>
        <w:rPr>
          <w:b/>
          <w:bCs/>
        </w:rPr>
        <w:t xml:space="preserve">Recomendación técnica: </w:t>
      </w:r>
      <w:r>
        <w:t xml:space="preserve">la primera. Es una promesa razonable y barata de cumplir, y la trazabilidad de los accesos del operador es probablemente exigible con independencia de lo que diga el texto.</w:t>
      </w:r>
    </w:p>
    <w:p>
      <w:pPr>
        <w:pStyle w:val="Heading2"/>
        <w:spacing w:after="140" w:before="280"/>
      </w:pPr>
      <w:r>
        <w:t xml:space="preserve">2.2. «El historial clínico cerrado no se puede modificar ni borrar» — cierto a medias</w:t>
      </w:r>
    </w:p>
    <w:p>
      <w:pPr>
        <w:spacing w:after="140" w:line="276"/>
      </w:pPr>
      <w:r>
        <w:rPr>
          <w:b/>
          <w:bCs/>
        </w:rPr>
        <w:t xml:space="preserve">«No se puede modificar»: correcto. </w:t>
      </w:r>
      <w:r>
        <w:t xml:space="preserve">Existen dos barreras en la base de datos que lo impiden.</w:t>
      </w:r>
    </w:p>
    <w:p>
      <w:pPr>
        <w:spacing w:after="140" w:line="276"/>
      </w:pPr>
      <w:r>
        <w:rPr>
          <w:b/>
          <w:bCs/>
          <w:color w:val="B91C1C"/>
        </w:rPr>
        <w:t xml:space="preserve">«Ni borrar»: no está garantizado. </w:t>
      </w:r>
      <w:r>
        <w:t xml:space="preserve">La protección existente impide eliminar un paciente únicamente cuando tiene cobros registrados en caja: comprueba los cobros, no los historiales. Un paciente </w:t>
      </w:r>
      <w:r>
        <w:rPr>
          <w:b/>
          <w:bCs/>
        </w:rPr>
        <w:t xml:space="preserve">con historial clínico cerrado pero sin ningún cobro asociado sí puede eliminarse</w:t>
      </w:r>
      <w:r>
        <w:t xml:space="preserve">, y al hacerlo se eliminan en cascada su historial, sus recetas, sus vacunas y sus consentimientos firmados.</w:t>
      </w:r>
    </w:p>
    <w:p>
      <w:pPr>
        <w:spacing w:after="140" w:line="276"/>
      </w:pPr>
      <w:r>
        <w:t xml:space="preserve">La razón técnica es que las eliminaciones en cascada no activan las barreras que protegen la modificación, de modo que la inmutabilidad declarada no las alcanza.</w:t>
      </w:r>
    </w:p>
    <w:p>
      <w:pPr>
        <w:spacing w:after="140" w:line="276"/>
      </w:pPr>
      <w:r>
        <w:rPr>
          <w:b/>
          <w:bCs/>
        </w:rPr>
        <w:t xml:space="preserve">Consecuencia: </w:t>
      </w:r>
      <w:r>
        <w:t xml:space="preserve">el expediente médico de un animal puede desaparecer por una vía que la política declara imposible. El escenario realista no es malicioso: alguien elimina una ficha que cree duplicada.</w:t>
      </w:r>
    </w:p>
    <w:p>
      <w:pPr>
        <w:spacing w:after="240" w:line="276"/>
      </w:pPr>
      <w:r>
        <w:rPr>
          <w:b/>
          <w:bCs/>
        </w:rPr>
        <w:t xml:space="preserve">Salida: </w:t>
      </w:r>
      <w:r>
        <w:t xml:space="preserve">extender la protección existente para que compruebe también los historiales. Es añadir una condición a una barrera que ya existe.</w:t>
      </w:r>
    </w:p>
    <w:p>
      <w:r>
        <w:br w:type="page"/>
      </w:r>
    </w:p>
    <w:p>
      <w:pPr>
        <w:pStyle w:val="Heading1"/>
        <w:spacing w:after="180" w:before="360"/>
      </w:pPr>
      <w:r>
        <w:t xml:space="preserve">3. Datos personales que trata el sistema</w:t>
      </w:r>
    </w:p>
    <w:p>
      <w:pPr>
        <w:pStyle w:val="Heading2"/>
        <w:spacing w:after="140" w:before="280"/>
      </w:pPr>
      <w:r>
        <w:t xml:space="preserve">3.1. Del dueño de la mascota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5126"/>
      </w:tblGrid>
      <w:tr>
        <w:trPr>
          <w:tblHeader/>
        </w:trPr>
        <w:tc>
          <w:tcPr>
            <w:tcW w:type="dxa" w:w="2400"/>
            <w:shd w:fill="0F766E" w:color="auto" w:val="clear"/>
            <w:tcMar>
              <w:top w:type="dxa" w:w="90"/>
              <w:left w:type="dxa" w:w="130"/>
              <w:bottom w:type="dxa" w:w="90"/>
              <w:right w:type="dxa" w:w="130"/>
            </w:tcMar>
          </w:tcPr>
          <w:p>
            <w:pPr>
              <w:spacing w:after="0" w:line="250"/>
            </w:pPr>
            <w:r>
              <w:rPr>
                <w:b/>
                <w:bCs/>
                <w:color w:val="FFFFFF"/>
                <w:sz w:val="19"/>
                <w:szCs w:val="19"/>
              </w:rPr>
              <w:t xml:space="preserve">Dato</w:t>
            </w:r>
          </w:p>
        </w:tc>
        <w:tc>
          <w:tcPr>
            <w:tcW w:type="dxa" w:w="1500"/>
            <w:shd w:fill="0F766E" w:color="auto" w:val="clear"/>
            <w:tcMar>
              <w:top w:type="dxa" w:w="90"/>
              <w:left w:type="dxa" w:w="130"/>
              <w:bottom w:type="dxa" w:w="90"/>
              <w:right w:type="dxa" w:w="130"/>
            </w:tcMar>
          </w:tcPr>
          <w:p>
            <w:pPr>
              <w:spacing w:after="0" w:line="250"/>
            </w:pPr>
            <w:r>
              <w:rPr>
                <w:b/>
                <w:bCs/>
                <w:color w:val="FFFFFF"/>
                <w:sz w:val="19"/>
                <w:szCs w:val="19"/>
              </w:rPr>
              <w:t xml:space="preserve">Obligatorio</w:t>
            </w:r>
          </w:p>
        </w:tc>
        <w:tc>
          <w:tcPr>
            <w:tcW w:type="dxa" w:w="5126"/>
            <w:shd w:fill="0F766E" w:color="auto" w:val="clear"/>
            <w:tcMar>
              <w:top w:type="dxa" w:w="90"/>
              <w:left w:type="dxa" w:w="130"/>
              <w:bottom w:type="dxa" w:w="90"/>
              <w:right w:type="dxa" w:w="130"/>
            </w:tcMar>
          </w:tcPr>
          <w:p>
            <w:pPr>
              <w:spacing w:after="0" w:line="250"/>
            </w:pPr>
            <w:r>
              <w:rPr>
                <w:b/>
                <w:bCs/>
                <w:color w:val="FFFFFF"/>
                <w:sz w:val="19"/>
                <w:szCs w:val="19"/>
              </w:rPr>
              <w:t xml:space="preserve">Observaciones</w:t>
            </w:r>
          </w:p>
        </w:tc>
      </w:tr>
      <w:tr>
        <w:tc>
          <w:tcPr>
            <w:tcW w:type="dxa" w:w="2400"/>
            <w:tcMar>
              <w:top w:type="dxa" w:w="90"/>
              <w:left w:type="dxa" w:w="130"/>
              <w:bottom w:type="dxa" w:w="90"/>
              <w:right w:type="dxa" w:w="130"/>
            </w:tcMar>
          </w:tcPr>
          <w:p>
            <w:pPr>
              <w:spacing w:after="0" w:line="250"/>
            </w:pPr>
            <w:r>
              <w:rPr>
                <w:sz w:val="19"/>
                <w:szCs w:val="19"/>
              </w:rPr>
              <w:t xml:space="preserve">Nombre completo</w:t>
            </w:r>
          </w:p>
        </w:tc>
        <w:tc>
          <w:tcPr>
            <w:tcW w:type="dxa" w:w="1500"/>
            <w:tcMar>
              <w:top w:type="dxa" w:w="90"/>
              <w:left w:type="dxa" w:w="130"/>
              <w:bottom w:type="dxa" w:w="90"/>
              <w:right w:type="dxa" w:w="130"/>
            </w:tcMar>
          </w:tcPr>
          <w:p>
            <w:pPr>
              <w:spacing w:after="0" w:line="250"/>
            </w:pPr>
            <w:r>
              <w:rPr>
                <w:sz w:val="19"/>
                <w:szCs w:val="19"/>
              </w:rPr>
              <w:t xml:space="preserve">Sí</w:t>
            </w:r>
          </w:p>
        </w:tc>
        <w:tc>
          <w:tcPr>
            <w:tcW w:type="dxa" w:w="5126"/>
            <w:tcMar>
              <w:top w:type="dxa" w:w="90"/>
              <w:left w:type="dxa" w:w="130"/>
              <w:bottom w:type="dxa" w:w="90"/>
              <w:right w:type="dxa" w:w="130"/>
            </w:tcMar>
          </w:tcPr>
          <w:p>
            <w:pPr>
              <w:spacing w:after="0" w:line="250"/>
            </w:pPr>
            <w:r>
              <w:rPr>
                <w:sz w:val="19"/>
                <w:szCs w:val="19"/>
              </w:rPr>
              <w:t xml:space="preserve">—</w:t>
            </w:r>
          </w:p>
        </w:tc>
      </w:tr>
      <w:tr>
        <w:tc>
          <w:tcPr>
            <w:tcW w:type="dxa" w:w="2400"/>
            <w:shd w:fill="F1F5F9" w:color="auto" w:val="clear"/>
            <w:tcMar>
              <w:top w:type="dxa" w:w="90"/>
              <w:left w:type="dxa" w:w="130"/>
              <w:bottom w:type="dxa" w:w="90"/>
              <w:right w:type="dxa" w:w="130"/>
            </w:tcMar>
          </w:tcPr>
          <w:p>
            <w:pPr>
              <w:spacing w:after="0" w:line="250"/>
            </w:pPr>
            <w:r>
              <w:rPr>
                <w:sz w:val="19"/>
                <w:szCs w:val="19"/>
              </w:rPr>
              <w:t xml:space="preserve">WhatsApp o teléfono</w:t>
            </w:r>
          </w:p>
        </w:tc>
        <w:tc>
          <w:tcPr>
            <w:tcW w:type="dxa" w:w="1500"/>
            <w:shd w:fill="F1F5F9" w:color="auto" w:val="clear"/>
            <w:tcMar>
              <w:top w:type="dxa" w:w="90"/>
              <w:left w:type="dxa" w:w="130"/>
              <w:bottom w:type="dxa" w:w="90"/>
              <w:right w:type="dxa" w:w="130"/>
            </w:tcMar>
          </w:tcPr>
          <w:p>
            <w:pPr>
              <w:spacing w:after="0" w:line="250"/>
            </w:pPr>
            <w:r>
              <w:rPr>
                <w:sz w:val="19"/>
                <w:szCs w:val="19"/>
              </w:rPr>
              <w:t xml:space="preserve">Sí</w:t>
            </w:r>
          </w:p>
        </w:tc>
        <w:tc>
          <w:tcPr>
            <w:tcW w:type="dxa" w:w="5126"/>
            <w:shd w:fill="F1F5F9" w:color="auto" w:val="clear"/>
            <w:tcMar>
              <w:top w:type="dxa" w:w="90"/>
              <w:left w:type="dxa" w:w="130"/>
              <w:bottom w:type="dxa" w:w="90"/>
              <w:right w:type="dxa" w:w="130"/>
            </w:tcMar>
          </w:tcPr>
          <w:p>
            <w:pPr>
              <w:spacing w:after="0" w:line="250"/>
            </w:pPr>
            <w:r>
              <w:rPr>
                <w:sz w:val="19"/>
                <w:szCs w:val="19"/>
              </w:rPr>
              <w:t xml:space="preserve">Se emplea como factor de vinculación de cuentas</w:t>
            </w:r>
          </w:p>
        </w:tc>
      </w:tr>
      <w:tr>
        <w:tc>
          <w:tcPr>
            <w:tcW w:type="dxa" w:w="2400"/>
            <w:tcMar>
              <w:top w:type="dxa" w:w="90"/>
              <w:left w:type="dxa" w:w="130"/>
              <w:bottom w:type="dxa" w:w="90"/>
              <w:right w:type="dxa" w:w="130"/>
            </w:tcMar>
          </w:tcPr>
          <w:p>
            <w:pPr>
              <w:spacing w:after="0" w:line="250"/>
            </w:pPr>
            <w:r>
              <w:rPr>
                <w:b/>
                <w:bCs/>
                <w:sz w:val="19"/>
                <w:szCs w:val="19"/>
              </w:rPr>
              <w:t xml:space="preserve">Cédula de identidad</w:t>
            </w:r>
          </w:p>
        </w:tc>
        <w:tc>
          <w:tcPr>
            <w:tcW w:type="dxa" w:w="1500"/>
            <w:tcMar>
              <w:top w:type="dxa" w:w="90"/>
              <w:left w:type="dxa" w:w="130"/>
              <w:bottom w:type="dxa" w:w="90"/>
              <w:right w:type="dxa" w:w="130"/>
            </w:tcMar>
          </w:tcPr>
          <w:p>
            <w:pPr>
              <w:spacing w:after="0" w:line="250"/>
            </w:pPr>
            <w:r>
              <w:rPr>
                <w:sz w:val="19"/>
                <w:szCs w:val="19"/>
              </w:rPr>
              <w:t xml:space="preserve">No</w:t>
            </w:r>
          </w:p>
        </w:tc>
        <w:tc>
          <w:tcPr>
            <w:tcW w:type="dxa" w:w="5126"/>
            <w:tcMar>
              <w:top w:type="dxa" w:w="90"/>
              <w:left w:type="dxa" w:w="130"/>
              <w:bottom w:type="dxa" w:w="90"/>
              <w:right w:type="dxa" w:w="130"/>
            </w:tcMar>
          </w:tcPr>
          <w:p>
            <w:pPr>
              <w:spacing w:after="0" w:line="250"/>
            </w:pPr>
            <w:r>
              <w:rPr>
                <w:b/>
                <w:bCs/>
                <w:sz w:val="19"/>
                <w:szCs w:val="19"/>
              </w:rPr>
              <w:t xml:space="preserve">El dato más sensible que se conserva de una persona</w:t>
            </w:r>
          </w:p>
        </w:tc>
      </w:tr>
      <w:tr>
        <w:tc>
          <w:tcPr>
            <w:tcW w:type="dxa" w:w="2400"/>
            <w:shd w:fill="F1F5F9" w:color="auto" w:val="clear"/>
            <w:tcMar>
              <w:top w:type="dxa" w:w="90"/>
              <w:left w:type="dxa" w:w="130"/>
              <w:bottom w:type="dxa" w:w="90"/>
              <w:right w:type="dxa" w:w="130"/>
            </w:tcMar>
          </w:tcPr>
          <w:p>
            <w:pPr>
              <w:spacing w:after="0" w:line="250"/>
            </w:pPr>
            <w:r>
              <w:rPr>
                <w:sz w:val="19"/>
                <w:szCs w:val="19"/>
              </w:rPr>
              <w:t xml:space="preserve">Correo electrónico</w:t>
            </w:r>
          </w:p>
        </w:tc>
        <w:tc>
          <w:tcPr>
            <w:tcW w:type="dxa" w:w="1500"/>
            <w:shd w:fill="F1F5F9" w:color="auto" w:val="clear"/>
            <w:tcMar>
              <w:top w:type="dxa" w:w="90"/>
              <w:left w:type="dxa" w:w="130"/>
              <w:bottom w:type="dxa" w:w="90"/>
              <w:right w:type="dxa" w:w="130"/>
            </w:tcMar>
          </w:tcPr>
          <w:p>
            <w:pPr>
              <w:spacing w:after="0" w:line="250"/>
            </w:pPr>
            <w:r>
              <w:rPr>
                <w:sz w:val="19"/>
                <w:szCs w:val="19"/>
              </w:rPr>
              <w:t xml:space="preserve">Solo si abre cuenta</w:t>
            </w:r>
          </w:p>
        </w:tc>
        <w:tc>
          <w:tcPr>
            <w:tcW w:type="dxa" w:w="5126"/>
            <w:shd w:fill="F1F5F9" w:color="auto" w:val="clear"/>
            <w:tcMar>
              <w:top w:type="dxa" w:w="90"/>
              <w:left w:type="dxa" w:w="130"/>
              <w:bottom w:type="dxa" w:w="90"/>
              <w:right w:type="dxa" w:w="130"/>
            </w:tcMar>
          </w:tcPr>
          <w:p>
            <w:pPr>
              <w:spacing w:after="0" w:line="250"/>
            </w:pPr>
            <w:r>
              <w:rPr>
                <w:sz w:val="19"/>
                <w:szCs w:val="19"/>
              </w:rPr>
              <w:t xml:space="preserve">Necesario únicamente para el portal del cliente</w:t>
            </w:r>
          </w:p>
        </w:tc>
      </w:tr>
    </w:tbl>
    <w:p>
      <w:pPr>
        <w:pStyle w:val="Heading2"/>
        <w:spacing w:after="140" w:before="280"/>
      </w:pPr>
      <w:r>
        <w:t xml:space="preserve">3.2. Del personal de la clínica</w:t>
      </w:r>
    </w:p>
    <w:p>
      <w:pPr>
        <w:spacing w:after="140" w:line="276"/>
      </w:pPr>
      <w:r>
        <w:t xml:space="preserve">Nombre, correo electrónico, WhatsApp y rol dentro de la clínica. La contraseña no se almacena en el sistema: la gestiona el proveedor de infraestructura y la aplicación nunca llega a verla.</w:t>
      </w:r>
    </w:p>
    <w:p>
      <w:pPr>
        <w:pStyle w:val="Heading2"/>
        <w:spacing w:after="140" w:before="280"/>
      </w:pPr>
      <w:r>
        <w:t xml:space="preserve">3.3. De la mascota</w:t>
      </w:r>
    </w:p>
    <w:p>
      <w:pPr>
        <w:spacing w:after="140" w:line="276"/>
      </w:pPr>
      <w:r>
        <w:t xml:space="preserve">Historial clínico, diagnósticos, tratamientos, recetas, vacunas, desparasitaciones, peso, alergias y fotografía. No constituyen datos de salud de personas físicas.</w:t>
      </w:r>
    </w:p>
    <w:p>
      <w:pPr>
        <w:pStyle w:val="Heading2"/>
        <w:spacing w:after="140" w:before="280"/>
      </w:pPr>
      <w:r>
        <w:t xml:space="preserve">3.4. Firmas manuscritas</w:t>
      </w:r>
    </w:p>
    <w:p>
      <w:pPr>
        <w:spacing w:after="140" w:line="276"/>
      </w:pPr>
      <w:r>
        <w:t xml:space="preserve">Tres tablas del sistema conservan </w:t>
      </w:r>
      <w:r>
        <w:rPr>
          <w:b/>
          <w:bCs/>
        </w:rPr>
        <w:t xml:space="preserve">firmas manuscritas capturadas en el dispositivo</w:t>
      </w:r>
      <w:r>
        <w:t xml:space="preserve"> (consentimientos de cirugía, informes firmados y recibos), almacenadas como imagen codificada.</w:t>
      </w:r>
    </w:p>
    <w:p>
      <w:pPr>
        <w:shd w:fill="FEF2F2" w:color="auto" w:val="clear"/>
        <w:spacing w:after="80" w:line="276"/>
      </w:pPr>
      <w:r>
        <w:rPr>
          <w:b/>
          <w:bCs/>
          <w:color w:val="B91C1C"/>
          <w:sz w:val="22"/>
          <w:szCs w:val="22"/>
        </w:rPr>
        <w:t xml:space="preserve">Cuestión no planteada hasta ahora</w:t>
      </w:r>
    </w:p>
    <w:p>
      <w:pPr>
        <w:shd w:fill="FEF2F2" w:color="auto" w:val="clear"/>
        <w:spacing w:after="200" w:line="276"/>
      </w:pPr>
      <w:r>
        <w:t xml:space="preserve">Una firma manuscrita capturada digitalmente puede tener la consideración de dato biométrico o de categoría especial en determinados ordenamientos. Es una pregunta directa para la asesoría y afecta a tres tablas del sistema.</w:t>
      </w:r>
    </w:p>
    <w:p>
      <w:pPr>
        <w:pStyle w:val="Heading2"/>
        <w:spacing w:after="140" w:before="280"/>
      </w:pPr>
      <w:r>
        <w:t xml:space="preserve">3.5. Documentos e imágenes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3100"/>
        <w:gridCol w:w="3026"/>
      </w:tblGrid>
      <w:tr>
        <w:trPr>
          <w:tblHeader/>
        </w:trPr>
        <w:tc>
          <w:tcPr>
            <w:tcW w:type="dxa" w:w="2900"/>
            <w:shd w:fill="0F766E" w:color="auto" w:val="clear"/>
            <w:tcMar>
              <w:top w:type="dxa" w:w="90"/>
              <w:left w:type="dxa" w:w="130"/>
              <w:bottom w:type="dxa" w:w="90"/>
              <w:right w:type="dxa" w:w="130"/>
            </w:tcMar>
          </w:tcPr>
          <w:p>
            <w:pPr>
              <w:spacing w:after="0" w:line="250"/>
            </w:pPr>
            <w:r>
              <w:rPr>
                <w:b/>
                <w:bCs/>
                <w:color w:val="FFFFFF"/>
                <w:sz w:val="19"/>
                <w:szCs w:val="19"/>
              </w:rPr>
              <w:t xml:space="preserve">Contenido</w:t>
            </w:r>
          </w:p>
        </w:tc>
        <w:tc>
          <w:tcPr>
            <w:tcW w:type="dxa" w:w="3100"/>
            <w:shd w:fill="0F766E" w:color="auto" w:val="clear"/>
            <w:tcMar>
              <w:top w:type="dxa" w:w="90"/>
              <w:left w:type="dxa" w:w="130"/>
              <w:bottom w:type="dxa" w:w="90"/>
              <w:right w:type="dxa" w:w="130"/>
            </w:tcMar>
          </w:tcPr>
          <w:p>
            <w:pPr>
              <w:spacing w:after="0" w:line="250"/>
            </w:pPr>
            <w:r>
              <w:rPr>
                <w:b/>
                <w:bCs/>
                <w:color w:val="FFFFFF"/>
                <w:sz w:val="19"/>
                <w:szCs w:val="19"/>
              </w:rPr>
              <w:t xml:space="preserve">Ubicación</w:t>
            </w:r>
          </w:p>
        </w:tc>
        <w:tc>
          <w:tcPr>
            <w:tcW w:type="dxa" w:w="3026"/>
            <w:shd w:fill="0F766E" w:color="auto" w:val="clear"/>
            <w:tcMar>
              <w:top w:type="dxa" w:w="90"/>
              <w:left w:type="dxa" w:w="130"/>
              <w:bottom w:type="dxa" w:w="90"/>
              <w:right w:type="dxa" w:w="130"/>
            </w:tcMar>
          </w:tcPr>
          <w:p>
            <w:pPr>
              <w:spacing w:after="0" w:line="250"/>
            </w:pPr>
            <w:r>
              <w:rPr>
                <w:b/>
                <w:bCs/>
                <w:color w:val="FFFFFF"/>
                <w:sz w:val="19"/>
                <w:szCs w:val="19"/>
              </w:rPr>
              <w:t xml:space="preserve">Visibilidad</w:t>
            </w:r>
          </w:p>
        </w:tc>
      </w:tr>
      <w:tr>
        <w:tc>
          <w:tcPr>
            <w:tcW w:type="dxa" w:w="2900"/>
            <w:tcMar>
              <w:top w:type="dxa" w:w="90"/>
              <w:left w:type="dxa" w:w="130"/>
              <w:bottom w:type="dxa" w:w="90"/>
              <w:right w:type="dxa" w:w="130"/>
            </w:tcMar>
          </w:tcPr>
          <w:p>
            <w:pPr>
              <w:spacing w:after="0" w:line="250"/>
            </w:pPr>
            <w:r>
              <w:rPr>
                <w:sz w:val="19"/>
                <w:szCs w:val="19"/>
              </w:rPr>
              <w:t xml:space="preserve">Fotografía del paciente</w:t>
            </w:r>
          </w:p>
        </w:tc>
        <w:tc>
          <w:tcPr>
            <w:tcW w:type="dxa" w:w="3100"/>
            <w:tcMar>
              <w:top w:type="dxa" w:w="90"/>
              <w:left w:type="dxa" w:w="130"/>
              <w:bottom w:type="dxa" w:w="90"/>
              <w:right w:type="dxa" w:w="130"/>
            </w:tcMar>
          </w:tcPr>
          <w:p>
            <w:pPr>
              <w:spacing w:after="0" w:line="250"/>
            </w:pPr>
            <w:r>
              <w:rPr>
                <w:sz w:val="19"/>
                <w:szCs w:val="19"/>
              </w:rPr>
              <w:t xml:space="preserve">Base de datos</w:t>
            </w:r>
          </w:p>
        </w:tc>
        <w:tc>
          <w:tcPr>
            <w:tcW w:type="dxa" w:w="3026"/>
            <w:tcMar>
              <w:top w:type="dxa" w:w="90"/>
              <w:left w:type="dxa" w:w="130"/>
              <w:bottom w:type="dxa" w:w="90"/>
              <w:right w:type="dxa" w:w="130"/>
            </w:tcMar>
          </w:tcPr>
          <w:p>
            <w:pPr>
              <w:spacing w:after="0" w:line="250"/>
            </w:pPr>
            <w:r>
              <w:rPr>
                <w:sz w:val="19"/>
                <w:szCs w:val="19"/>
              </w:rPr>
              <w:t xml:space="preserve">Privada</w:t>
            </w:r>
          </w:p>
        </w:tc>
      </w:tr>
      <w:tr>
        <w:tc>
          <w:tcPr>
            <w:tcW w:type="dxa" w:w="2900"/>
            <w:shd w:fill="F1F5F9" w:color="auto" w:val="clear"/>
            <w:tcMar>
              <w:top w:type="dxa" w:w="90"/>
              <w:left w:type="dxa" w:w="130"/>
              <w:bottom w:type="dxa" w:w="90"/>
              <w:right w:type="dxa" w:w="130"/>
            </w:tcMar>
          </w:tcPr>
          <w:p>
            <w:pPr>
              <w:spacing w:after="0" w:line="250"/>
            </w:pPr>
            <w:r>
              <w:rPr>
                <w:sz w:val="19"/>
                <w:szCs w:val="19"/>
              </w:rPr>
              <w:t xml:space="preserve">Estudios de imagen</w:t>
            </w:r>
          </w:p>
        </w:tc>
        <w:tc>
          <w:tcPr>
            <w:tcW w:type="dxa" w:w="3100"/>
            <w:shd w:fill="F1F5F9" w:color="auto" w:val="clear"/>
            <w:tcMar>
              <w:top w:type="dxa" w:w="90"/>
              <w:left w:type="dxa" w:w="130"/>
              <w:bottom w:type="dxa" w:w="90"/>
              <w:right w:type="dxa" w:w="130"/>
            </w:tcMar>
          </w:tcPr>
          <w:p>
            <w:pPr>
              <w:spacing w:after="0" w:line="250"/>
            </w:pPr>
            <w:r>
              <w:rPr>
                <w:sz w:val="19"/>
                <w:szCs w:val="19"/>
              </w:rPr>
              <w:t xml:space="preserve">Almacenamiento de archivos</w:t>
            </w:r>
          </w:p>
        </w:tc>
        <w:tc>
          <w:tcPr>
            <w:tcW w:type="dxa" w:w="3026"/>
            <w:shd w:fill="F1F5F9" w:color="auto" w:val="clear"/>
            <w:tcMar>
              <w:top w:type="dxa" w:w="90"/>
              <w:left w:type="dxa" w:w="130"/>
              <w:bottom w:type="dxa" w:w="90"/>
              <w:right w:type="dxa" w:w="130"/>
            </w:tcMar>
          </w:tcPr>
          <w:p>
            <w:pPr>
              <w:spacing w:after="0" w:line="250"/>
            </w:pPr>
            <w:r>
              <w:rPr>
                <w:sz w:val="19"/>
                <w:szCs w:val="19"/>
              </w:rPr>
              <w:t xml:space="preserve">Privado, enlace temporal de 1 hora</w:t>
            </w:r>
          </w:p>
        </w:tc>
      </w:tr>
      <w:tr>
        <w:tc>
          <w:tcPr>
            <w:tcW w:type="dxa" w:w="2900"/>
            <w:tcMar>
              <w:top w:type="dxa" w:w="90"/>
              <w:left w:type="dxa" w:w="130"/>
              <w:bottom w:type="dxa" w:w="90"/>
              <w:right w:type="dxa" w:w="130"/>
            </w:tcMar>
          </w:tcPr>
          <w:p>
            <w:pPr>
              <w:spacing w:after="0" w:line="250"/>
            </w:pPr>
            <w:r>
              <w:rPr>
                <w:b/>
                <w:bCs/>
                <w:sz w:val="19"/>
                <w:szCs w:val="19"/>
              </w:rPr>
              <w:t xml:space="preserve">Comprobantes de pago</w:t>
            </w:r>
          </w:p>
        </w:tc>
        <w:tc>
          <w:tcPr>
            <w:tcW w:type="dxa" w:w="3100"/>
            <w:tcMar>
              <w:top w:type="dxa" w:w="90"/>
              <w:left w:type="dxa" w:w="130"/>
              <w:bottom w:type="dxa" w:w="90"/>
              <w:right w:type="dxa" w:w="130"/>
            </w:tcMar>
          </w:tcPr>
          <w:p>
            <w:pPr>
              <w:spacing w:after="0" w:line="250"/>
            </w:pPr>
            <w:r>
              <w:rPr>
                <w:sz w:val="19"/>
                <w:szCs w:val="19"/>
              </w:rPr>
              <w:t xml:space="preserve">Almacenamiento de archivos</w:t>
            </w:r>
          </w:p>
        </w:tc>
        <w:tc>
          <w:tcPr>
            <w:tcW w:type="dxa" w:w="3026"/>
            <w:tcMar>
              <w:top w:type="dxa" w:w="90"/>
              <w:left w:type="dxa" w:w="130"/>
              <w:bottom w:type="dxa" w:w="90"/>
              <w:right w:type="dxa" w:w="130"/>
            </w:tcMar>
          </w:tcPr>
          <w:p>
            <w:pPr>
              <w:spacing w:after="0" w:line="250"/>
            </w:pPr>
            <w:r>
              <w:rPr>
                <w:sz w:val="19"/>
                <w:szCs w:val="19"/>
              </w:rPr>
              <w:t xml:space="preserve">Privado, enlace temporal de 1 hora</w:t>
            </w:r>
          </w:p>
        </w:tc>
      </w:tr>
      <w:tr>
        <w:tc>
          <w:tcPr>
            <w:tcW w:type="dxa" w:w="2900"/>
            <w:shd w:fill="F1F5F9" w:color="auto" w:val="clear"/>
            <w:tcMar>
              <w:top w:type="dxa" w:w="90"/>
              <w:left w:type="dxa" w:w="130"/>
              <w:bottom w:type="dxa" w:w="90"/>
              <w:right w:type="dxa" w:w="130"/>
            </w:tcMar>
          </w:tcPr>
          <w:p>
            <w:pPr>
              <w:spacing w:after="0" w:line="250"/>
            </w:pPr>
            <w:r>
              <w:rPr>
                <w:sz w:val="19"/>
                <w:szCs w:val="19"/>
              </w:rPr>
              <w:t xml:space="preserve">Fotos del catálogo comercial</w:t>
            </w:r>
          </w:p>
        </w:tc>
        <w:tc>
          <w:tcPr>
            <w:tcW w:type="dxa" w:w="3100"/>
            <w:shd w:fill="F1F5F9" w:color="auto" w:val="clear"/>
            <w:tcMar>
              <w:top w:type="dxa" w:w="90"/>
              <w:left w:type="dxa" w:w="130"/>
              <w:bottom w:type="dxa" w:w="90"/>
              <w:right w:type="dxa" w:w="130"/>
            </w:tcMar>
          </w:tcPr>
          <w:p>
            <w:pPr>
              <w:spacing w:after="0" w:line="250"/>
            </w:pPr>
            <w:r>
              <w:rPr>
                <w:sz w:val="19"/>
                <w:szCs w:val="19"/>
              </w:rPr>
              <w:t xml:space="preserve">Almacenamiento de archivos</w:t>
            </w:r>
          </w:p>
        </w:tc>
        <w:tc>
          <w:tcPr>
            <w:tcW w:type="dxa" w:w="3026"/>
            <w:shd w:fill="F1F5F9" w:color="auto" w:val="clear"/>
            <w:tcMar>
              <w:top w:type="dxa" w:w="90"/>
              <w:left w:type="dxa" w:w="130"/>
              <w:bottom w:type="dxa" w:w="90"/>
              <w:right w:type="dxa" w:w="130"/>
            </w:tcMar>
          </w:tcPr>
          <w:p>
            <w:pPr>
              <w:spacing w:after="0" w:line="250"/>
            </w:pPr>
            <w:r>
              <w:rPr>
                <w:b/>
                <w:bCs/>
                <w:sz w:val="19"/>
                <w:szCs w:val="19"/>
              </w:rPr>
              <w:t xml:space="preserve">Público, de forma deliberada</w:t>
            </w:r>
          </w:p>
        </w:tc>
      </w:tr>
    </w:tbl>
    <w:p>
      <w:pPr>
        <w:spacing w:after="240" w:line="276"/>
      </w:pPr>
      <w:r>
        <w:rPr>
          <w:b/>
          <w:bCs/>
        </w:rPr>
        <w:t xml:space="preserve">Nota: </w:t>
      </w:r>
      <w:r>
        <w:t xml:space="preserve">los comprobantes de pago son fotografías de transferencias bancarias subidas por las clínicas. Pueden contener nombres de titulares, números de cuenta e importes. Se conservan en almacenamiento privado.</w:t>
      </w:r>
    </w:p>
    <w:p>
      <w:pPr>
        <w:pStyle w:val="Heading1"/>
        <w:spacing w:after="180" w:before="360"/>
      </w:pPr>
      <w:r>
        <w:t xml:space="preserve">4. Dónde están alojados los datos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226"/>
      </w:tblGrid>
      <w:tr>
        <w:trPr>
          <w:tblHeader/>
        </w:trPr>
        <w:tc>
          <w:tcPr>
            <w:tcW w:type="dxa" w:w="3600"/>
            <w:shd w:fill="0F766E" w:color="auto" w:val="clear"/>
            <w:tcMar>
              <w:top w:type="dxa" w:w="90"/>
              <w:left w:type="dxa" w:w="130"/>
              <w:bottom w:type="dxa" w:w="90"/>
              <w:right w:type="dxa" w:w="130"/>
            </w:tcMar>
          </w:tcPr>
          <w:p>
            <w:pPr>
              <w:spacing w:after="0" w:line="250"/>
            </w:pPr>
            <w:r>
              <w:rPr>
                <w:b/>
                <w:bCs/>
                <w:color w:val="FFFFFF"/>
                <w:sz w:val="19"/>
                <w:szCs w:val="19"/>
              </w:rPr>
              <w:t xml:space="preserve">Componente</w:t>
            </w:r>
          </w:p>
        </w:tc>
        <w:tc>
          <w:tcPr>
            <w:tcW w:type="dxa" w:w="2200"/>
            <w:shd w:fill="0F766E" w:color="auto" w:val="clear"/>
            <w:tcMar>
              <w:top w:type="dxa" w:w="90"/>
              <w:left w:type="dxa" w:w="130"/>
              <w:bottom w:type="dxa" w:w="90"/>
              <w:right w:type="dxa" w:w="130"/>
            </w:tcMar>
          </w:tcPr>
          <w:p>
            <w:pPr>
              <w:spacing w:after="0" w:line="250"/>
            </w:pPr>
            <w:r>
              <w:rPr>
                <w:b/>
                <w:bCs/>
                <w:color w:val="FFFFFF"/>
                <w:sz w:val="19"/>
                <w:szCs w:val="19"/>
              </w:rPr>
              <w:t xml:space="preserve">Proveedor</w:t>
            </w:r>
          </w:p>
        </w:tc>
        <w:tc>
          <w:tcPr>
            <w:tcW w:type="dxa" w:w="3226"/>
            <w:shd w:fill="0F766E" w:color="auto" w:val="clear"/>
            <w:tcMar>
              <w:top w:type="dxa" w:w="90"/>
              <w:left w:type="dxa" w:w="130"/>
              <w:bottom w:type="dxa" w:w="90"/>
              <w:right w:type="dxa" w:w="130"/>
            </w:tcMar>
          </w:tcPr>
          <w:p>
            <w:pPr>
              <w:spacing w:after="0" w:line="250"/>
            </w:pPr>
            <w:r>
              <w:rPr>
                <w:b/>
                <w:bCs/>
                <w:color w:val="FFFFFF"/>
                <w:sz w:val="19"/>
                <w:szCs w:val="19"/>
              </w:rPr>
              <w:t xml:space="preserve">Ubicación</w:t>
            </w:r>
          </w:p>
        </w:tc>
      </w:tr>
      <w:tr>
        <w:tc>
          <w:tcPr>
            <w:tcW w:type="dxa" w:w="3600"/>
            <w:tcMar>
              <w:top w:type="dxa" w:w="90"/>
              <w:left w:type="dxa" w:w="130"/>
              <w:bottom w:type="dxa" w:w="90"/>
              <w:right w:type="dxa" w:w="130"/>
            </w:tcMar>
          </w:tcPr>
          <w:p>
            <w:pPr>
              <w:spacing w:after="0" w:line="250"/>
            </w:pPr>
            <w:r>
              <w:rPr>
                <w:sz w:val="19"/>
                <w:szCs w:val="19"/>
              </w:rPr>
              <w:t xml:space="preserve">Base de datos, autenticación y archivos</w:t>
            </w:r>
          </w:p>
        </w:tc>
        <w:tc>
          <w:tcPr>
            <w:tcW w:type="dxa" w:w="2200"/>
            <w:tcMar>
              <w:top w:type="dxa" w:w="90"/>
              <w:left w:type="dxa" w:w="130"/>
              <w:bottom w:type="dxa" w:w="90"/>
              <w:right w:type="dxa" w:w="130"/>
            </w:tcMar>
          </w:tcPr>
          <w:p>
            <w:pPr>
              <w:spacing w:after="0" w:line="250"/>
            </w:pPr>
            <w:r>
              <w:rPr>
                <w:sz w:val="19"/>
                <w:szCs w:val="19"/>
              </w:rPr>
              <w:t xml:space="preserve">Supabase</w:t>
            </w:r>
          </w:p>
        </w:tc>
        <w:tc>
          <w:tcPr>
            <w:tcW w:type="dxa" w:w="3226"/>
            <w:tcMar>
              <w:top w:type="dxa" w:w="90"/>
              <w:left w:type="dxa" w:w="130"/>
              <w:bottom w:type="dxa" w:w="90"/>
              <w:right w:type="dxa" w:w="130"/>
            </w:tcMar>
          </w:tcPr>
          <w:p>
            <w:pPr>
              <w:spacing w:after="0" w:line="250"/>
            </w:pPr>
            <w:r>
              <w:rPr>
                <w:sz w:val="19"/>
                <w:szCs w:val="19"/>
              </w:rPr>
              <w:t xml:space="preserve">São Paulo, Brasil</w:t>
            </w:r>
          </w:p>
        </w:tc>
      </w:tr>
      <w:tr>
        <w:tc>
          <w:tcPr>
            <w:tcW w:type="dxa" w:w="3600"/>
            <w:shd w:fill="F1F5F9" w:color="auto" w:val="clear"/>
            <w:tcMar>
              <w:top w:type="dxa" w:w="90"/>
              <w:left w:type="dxa" w:w="130"/>
              <w:bottom w:type="dxa" w:w="90"/>
              <w:right w:type="dxa" w:w="130"/>
            </w:tcMar>
          </w:tcPr>
          <w:p>
            <w:pPr>
              <w:spacing w:after="0" w:line="250"/>
            </w:pPr>
            <w:r>
              <w:rPr>
                <w:sz w:val="19"/>
                <w:szCs w:val="19"/>
              </w:rPr>
              <w:t xml:space="preserve">Aplicación web</w:t>
            </w:r>
          </w:p>
        </w:tc>
        <w:tc>
          <w:tcPr>
            <w:tcW w:type="dxa" w:w="2200"/>
            <w:shd w:fill="F1F5F9" w:color="auto" w:val="clear"/>
            <w:tcMar>
              <w:top w:type="dxa" w:w="90"/>
              <w:left w:type="dxa" w:w="130"/>
              <w:bottom w:type="dxa" w:w="90"/>
              <w:right w:type="dxa" w:w="130"/>
            </w:tcMar>
          </w:tcPr>
          <w:p>
            <w:pPr>
              <w:spacing w:after="0" w:line="250"/>
            </w:pPr>
            <w:r>
              <w:rPr>
                <w:sz w:val="19"/>
                <w:szCs w:val="19"/>
              </w:rPr>
              <w:t xml:space="preserve">Vercel</w:t>
            </w:r>
          </w:p>
        </w:tc>
        <w:tc>
          <w:tcPr>
            <w:tcW w:type="dxa" w:w="3226"/>
            <w:shd w:fill="F1F5F9" w:color="auto" w:val="clear"/>
            <w:tcMar>
              <w:top w:type="dxa" w:w="90"/>
              <w:left w:type="dxa" w:w="130"/>
              <w:bottom w:type="dxa" w:w="90"/>
              <w:right w:type="dxa" w:w="130"/>
            </w:tcMar>
          </w:tcPr>
          <w:p>
            <w:pPr>
              <w:spacing w:after="0" w:line="250"/>
            </w:pPr>
            <w:r>
              <w:rPr>
                <w:sz w:val="19"/>
                <w:szCs w:val="19"/>
              </w:rPr>
              <w:t xml:space="preserve">Estados Unidos / red global</w:t>
            </w:r>
          </w:p>
        </w:tc>
      </w:tr>
      <w:tr>
        <w:tc>
          <w:tcPr>
            <w:tcW w:type="dxa" w:w="3600"/>
            <w:tcMar>
              <w:top w:type="dxa" w:w="90"/>
              <w:left w:type="dxa" w:w="130"/>
              <w:bottom w:type="dxa" w:w="90"/>
              <w:right w:type="dxa" w:w="130"/>
            </w:tcMar>
          </w:tcPr>
          <w:p>
            <w:pPr>
              <w:spacing w:after="0" w:line="250"/>
            </w:pPr>
            <w:r>
              <w:rPr>
                <w:sz w:val="19"/>
                <w:szCs w:val="19"/>
              </w:rPr>
              <w:t xml:space="preserve">Asistente de inteligencia artificial</w:t>
            </w:r>
          </w:p>
        </w:tc>
        <w:tc>
          <w:tcPr>
            <w:tcW w:type="dxa" w:w="2200"/>
            <w:tcMar>
              <w:top w:type="dxa" w:w="90"/>
              <w:left w:type="dxa" w:w="130"/>
              <w:bottom w:type="dxa" w:w="90"/>
              <w:right w:type="dxa" w:w="130"/>
            </w:tcMar>
          </w:tcPr>
          <w:p>
            <w:pPr>
              <w:spacing w:after="0" w:line="250"/>
            </w:pPr>
            <w:r>
              <w:rPr>
                <w:sz w:val="19"/>
                <w:szCs w:val="19"/>
              </w:rPr>
              <w:t xml:space="preserve">Anthropic</w:t>
            </w:r>
          </w:p>
        </w:tc>
        <w:tc>
          <w:tcPr>
            <w:tcW w:type="dxa" w:w="3226"/>
            <w:tcMar>
              <w:top w:type="dxa" w:w="90"/>
              <w:left w:type="dxa" w:w="130"/>
              <w:bottom w:type="dxa" w:w="90"/>
              <w:right w:type="dxa" w:w="130"/>
            </w:tcMar>
          </w:tcPr>
          <w:p>
            <w:pPr>
              <w:spacing w:after="0" w:line="250"/>
            </w:pPr>
            <w:r>
              <w:rPr>
                <w:sz w:val="19"/>
                <w:szCs w:val="19"/>
              </w:rPr>
              <w:t xml:space="preserve">Estados Unidos</w:t>
            </w:r>
          </w:p>
        </w:tc>
      </w:tr>
    </w:tbl>
    <w:p>
      <w:pPr>
        <w:spacing w:after="100" w:line="276"/>
      </w:pPr>
      <w:r>
        <w:rPr>
          <w:b/>
          <w:bCs/>
        </w:rPr>
        <w:t xml:space="preserve">Existe transferencia internacional de datos personales en los tres casos.</w:t>
      </w:r>
    </w:p>
    <w:p>
      <w:pPr>
        <w:spacing w:after="140" w:line="276"/>
      </w:pPr>
      <w:r>
        <w:rPr>
          <w:b/>
          <w:bCs/>
        </w:rPr>
        <w:t xml:space="preserve">Sobre la ubicación de la base de datos: </w:t>
      </w:r>
      <w:r>
        <w:t xml:space="preserve">confirmada por el responsable del producto. São Paulo es la única región sudamericana que ofrece el proveedor, elegida por proximidad a Bolivia. No pudo verificarse desde el entorno de revisión, ya que las cabeceras de red devuelven el nodo de distribución de contenidos situado en La Paz y no la ubicación real de la base de datos.</w:t>
      </w:r>
    </w:p>
    <w:p>
      <w:pPr>
        <w:shd w:fill="FEF2F2" w:color="auto" w:val="clear"/>
        <w:spacing w:after="80" w:line="276"/>
      </w:pPr>
      <w:r>
        <w:rPr>
          <w:b/>
          <w:bCs/>
          <w:color w:val="B91C1C"/>
          <w:sz w:val="22"/>
          <w:szCs w:val="22"/>
        </w:rPr>
        <w:t xml:space="preserve">Recomendación para el expediente</w:t>
      </w:r>
    </w:p>
    <w:p>
      <w:pPr>
        <w:shd w:fill="FEF2F2" w:color="auto" w:val="clear"/>
        <w:spacing w:after="200" w:line="276"/>
      </w:pPr>
      <w:r>
        <w:t xml:space="preserve">Conviene incorporar una captura de pantalla del panel del proveedor (Proyecto → Configuración → General), donde figura la región. Aporta evidencia primaria en lugar de una declaración de parte.</w:t>
      </w:r>
    </w:p>
    <w:p>
      <w:pPr>
        <w:pStyle w:val="Heading1"/>
        <w:spacing w:after="180" w:before="360"/>
      </w:pPr>
      <w:r>
        <w:t xml:space="preserve">5. Qué se envía al proveedor de inteligencia artificial</w:t>
      </w:r>
    </w:p>
    <w:p>
      <w:pPr>
        <w:spacing w:after="140" w:line="276"/>
      </w:pPr>
      <w:r>
        <w:t xml:space="preserve">El sistema incorpora un asistente que ayuda al personal a redactar recordatorios y a consultar información de su propia clínica. Lo que se transmite está delimitado en un único punto del código y ha sido verificado:</w:t>
      </w:r>
    </w:p>
    <w:p>
      <w:pPr>
        <w:pStyle w:val="ListParagraph"/>
        <w:numPr>
          <w:ilvl w:val="0"/>
          <w:numId w:val="3"/>
        </w:numPr>
        <w:spacing w:after="90" w:line="276"/>
      </w:pPr>
      <w:r>
        <w:t xml:space="preserve">Se envía: nombre de la mascota, especie, nombre de pila del dueño (sin apellidos), fecha y tipo de procedimiento. Cuando el personal consulta sobre un paciente concreto, además su historial clínico cerrado y sus recetas.</w:t>
      </w:r>
    </w:p>
    <w:p>
      <w:pPr>
        <w:pStyle w:val="ListParagraph"/>
        <w:numPr>
          <w:ilvl w:val="0"/>
          <w:numId w:val="3"/>
        </w:numPr>
        <w:spacing w:after="90" w:line="276"/>
      </w:pPr>
      <w:r>
        <w:t xml:space="preserve">No se envía en ningún caso: cédula de identidad, teléfono, correo electrónico ni fotografías.</w:t>
      </w:r>
    </w:p>
    <w:p>
      <w:pPr>
        <w:spacing w:after="240" w:line="276"/>
      </w:pPr>
      <w:r>
        <w:rPr>
          <w:b/>
          <w:bCs/>
        </w:rPr>
        <w:t xml:space="preserve">Esta separación está implementada en el sistema, no es una declaración de intenciones: </w:t>
      </w:r>
      <w:r>
        <w:t xml:space="preserve">las funciones que el asistente puede invocar forman una lista cerrada de solo lectura, y ninguna devuelve esos campos.</w:t>
      </w:r>
    </w:p>
    <w:p>
      <w:r>
        <w:br w:type="page"/>
      </w:r>
    </w:p>
    <w:p>
      <w:pPr>
        <w:pStyle w:val="Heading1"/>
        <w:spacing w:after="180" w:before="360"/>
      </w:pPr>
      <w:r>
        <w:t xml:space="preserve">6. Medidas técnicas existentes</w:t>
      </w:r>
    </w:p>
    <w:p>
      <w:pPr>
        <w:spacing w:after="140" w:line="276"/>
      </w:pPr>
      <w:r>
        <w:t xml:space="preserve">Todas las siguientes fueron verificadas durante esta revisión, la mayoría contra el sistema en producción.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tblHeader/>
        </w:trPr>
        <w:tc>
          <w:tcPr>
            <w:tcW w:type="dxa" w:w="4300"/>
            <w:shd w:fill="0F766E" w:color="auto" w:val="clear"/>
            <w:tcMar>
              <w:top w:type="dxa" w:w="90"/>
              <w:left w:type="dxa" w:w="130"/>
              <w:bottom w:type="dxa" w:w="90"/>
              <w:right w:type="dxa" w:w="130"/>
            </w:tcMar>
          </w:tcPr>
          <w:p>
            <w:pPr>
              <w:spacing w:after="0" w:line="250"/>
            </w:pPr>
            <w:r>
              <w:rPr>
                <w:b/>
                <w:bCs/>
                <w:color w:val="FFFFFF"/>
                <w:sz w:val="19"/>
                <w:szCs w:val="19"/>
              </w:rPr>
              <w:t xml:space="preserve">Medida</w:t>
            </w:r>
          </w:p>
        </w:tc>
        <w:tc>
          <w:tcPr>
            <w:tcW w:type="dxa" w:w="4726"/>
            <w:shd w:fill="0F766E" w:color="auto" w:val="clear"/>
            <w:tcMar>
              <w:top w:type="dxa" w:w="90"/>
              <w:left w:type="dxa" w:w="130"/>
              <w:bottom w:type="dxa" w:w="90"/>
              <w:right w:type="dxa" w:w="130"/>
            </w:tcMar>
          </w:tcPr>
          <w:p>
            <w:pPr>
              <w:spacing w:after="0" w:line="250"/>
            </w:pPr>
            <w:r>
              <w:rPr>
                <w:b/>
                <w:bCs/>
                <w:color w:val="FFFFFF"/>
                <w:sz w:val="19"/>
                <w:szCs w:val="19"/>
              </w:rPr>
              <w:t xml:space="preserve">Estado</w:t>
            </w:r>
          </w:p>
        </w:tc>
      </w:tr>
      <w:tr>
        <w:tc>
          <w:tcPr>
            <w:tcW w:type="dxa" w:w="4300"/>
            <w:tcMar>
              <w:top w:type="dxa" w:w="90"/>
              <w:left w:type="dxa" w:w="130"/>
              <w:bottom w:type="dxa" w:w="90"/>
              <w:right w:type="dxa" w:w="130"/>
            </w:tcMar>
          </w:tcPr>
          <w:p>
            <w:pPr>
              <w:spacing w:after="0" w:line="250"/>
            </w:pPr>
            <w:r>
              <w:rPr>
                <w:sz w:val="19"/>
                <w:szCs w:val="19"/>
              </w:rPr>
              <w:t xml:space="preserve">Aislamiento entre clínicas</w:t>
            </w:r>
          </w:p>
        </w:tc>
        <w:tc>
          <w:tcPr>
            <w:tcW w:type="dxa" w:w="4726"/>
            <w:tcMar>
              <w:top w:type="dxa" w:w="90"/>
              <w:left w:type="dxa" w:w="130"/>
              <w:bottom w:type="dxa" w:w="90"/>
              <w:right w:type="dxa" w:w="130"/>
            </w:tcMar>
          </w:tcPr>
          <w:p>
            <w:pPr>
              <w:spacing w:after="0" w:line="250"/>
            </w:pPr>
            <w:r>
              <w:rPr>
                <w:sz w:val="19"/>
                <w:szCs w:val="19"/>
              </w:rPr>
              <w:t xml:space="preserve">Verificado. Impuesto en la base de datos, no en la pantalla</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El operador no puede ver datos clínicos de ninguna clínica</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 en producción</w:t>
            </w:r>
          </w:p>
        </w:tc>
      </w:tr>
      <w:tr>
        <w:tc>
          <w:tcPr>
            <w:tcW w:type="dxa" w:w="4300"/>
            <w:tcMar>
              <w:top w:type="dxa" w:w="90"/>
              <w:left w:type="dxa" w:w="130"/>
              <w:bottom w:type="dxa" w:w="90"/>
              <w:right w:type="dxa" w:w="130"/>
            </w:tcMar>
          </w:tcPr>
          <w:p>
            <w:pPr>
              <w:spacing w:after="0" w:line="250"/>
            </w:pPr>
            <w:r>
              <w:rPr>
                <w:sz w:val="19"/>
                <w:szCs w:val="19"/>
              </w:rPr>
              <w:t xml:space="preserve">Segundo factor obligatorio para la cuenta de operador</w:t>
            </w:r>
          </w:p>
        </w:tc>
        <w:tc>
          <w:tcPr>
            <w:tcW w:type="dxa" w:w="4726"/>
            <w:tcMar>
              <w:top w:type="dxa" w:w="90"/>
              <w:left w:type="dxa" w:w="130"/>
              <w:bottom w:type="dxa" w:w="90"/>
              <w:right w:type="dxa" w:w="130"/>
            </w:tcMar>
          </w:tcPr>
          <w:p>
            <w:pPr>
              <w:spacing w:after="0" w:line="250"/>
            </w:pPr>
            <w:r>
              <w:rPr>
                <w:sz w:val="19"/>
                <w:szCs w:val="19"/>
              </w:rPr>
              <w:t xml:space="preserve">Verificado. Exigido por la base de datos</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Cifrado de las comunicaciones</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 (HTTPS en todo momento)</w:t>
            </w:r>
          </w:p>
        </w:tc>
      </w:tr>
      <w:tr>
        <w:tc>
          <w:tcPr>
            <w:tcW w:type="dxa" w:w="4300"/>
            <w:tcMar>
              <w:top w:type="dxa" w:w="90"/>
              <w:left w:type="dxa" w:w="130"/>
              <w:bottom w:type="dxa" w:w="90"/>
              <w:right w:type="dxa" w:w="130"/>
            </w:tcMar>
          </w:tcPr>
          <w:p>
            <w:pPr>
              <w:spacing w:after="0" w:line="250"/>
            </w:pPr>
            <w:r>
              <w:rPr>
                <w:b/>
                <w:bCs/>
                <w:sz w:val="19"/>
                <w:szCs w:val="19"/>
              </w:rPr>
              <w:t xml:space="preserve">Cifrado del almacenamiento en reposo</w:t>
            </w:r>
          </w:p>
        </w:tc>
        <w:tc>
          <w:tcPr>
            <w:tcW w:type="dxa" w:w="4726"/>
            <w:tcMar>
              <w:top w:type="dxa" w:w="90"/>
              <w:left w:type="dxa" w:w="130"/>
              <w:bottom w:type="dxa" w:w="90"/>
              <w:right w:type="dxa" w:w="130"/>
            </w:tcMar>
          </w:tcPr>
          <w:p>
            <w:pPr>
              <w:spacing w:after="0" w:line="250"/>
            </w:pPr>
            <w:r>
              <w:rPr>
                <w:b/>
                <w:bCs/>
                <w:color w:val="B91C1C"/>
                <w:sz w:val="19"/>
                <w:szCs w:val="19"/>
              </w:rPr>
              <w:t xml:space="preserve">Nunca verificado. Es una propiedad del proveedor</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Inmutabilidad del historial frente a modificación</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w:t>
            </w:r>
          </w:p>
        </w:tc>
      </w:tr>
      <w:tr>
        <w:tc>
          <w:tcPr>
            <w:tcW w:type="dxa" w:w="4300"/>
            <w:tcMar>
              <w:top w:type="dxa" w:w="90"/>
              <w:left w:type="dxa" w:w="130"/>
              <w:bottom w:type="dxa" w:w="90"/>
              <w:right w:type="dxa" w:w="130"/>
            </w:tcMar>
          </w:tcPr>
          <w:p>
            <w:pPr>
              <w:spacing w:after="0" w:line="250"/>
            </w:pPr>
            <w:r>
              <w:rPr>
                <w:sz w:val="19"/>
                <w:szCs w:val="19"/>
              </w:rPr>
              <w:t xml:space="preserve">Las contraseñas nunca llegan a la aplicación</w:t>
            </w:r>
          </w:p>
        </w:tc>
        <w:tc>
          <w:tcPr>
            <w:tcW w:type="dxa" w:w="4726"/>
            <w:tcMar>
              <w:top w:type="dxa" w:w="90"/>
              <w:left w:type="dxa" w:w="130"/>
              <w:bottom w:type="dxa" w:w="90"/>
              <w:right w:type="dxa" w:w="130"/>
            </w:tcMar>
          </w:tcPr>
          <w:p>
            <w:pPr>
              <w:spacing w:after="0" w:line="250"/>
            </w:pPr>
            <w:r>
              <w:rPr>
                <w:sz w:val="19"/>
                <w:szCs w:val="19"/>
              </w:rPr>
              <w:t xml:space="preserve">Verificado</w:t>
            </w:r>
          </w:p>
        </w:tc>
      </w:tr>
      <w:tr>
        <w:tc>
          <w:tcPr>
            <w:tcW w:type="dxa" w:w="4300"/>
            <w:shd w:fill="F1F5F9" w:color="auto" w:val="clear"/>
            <w:tcMar>
              <w:top w:type="dxa" w:w="90"/>
              <w:left w:type="dxa" w:w="130"/>
              <w:bottom w:type="dxa" w:w="90"/>
              <w:right w:type="dxa" w:w="130"/>
            </w:tcMar>
          </w:tcPr>
          <w:p>
            <w:pPr>
              <w:spacing w:after="0" w:line="250"/>
            </w:pPr>
            <w:r>
              <w:rPr>
                <w:sz w:val="19"/>
                <w:szCs w:val="19"/>
              </w:rPr>
              <w:t xml:space="preserve">Archivos sensibles en almacenamiento privado</w:t>
            </w:r>
          </w:p>
        </w:tc>
        <w:tc>
          <w:tcPr>
            <w:tcW w:type="dxa" w:w="4726"/>
            <w:shd w:fill="F1F5F9" w:color="auto" w:val="clear"/>
            <w:tcMar>
              <w:top w:type="dxa" w:w="90"/>
              <w:left w:type="dxa" w:w="130"/>
              <w:bottom w:type="dxa" w:w="90"/>
              <w:right w:type="dxa" w:w="130"/>
            </w:tcMar>
          </w:tcPr>
          <w:p>
            <w:pPr>
              <w:spacing w:after="0" w:line="250"/>
            </w:pPr>
            <w:r>
              <w:rPr>
                <w:sz w:val="19"/>
                <w:szCs w:val="19"/>
              </w:rPr>
              <w:t xml:space="preserve">Verificado</w:t>
            </w:r>
          </w:p>
        </w:tc>
      </w:tr>
    </w:tbl>
    <w:p>
      <w:pPr>
        <w:spacing w:after="240" w:line="276"/>
      </w:pPr>
      <w:r>
        <w:t xml:space="preserve">La política de privacidad ya describe el cifrado en reposo como una propiedad del proveedor y no como una garantía propia, lo cual es correcto y conviene mantener.</w:t>
      </w:r>
    </w:p>
    <w:p>
      <w:pPr>
        <w:pStyle w:val="Heading2"/>
        <w:spacing w:after="140" w:before="280"/>
      </w:pPr>
      <w:r>
        <w:t xml:space="preserve">6.1. Los controles pueden desactivarse en silencio — incidente del 8 de septiembre de 2026</w:t>
      </w:r>
    </w:p>
    <w:p>
      <w:pPr>
        <w:spacing w:after="140" w:line="276"/>
      </w:pPr>
      <w:r>
        <w:t xml:space="preserve">Se declara por transparencia y porque resulta material para valorar si las medidas son adecuadas, aun cuando no se produjo filtración alguna de datos.</w:t>
      </w:r>
    </w:p>
    <w:p>
      <w:pPr>
        <w:spacing w:after="140" w:line="276"/>
      </w:pPr>
      <w:r>
        <w:rPr>
          <w:b/>
          <w:bCs/>
        </w:rPr>
        <w:t xml:space="preserve">Qué ocurrió: </w:t>
      </w:r>
      <w:r>
        <w:t xml:space="preserve">durante esta misma revisión se reejecutó por error una actualización antigua de la base de datos. Al hacerlo quedaron desactivados </w:t>
      </w:r>
      <w:r>
        <w:rPr>
          <w:b/>
          <w:bCs/>
        </w:rPr>
        <w:t xml:space="preserve">dos controles de seguridad</w:t>
      </w:r>
      <w:r>
        <w:t xml:space="preserve"> que llevaban semanas operativos: el segundo factor de autenticación obligatorio de la cuenta de operador, y la restricción de acceso aplicable a clínicas suspendidas. Permanecieron inoperativos durante varias horas.</w:t>
      </w:r>
    </w:p>
    <w:p>
      <w:pPr>
        <w:spacing w:after="140" w:line="276"/>
      </w:pPr>
      <w:r>
        <w:rPr>
          <w:b/>
          <w:bCs/>
        </w:rPr>
        <w:t xml:space="preserve">Por qué no se advirtió: </w:t>
      </w:r>
      <w:r>
        <w:t xml:space="preserve">no se produjo ningún error. El sistema continuó funcionando con normalidad, y la pantalla que solicita el código de verificación seguía mostrándose igual, dado que dicha pantalla es una ayuda al usuario y no la barrera efectiva. Nada en la aplicación lo evidenciaba.</w:t>
      </w:r>
    </w:p>
    <w:p>
      <w:pPr>
        <w:spacing w:after="140" w:line="276"/>
      </w:pPr>
      <w:r>
        <w:t xml:space="preserve">Alcance real, sin exagerarlo ni minimizarlo:</w:t>
      </w:r>
    </w:p>
    <w:p>
      <w:pPr>
        <w:pStyle w:val="ListParagraph"/>
        <w:numPr>
          <w:ilvl w:val="0"/>
          <w:numId w:val="3"/>
        </w:numPr>
        <w:spacing w:after="90" w:line="276"/>
      </w:pPr>
      <w:r>
        <w:t xml:space="preserve">No se produjo acceso indebido ni filtración de datos entre clínicas. El aislamiento entre clínicas permaneció intacto en todo momento: ninguna cuenta pudo acceder a datos de otra.</w:t>
      </w:r>
    </w:p>
    <w:p>
      <w:pPr>
        <w:pStyle w:val="ListParagraph"/>
        <w:numPr>
          <w:ilvl w:val="0"/>
          <w:numId w:val="3"/>
        </w:numPr>
        <w:spacing w:after="90" w:line="276"/>
      </w:pPr>
      <w:r>
        <w:t xml:space="preserve">Lo que quedó temporalmente sin protección fue el segundo factor de la cuenta de operador y la restricción de acceso a clínicas suspendidas.</w:t>
      </w:r>
    </w:p>
    <w:p>
      <w:pPr>
        <w:pStyle w:val="ListParagraph"/>
        <w:numPr>
          <w:ilvl w:val="0"/>
          <w:numId w:val="3"/>
        </w:numPr>
        <w:spacing w:after="90" w:line="276"/>
      </w:pPr>
      <w:r>
        <w:t xml:space="preserve">Se detectó porque se estaba verificando el estado real del sistema, no porque este emitiera aviso alguno.</w:t>
      </w:r>
    </w:p>
    <w:p>
      <w:pPr>
        <w:spacing w:after="140" w:line="276"/>
      </w:pPr>
      <w:r>
        <w:rPr>
          <w:b/>
          <w:bCs/>
        </w:rPr>
        <w:t xml:space="preserve">Medidas adoptadas: </w:t>
      </w:r>
      <w:r>
        <w:t xml:space="preserve">ambos controles se restauraron el mismo día y se verificó su funcionamiento por las dos vías afectadas. Adicionalmente se implantó un </w:t>
      </w:r>
      <w:r>
        <w:rPr>
          <w:b/>
          <w:bCs/>
        </w:rPr>
        <w:t xml:space="preserve">procedimiento de comprobación</w:t>
      </w:r>
      <w:r>
        <w:t xml:space="preserve"> que contrasta el estado real de las protecciones con el estado que deberían presentar y devuelve resultado inmediato. Ejecutado tras la reparación, no arrojó discrepancias.</w:t>
      </w:r>
    </w:p>
    <w:p>
      <w:pPr>
        <w:spacing w:after="240" w:line="276"/>
      </w:pPr>
      <w:r>
        <w:rPr>
          <w:b/>
          <w:bCs/>
        </w:rPr>
        <w:t xml:space="preserve">Motivo de su inclusión en este informe: </w:t>
      </w:r>
      <w:r>
        <w:t xml:space="preserve">una relación de medidas de seguridad carece de valor si dichas medidas pueden desactivarse sin dejar rastro. La cuestión relevante no es únicamente qué controles existen, sino cómo se acredita que siguen activos; hasta la fecha del incidente no existía respuesta a lo segundo.</w:t>
      </w:r>
    </w:p>
    <w:p>
      <w:pPr>
        <w:pStyle w:val="Heading1"/>
        <w:spacing w:after="180" w:before="360"/>
      </w:pPr>
      <w:r>
        <w:t xml:space="preserve">7. Ejercicio de derechos: situación actual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126"/>
      </w:tblGrid>
      <w:tr>
        <w:trPr>
          <w:tblHeader/>
        </w:trPr>
        <w:tc>
          <w:tcPr>
            <w:tcW w:type="dxa" w:w="2100"/>
            <w:shd w:fill="0F766E" w:color="auto" w:val="clear"/>
            <w:tcMar>
              <w:top w:type="dxa" w:w="90"/>
              <w:left w:type="dxa" w:w="130"/>
              <w:bottom w:type="dxa" w:w="90"/>
              <w:right w:type="dxa" w:w="130"/>
            </w:tcMar>
          </w:tcPr>
          <w:p>
            <w:pPr>
              <w:spacing w:after="0" w:line="250"/>
            </w:pPr>
            <w:r>
              <w:rPr>
                <w:b/>
                <w:bCs/>
                <w:color w:val="FFFFFF"/>
                <w:sz w:val="19"/>
                <w:szCs w:val="19"/>
              </w:rPr>
              <w:t xml:space="preserve">Derecho</w:t>
            </w:r>
          </w:p>
        </w:tc>
        <w:tc>
          <w:tcPr>
            <w:tcW w:type="dxa" w:w="3800"/>
            <w:shd w:fill="0F766E" w:color="auto" w:val="clear"/>
            <w:tcMar>
              <w:top w:type="dxa" w:w="90"/>
              <w:left w:type="dxa" w:w="130"/>
              <w:bottom w:type="dxa" w:w="90"/>
              <w:right w:type="dxa" w:w="130"/>
            </w:tcMar>
          </w:tcPr>
          <w:p>
            <w:pPr>
              <w:spacing w:after="0" w:line="250"/>
            </w:pPr>
            <w:r>
              <w:rPr>
                <w:b/>
                <w:bCs/>
                <w:color w:val="FFFFFF"/>
                <w:sz w:val="19"/>
                <w:szCs w:val="19"/>
              </w:rPr>
              <w:t xml:space="preserve">Dueño de mascota</w:t>
            </w:r>
          </w:p>
        </w:tc>
        <w:tc>
          <w:tcPr>
            <w:tcW w:type="dxa" w:w="3126"/>
            <w:shd w:fill="0F766E" w:color="auto" w:val="clear"/>
            <w:tcMar>
              <w:top w:type="dxa" w:w="90"/>
              <w:left w:type="dxa" w:w="130"/>
              <w:bottom w:type="dxa" w:w="90"/>
              <w:right w:type="dxa" w:w="130"/>
            </w:tcMar>
          </w:tcPr>
          <w:p>
            <w:pPr>
              <w:spacing w:after="0" w:line="250"/>
            </w:pPr>
            <w:r>
              <w:rPr>
                <w:b/>
                <w:bCs/>
                <w:color w:val="FFFFFF"/>
                <w:sz w:val="19"/>
                <w:szCs w:val="19"/>
              </w:rPr>
              <w:t xml:space="preserve">Clínica</w:t>
            </w:r>
          </w:p>
        </w:tc>
      </w:tr>
      <w:tr>
        <w:tc>
          <w:tcPr>
            <w:tcW w:type="dxa" w:w="2100"/>
            <w:tcMar>
              <w:top w:type="dxa" w:w="90"/>
              <w:left w:type="dxa" w:w="130"/>
              <w:bottom w:type="dxa" w:w="90"/>
              <w:right w:type="dxa" w:w="130"/>
            </w:tcMar>
          </w:tcPr>
          <w:p>
            <w:pPr>
              <w:spacing w:after="0" w:line="250"/>
            </w:pPr>
            <w:r>
              <w:rPr>
                <w:sz w:val="19"/>
                <w:szCs w:val="19"/>
              </w:rPr>
              <w:t xml:space="preserve">Acceso</w:t>
            </w:r>
          </w:p>
        </w:tc>
        <w:tc>
          <w:tcPr>
            <w:tcW w:type="dxa" w:w="3800"/>
            <w:tcMar>
              <w:top w:type="dxa" w:w="90"/>
              <w:left w:type="dxa" w:w="130"/>
              <w:bottom w:type="dxa" w:w="90"/>
              <w:right w:type="dxa" w:w="130"/>
            </w:tcMar>
          </w:tcPr>
          <w:p>
            <w:pPr>
              <w:spacing w:after="0" w:line="250"/>
            </w:pPr>
            <w:r>
              <w:rPr>
                <w:sz w:val="19"/>
                <w:szCs w:val="19"/>
              </w:rPr>
              <w:t xml:space="preserve">Sí. Portal propio, consulta y descarga</w:t>
            </w:r>
          </w:p>
        </w:tc>
        <w:tc>
          <w:tcPr>
            <w:tcW w:type="dxa" w:w="3126"/>
            <w:tcMar>
              <w:top w:type="dxa" w:w="90"/>
              <w:left w:type="dxa" w:w="130"/>
              <w:bottom w:type="dxa" w:w="90"/>
              <w:right w:type="dxa" w:w="130"/>
            </w:tcMar>
          </w:tcPr>
          <w:p>
            <w:pPr>
              <w:spacing w:after="0" w:line="250"/>
            </w:pPr>
            <w:r>
              <w:rPr>
                <w:sz w:val="19"/>
                <w:szCs w:val="19"/>
              </w:rPr>
              <w:t xml:space="preserve">Sí. Exportación completa</w:t>
            </w:r>
          </w:p>
        </w:tc>
      </w:tr>
      <w:tr>
        <w:tc>
          <w:tcPr>
            <w:tcW w:type="dxa" w:w="2100"/>
            <w:shd w:fill="F1F5F9" w:color="auto" w:val="clear"/>
            <w:tcMar>
              <w:top w:type="dxa" w:w="90"/>
              <w:left w:type="dxa" w:w="130"/>
              <w:bottom w:type="dxa" w:w="90"/>
              <w:right w:type="dxa" w:w="130"/>
            </w:tcMar>
          </w:tcPr>
          <w:p>
            <w:pPr>
              <w:spacing w:after="0" w:line="250"/>
            </w:pPr>
            <w:r>
              <w:rPr>
                <w:sz w:val="19"/>
                <w:szCs w:val="19"/>
              </w:rPr>
              <w:t xml:space="preserve">Rectificación</w:t>
            </w:r>
          </w:p>
        </w:tc>
        <w:tc>
          <w:tcPr>
            <w:tcW w:type="dxa" w:w="3800"/>
            <w:shd w:fill="F1F5F9" w:color="auto" w:val="clear"/>
            <w:tcMar>
              <w:top w:type="dxa" w:w="90"/>
              <w:left w:type="dxa" w:w="130"/>
              <w:bottom w:type="dxa" w:w="90"/>
              <w:right w:type="dxa" w:w="130"/>
            </w:tcMar>
          </w:tcPr>
          <w:p>
            <w:pPr>
              <w:spacing w:after="0" w:line="250"/>
            </w:pPr>
            <w:r>
              <w:rPr>
                <w:sz w:val="19"/>
                <w:szCs w:val="19"/>
              </w:rPr>
              <w:t xml:space="preserve">Indirecto: debe solicitarlo a su clínica</w:t>
            </w:r>
          </w:p>
        </w:tc>
        <w:tc>
          <w:tcPr>
            <w:tcW w:type="dxa" w:w="3126"/>
            <w:shd w:fill="F1F5F9" w:color="auto" w:val="clear"/>
            <w:tcMar>
              <w:top w:type="dxa" w:w="90"/>
              <w:left w:type="dxa" w:w="130"/>
              <w:bottom w:type="dxa" w:w="90"/>
              <w:right w:type="dxa" w:w="130"/>
            </w:tcMar>
          </w:tcPr>
          <w:p>
            <w:pPr>
              <w:spacing w:after="0" w:line="250"/>
            </w:pPr>
            <w:r>
              <w:rPr>
                <w:sz w:val="19"/>
                <w:szCs w:val="19"/>
              </w:rPr>
              <w:t xml:space="preserve">Directo</w:t>
            </w:r>
          </w:p>
        </w:tc>
      </w:tr>
      <w:tr>
        <w:tc>
          <w:tcPr>
            <w:tcW w:type="dxa" w:w="2100"/>
            <w:tcMar>
              <w:top w:type="dxa" w:w="90"/>
              <w:left w:type="dxa" w:w="130"/>
              <w:bottom w:type="dxa" w:w="90"/>
              <w:right w:type="dxa" w:w="130"/>
            </w:tcMar>
          </w:tcPr>
          <w:p>
            <w:pPr>
              <w:spacing w:after="0" w:line="250"/>
            </w:pPr>
            <w:r>
              <w:rPr>
                <w:sz w:val="19"/>
                <w:szCs w:val="19"/>
              </w:rPr>
              <w:t xml:space="preserve">Supresión</w:t>
            </w:r>
          </w:p>
        </w:tc>
        <w:tc>
          <w:tcPr>
            <w:tcW w:type="dxa" w:w="3800"/>
            <w:tcMar>
              <w:top w:type="dxa" w:w="90"/>
              <w:left w:type="dxa" w:w="130"/>
              <w:bottom w:type="dxa" w:w="90"/>
              <w:right w:type="dxa" w:w="130"/>
            </w:tcMar>
          </w:tcPr>
          <w:p>
            <w:pPr>
              <w:spacing w:after="0" w:line="250"/>
            </w:pPr>
            <w:r>
              <w:rPr>
                <w:sz w:val="19"/>
                <w:szCs w:val="19"/>
              </w:rPr>
              <w:t xml:space="preserve">Indirecto, y con la salvedad del punto 2.2</w:t>
            </w:r>
          </w:p>
        </w:tc>
        <w:tc>
          <w:tcPr>
            <w:tcW w:type="dxa" w:w="3126"/>
            <w:tcMar>
              <w:top w:type="dxa" w:w="90"/>
              <w:left w:type="dxa" w:w="130"/>
              <w:bottom w:type="dxa" w:w="90"/>
              <w:right w:type="dxa" w:w="130"/>
            </w:tcMar>
          </w:tcPr>
          <w:p>
            <w:pPr>
              <w:spacing w:after="0" w:line="250"/>
            </w:pPr>
            <w:r>
              <w:rPr>
                <w:sz w:val="19"/>
                <w:szCs w:val="19"/>
              </w:rPr>
              <w:t xml:space="preserve">Baja completa e irreversible</w:t>
            </w:r>
          </w:p>
        </w:tc>
      </w:tr>
      <w:tr>
        <w:tc>
          <w:tcPr>
            <w:tcW w:type="dxa" w:w="2100"/>
            <w:shd w:fill="F1F5F9" w:color="auto" w:val="clear"/>
            <w:tcMar>
              <w:top w:type="dxa" w:w="90"/>
              <w:left w:type="dxa" w:w="130"/>
              <w:bottom w:type="dxa" w:w="90"/>
              <w:right w:type="dxa" w:w="130"/>
            </w:tcMar>
          </w:tcPr>
          <w:p>
            <w:pPr>
              <w:spacing w:after="0" w:line="250"/>
            </w:pPr>
            <w:r>
              <w:rPr>
                <w:sz w:val="19"/>
                <w:szCs w:val="19"/>
              </w:rPr>
              <w:t xml:space="preserve">Portabilidad</w:t>
            </w:r>
          </w:p>
        </w:tc>
        <w:tc>
          <w:tcPr>
            <w:tcW w:type="dxa" w:w="3800"/>
            <w:shd w:fill="F1F5F9" w:color="auto" w:val="clear"/>
            <w:tcMar>
              <w:top w:type="dxa" w:w="90"/>
              <w:left w:type="dxa" w:w="130"/>
              <w:bottom w:type="dxa" w:w="90"/>
              <w:right w:type="dxa" w:w="130"/>
            </w:tcMar>
          </w:tcPr>
          <w:p>
            <w:pPr>
              <w:spacing w:after="0" w:line="250"/>
            </w:pPr>
            <w:r>
              <w:rPr>
                <w:sz w:val="19"/>
                <w:szCs w:val="19"/>
              </w:rPr>
              <w:t xml:space="preserve">Parcial: puede imprimir, no exportar estructurado</w:t>
            </w:r>
          </w:p>
        </w:tc>
        <w:tc>
          <w:tcPr>
            <w:tcW w:type="dxa" w:w="3126"/>
            <w:shd w:fill="F1F5F9" w:color="auto" w:val="clear"/>
            <w:tcMar>
              <w:top w:type="dxa" w:w="90"/>
              <w:left w:type="dxa" w:w="130"/>
              <w:bottom w:type="dxa" w:w="90"/>
              <w:right w:type="dxa" w:w="130"/>
            </w:tcMar>
          </w:tcPr>
          <w:p>
            <w:pPr>
              <w:spacing w:after="0" w:line="250"/>
            </w:pPr>
            <w:r>
              <w:rPr>
                <w:sz w:val="19"/>
                <w:szCs w:val="19"/>
              </w:rPr>
              <w:t xml:space="preserve">Sí, formato CSV</w:t>
            </w:r>
          </w:p>
        </w:tc>
      </w:tr>
      <w:tr>
        <w:tc>
          <w:tcPr>
            <w:tcW w:type="dxa" w:w="2100"/>
            <w:tcMar>
              <w:top w:type="dxa" w:w="90"/>
              <w:left w:type="dxa" w:w="130"/>
              <w:bottom w:type="dxa" w:w="90"/>
              <w:right w:type="dxa" w:w="130"/>
            </w:tcMar>
          </w:tcPr>
          <w:p>
            <w:pPr>
              <w:spacing w:after="0" w:line="250"/>
            </w:pPr>
            <w:r>
              <w:rPr>
                <w:b/>
                <w:bCs/>
                <w:sz w:val="19"/>
                <w:szCs w:val="19"/>
              </w:rPr>
              <w:t xml:space="preserve">Oposición</w:t>
            </w:r>
          </w:p>
        </w:tc>
        <w:tc>
          <w:tcPr>
            <w:tcW w:type="dxa" w:w="3800"/>
            <w:tcMar>
              <w:top w:type="dxa" w:w="90"/>
              <w:left w:type="dxa" w:w="130"/>
              <w:bottom w:type="dxa" w:w="90"/>
              <w:right w:type="dxa" w:w="130"/>
            </w:tcMar>
          </w:tcPr>
          <w:p>
            <w:pPr>
              <w:spacing w:after="0" w:line="250"/>
            </w:pPr>
            <w:r>
              <w:rPr>
                <w:b/>
                <w:bCs/>
                <w:color w:val="B91C1C"/>
                <w:sz w:val="19"/>
                <w:szCs w:val="19"/>
              </w:rPr>
              <w:t xml:space="preserve">No existe mecanismo</w:t>
            </w:r>
          </w:p>
        </w:tc>
        <w:tc>
          <w:tcPr>
            <w:tcW w:type="dxa" w:w="3126"/>
            <w:tcMar>
              <w:top w:type="dxa" w:w="90"/>
              <w:left w:type="dxa" w:w="130"/>
              <w:bottom w:type="dxa" w:w="90"/>
              <w:right w:type="dxa" w:w="130"/>
            </w:tcMar>
          </w:tcPr>
          <w:p>
            <w:pPr>
              <w:spacing w:after="0" w:line="250"/>
            </w:pPr>
            <w:r>
              <w:rPr>
                <w:b/>
                <w:bCs/>
                <w:color w:val="B91C1C"/>
                <w:sz w:val="19"/>
                <w:szCs w:val="19"/>
              </w:rPr>
              <w:t xml:space="preserve">No existe mecanismo</w:t>
            </w:r>
          </w:p>
        </w:tc>
      </w:tr>
    </w:tbl>
    <w:p>
      <w:pPr>
        <w:spacing w:after="240" w:line="276"/>
      </w:pPr>
      <w:r>
        <w:rPr>
          <w:b/>
          <w:bCs/>
        </w:rPr>
        <w:t xml:space="preserve">No existe borrado automático por antigüedad. </w:t>
      </w:r>
      <w:r>
        <w:t xml:space="preserve">Los datos se conservan mientras la clínica mantenga su cuenta activa. Para un expediente médico veterinario esto puede ser lo correcto, pero es una decisión que hoy no está justificada por escrito en ningún documento.</w:t>
      </w:r>
    </w:p>
    <w:p>
      <w:pPr>
        <w:pStyle w:val="Heading1"/>
        <w:spacing w:after="180" w:before="360"/>
      </w:pPr>
      <w:r>
        <w:t xml:space="preserve">8. Elementos que no existen y probablemente sean necesarios</w:t>
      </w:r>
    </w:p>
    <w:p>
      <w:pPr>
        <w:pStyle w:val="ListParagraph"/>
        <w:numPr>
          <w:ilvl w:val="0"/>
          <w:numId w:val="2"/>
        </w:numPr>
        <w:spacing w:after="130" w:line="276"/>
      </w:pPr>
      <w:r>
        <w:rPr>
          <w:b/>
          <w:bCs/>
        </w:rPr>
        <w:t xml:space="preserve">Contrato de encargo de tratamiento </w:t>
      </w:r>
      <w:r>
        <w:t xml:space="preserve">con los tres proveedores. Todos ellos tratan datos personales por cuenta de Vetora.</w:t>
      </w:r>
    </w:p>
    <w:p>
      <w:pPr>
        <w:pStyle w:val="ListParagraph"/>
        <w:numPr>
          <w:ilvl w:val="0"/>
          <w:numId w:val="2"/>
        </w:numPr>
        <w:spacing w:after="130" w:line="276"/>
      </w:pPr>
      <w:r>
        <w:rPr>
          <w:b/>
          <w:bCs/>
        </w:rPr>
        <w:t xml:space="preserve">Procedimiento de notificación de brechas de seguridad: </w:t>
      </w:r>
      <w:r>
        <w:t xml:space="preserve">a quién se comunica, en qué plazo y con qué contenido.</w:t>
      </w:r>
    </w:p>
    <w:p>
      <w:pPr>
        <w:pStyle w:val="ListParagraph"/>
        <w:numPr>
          <w:ilvl w:val="0"/>
          <w:numId w:val="2"/>
        </w:numPr>
        <w:spacing w:after="130" w:line="276"/>
      </w:pPr>
      <w:r>
        <w:rPr>
          <w:b/>
          <w:bCs/>
        </w:rPr>
        <w:t xml:space="preserve">Registro de actividades de tratamiento</w:t>
      </w:r>
      <w:r>
        <w:t xml:space="preserve">, si la normativa aplicable lo exige.</w:t>
      </w:r>
    </w:p>
    <w:p>
      <w:pPr>
        <w:pStyle w:val="ListParagraph"/>
        <w:numPr>
          <w:ilvl w:val="0"/>
          <w:numId w:val="2"/>
        </w:numPr>
        <w:spacing w:after="130" w:line="276"/>
      </w:pPr>
      <w:r>
        <w:rPr>
          <w:b/>
          <w:bCs/>
        </w:rPr>
        <w:t xml:space="preserve">Base de licitud del tratamiento </w:t>
      </w:r>
      <w:r>
        <w:t xml:space="preserve">documentada: consentimiento, ejecución contractual o interés legítimo.</w:t>
      </w:r>
    </w:p>
    <w:p>
      <w:pPr>
        <w:pStyle w:val="ListParagraph"/>
        <w:numPr>
          <w:ilvl w:val="0"/>
          <w:numId w:val="2"/>
        </w:numPr>
        <w:spacing w:after="130" w:line="276"/>
      </w:pPr>
      <w:r>
        <w:rPr>
          <w:b/>
          <w:bCs/>
        </w:rPr>
        <w:t xml:space="preserve">Consentimiento informado para el tratamiento de datos</w:t>
      </w:r>
      <w:r>
        <w:t xml:space="preserve">, distinto del consentimiento quirúrgico que ya existe (este último es de naturaleza médica, no de protección de datos).</w:t>
      </w:r>
    </w:p>
    <w:p>
      <w:pPr>
        <w:pStyle w:val="ListParagraph"/>
        <w:numPr>
          <w:ilvl w:val="0"/>
          <w:numId w:val="2"/>
        </w:numPr>
        <w:spacing w:after="130" w:line="276"/>
      </w:pPr>
      <w:r>
        <w:rPr>
          <w:b/>
          <w:bCs/>
        </w:rPr>
        <w:t xml:space="preserve">Términos y condiciones </w:t>
      </w:r>
      <w:r>
        <w:t xml:space="preserve">del servicio para las clínicas contratantes.</w:t>
      </w:r>
    </w:p>
    <w:p>
      <w:pPr>
        <w:pStyle w:val="ListParagraph"/>
        <w:numPr>
          <w:ilvl w:val="0"/>
          <w:numId w:val="2"/>
        </w:numPr>
        <w:spacing w:after="130" w:line="276"/>
      </w:pPr>
      <w:r>
        <w:rPr>
          <w:b/>
          <w:bCs/>
        </w:rPr>
        <w:t xml:space="preserve">Cláusula relativa a menores de edad</w:t>
      </w:r>
      <w:r>
        <w:t xml:space="preserve">: no se recogen sus datos, pero no está declarado.</w:t>
      </w:r>
    </w:p>
    <w:p>
      <w:r>
        <w:br w:type="page"/>
      </w:r>
    </w:p>
    <w:p>
      <w:pPr>
        <w:pStyle w:val="Heading1"/>
        <w:spacing w:after="180" w:before="360"/>
      </w:pPr>
      <w:r>
        <w:t xml:space="preserve">9. Preguntas para la asesoría</w:t>
      </w:r>
    </w:p>
    <w:p>
      <w:pPr>
        <w:spacing w:after="140" w:line="276"/>
      </w:pPr>
      <w:r>
        <w:t xml:space="preserve">Ordenadas por el número de decisiones técnicas que cada una desbloquea.</w:t>
      </w:r>
    </w:p>
    <w:p>
      <w:pPr>
        <w:pStyle w:val="ListParagraph"/>
        <w:numPr>
          <w:ilvl w:val="0"/>
          <w:numId w:val="2"/>
        </w:numPr>
        <w:spacing w:after="130" w:line="276"/>
      </w:pPr>
      <w:r>
        <w:rPr>
          <w:b/>
          <w:bCs/>
        </w:rPr>
        <w:t xml:space="preserve">¿Vetora es responsable o encargado del tratamiento? ¿Y la clínica? </w:t>
      </w:r>
      <w:r>
        <w:t xml:space="preserve">La política contenía una afirmación al respecto y se retiró precisamente por tratarse de una calificación jurídica. De la respuesta depende quién responde frente al titular de los datos.</w:t>
      </w:r>
    </w:p>
    <w:p>
      <w:pPr>
        <w:pStyle w:val="ListParagraph"/>
        <w:numPr>
          <w:ilvl w:val="0"/>
          <w:numId w:val="2"/>
        </w:numPr>
        <w:spacing w:after="130" w:line="276"/>
      </w:pPr>
      <w:r>
        <w:rPr>
          <w:b/>
          <w:bCs/>
        </w:rPr>
        <w:t xml:space="preserve">¿Cómo debe declararse la transferencia internacional de datos </w:t>
      </w:r>
      <w:r>
        <w:t xml:space="preserve">(Brasil y Estados Unidos)? Hay dos secciones ya redactadas, retiradas de la vista, a la espera de esta respuesta.</w:t>
      </w:r>
    </w:p>
    <w:p>
      <w:pPr>
        <w:pStyle w:val="ListParagraph"/>
        <w:numPr>
          <w:ilvl w:val="0"/>
          <w:numId w:val="2"/>
        </w:numPr>
        <w:spacing w:after="130" w:line="276"/>
      </w:pPr>
      <w:r>
        <w:rPr>
          <w:b/>
          <w:bCs/>
        </w:rPr>
        <w:t xml:space="preserve">¿Una firma manuscrita capturada en pantalla constituye dato biométrico </w:t>
      </w:r>
      <w:r>
        <w:t xml:space="preserve">o de categoría especial? Afecta a tres tablas del sistema.</w:t>
      </w:r>
    </w:p>
    <w:p>
      <w:pPr>
        <w:pStyle w:val="ListParagraph"/>
        <w:numPr>
          <w:ilvl w:val="0"/>
          <w:numId w:val="2"/>
        </w:numPr>
        <w:spacing w:after="130" w:line="276"/>
      </w:pPr>
      <w:r>
        <w:rPr>
          <w:b/>
          <w:bCs/>
        </w:rPr>
        <w:t xml:space="preserve">¿La cédula de identidad tiene un régimen especial de protección en Bolivia? </w:t>
      </w:r>
      <w:r>
        <w:t xml:space="preserve">Es el identificador más sensible que se conserva y se emplea para vincular cuentas.</w:t>
      </w:r>
    </w:p>
    <w:p>
      <w:pPr>
        <w:pStyle w:val="ListParagraph"/>
        <w:numPr>
          <w:ilvl w:val="0"/>
          <w:numId w:val="2"/>
        </w:numPr>
        <w:spacing w:after="130" w:line="276"/>
      </w:pPr>
      <w:r>
        <w:rPr>
          <w:b/>
          <w:bCs/>
        </w:rPr>
        <w:t xml:space="preserve">¿Durante cuánto tiempo debe conservarse un expediente clínico veterinario? </w:t>
      </w:r>
      <w:r>
        <w:t xml:space="preserve">Actualmente la conservación es indefinida y carece de justificación documentada.</w:t>
      </w:r>
    </w:p>
    <w:p>
      <w:pPr>
        <w:pStyle w:val="ListParagraph"/>
        <w:numPr>
          <w:ilvl w:val="0"/>
          <w:numId w:val="2"/>
        </w:numPr>
        <w:spacing w:after="130" w:line="276"/>
      </w:pPr>
      <w:r>
        <w:rPr>
          <w:b/>
          <w:bCs/>
        </w:rPr>
        <w:t xml:space="preserve">¿Es necesario recabar consentimiento expreso </w:t>
      </w:r>
      <w:r>
        <w:t xml:space="preserve">para tratar los datos del dueño de la mascota, más allá de la relación contractual con la clínica?</w:t>
      </w:r>
    </w:p>
    <w:p>
      <w:pPr>
        <w:pStyle w:val="ListParagraph"/>
        <w:numPr>
          <w:ilvl w:val="0"/>
          <w:numId w:val="2"/>
        </w:numPr>
        <w:spacing w:after="130" w:line="276"/>
      </w:pPr>
      <w:r>
        <w:rPr>
          <w:b/>
          <w:bCs/>
        </w:rPr>
        <w:t xml:space="preserve">¿Resulta suficiente que el titular ejerza sus derechos a través de su clínica, </w:t>
      </w:r>
      <w:r>
        <w:t xml:space="preserve">o Vetora debe habilitar un canal directo?</w:t>
      </w:r>
    </w:p>
    <w:p>
      <w:pPr>
        <w:pStyle w:val="ListParagraph"/>
        <w:numPr>
          <w:ilvl w:val="0"/>
          <w:numId w:val="2"/>
        </w:numPr>
        <w:spacing w:after="130" w:line="276"/>
      </w:pPr>
      <w:r>
        <w:rPr>
          <w:b/>
          <w:bCs/>
        </w:rPr>
        <w:t xml:space="preserve">¿Qué obligación de registro de accesos resulta exigible? </w:t>
      </w:r>
      <w:r>
        <w:t xml:space="preserve">De ello depende si el punto 2.1 se resuelve implementando la trazabilidad o corrigiendo el texto.</w:t>
      </w:r>
    </w:p>
    <w:p>
      <w:pPr>
        <w:pStyle w:val="ListParagraph"/>
        <w:numPr>
          <w:ilvl w:val="0"/>
          <w:numId w:val="2"/>
        </w:numPr>
        <w:spacing w:after="130" w:line="276"/>
      </w:pPr>
      <w:r>
        <w:rPr>
          <w:b/>
          <w:bCs/>
        </w:rPr>
        <w:t xml:space="preserve">¿Es exigible la notificación de brechas de seguridad y en qué plazo?</w:t>
      </w:r>
    </w:p>
    <w:p>
      <w:pPr>
        <w:pStyle w:val="Heading1"/>
        <w:spacing w:after="180" w:before="360"/>
      </w:pPr>
      <w:r>
        <w:t xml:space="preserve">10. Alcance y limitaciones de esta revisión</w:t>
      </w:r>
    </w:p>
    <w:p>
      <w:pPr>
        <w:pStyle w:val="ListParagraph"/>
        <w:numPr>
          <w:ilvl w:val="0"/>
          <w:numId w:val="3"/>
        </w:numPr>
        <w:spacing w:after="90" w:line="276"/>
      </w:pPr>
      <w:r>
        <w:t xml:space="preserve">No constituye dictamen legal. Nada de lo aquí expuesto debe interpretarse como afirmación de cumplimiento normativo.</w:t>
      </w:r>
    </w:p>
    <w:p>
      <w:pPr>
        <w:pStyle w:val="ListParagraph"/>
        <w:numPr>
          <w:ilvl w:val="0"/>
          <w:numId w:val="3"/>
        </w:numPr>
        <w:spacing w:after="90" w:line="276"/>
      </w:pPr>
      <w:r>
        <w:t xml:space="preserve">No se verificó la ubicación física de la base de datos; procede de documentación interna.</w:t>
      </w:r>
    </w:p>
    <w:p>
      <w:pPr>
        <w:pStyle w:val="ListParagraph"/>
        <w:numPr>
          <w:ilvl w:val="0"/>
          <w:numId w:val="3"/>
        </w:numPr>
        <w:spacing w:after="90" w:line="276"/>
      </w:pPr>
      <w:r>
        <w:t xml:space="preserve">No se verificó el cifrado del almacenamiento en reposo. Es una propiedad del proveedor que nadie ha comprobado de forma independiente.</w:t>
      </w:r>
    </w:p>
    <w:p>
      <w:pPr>
        <w:pStyle w:val="ListParagraph"/>
        <w:numPr>
          <w:ilvl w:val="0"/>
          <w:numId w:val="3"/>
        </w:numPr>
        <w:spacing w:after="90" w:line="276"/>
      </w:pPr>
      <w:r>
        <w:t xml:space="preserve">No se revisaron las condiciones contractuales de los proveedores de infraestructura.</w:t>
      </w:r>
    </w:p>
    <w:p>
      <w:pPr>
        <w:pStyle w:val="ListParagraph"/>
        <w:numPr>
          <w:ilvl w:val="0"/>
          <w:numId w:val="3"/>
        </w:numPr>
        <w:spacing w:after="90" w:line="276"/>
      </w:pPr>
      <w:r>
        <w:t xml:space="preserve">No se evaluó la normativa sanitaria veterinaria boliviana, que puede imponer obligaciones propias de conservación documental.</w:t>
      </w:r>
    </w:p>
    <w:p>
      <w:pPr>
        <w:pBdr>
          <w:top w:val="single" w:color="CBD5E1" w:sz="6" w:space="8"/>
        </w:pBdr>
        <w:spacing w:before="400"/>
      </w:pPr>
      <w:r>
        <w:rPr>
          <w:i/>
          <w:iCs/>
          <w:color w:val="475569"/>
          <w:sz w:val="17"/>
          <w:szCs w:val="17"/>
        </w:rPr>
        <w:t xml:space="preserve">Documento generado el 8 de septiembre de 2026 a partir de la revisión del código fuente y de la base de datos de producción de Vetora.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0F766E"/>
      <w:sz w:val="30"/>
      <w:szCs w:val="30"/>
    </w:rPr>
  </w:style>
  <w:style w:type="paragraph" w:styleId="Heading2">
    <w:name w:val="Heading 2"/>
    <w:basedOn w:val="Normal"/>
    <w:next w:val="Normal"/>
    <w:qFormat/>
    <w:rPr>
      <w:rFonts w:ascii="Calibri" w:cs="Calibri" w:eastAsia="Calibri" w:hAnsi="Calibri"/>
      <w:b/>
      <w:bCs/>
      <w:color w:val="33415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para la asesoría jurídica — Vetora</dc:title>
  <dc:creator>Vetora</dc:creator>
  <dc:description>Inventario factual de tratamiento de datos personales</dc:description>
  <cp:lastModifiedBy>Un-named</cp:lastModifiedBy>
  <cp:revision>1</cp:revision>
  <dcterms:created xsi:type="dcterms:W3CDTF">2026-09-08T22:07:54.424Z</dcterms:created>
  <dcterms:modified xsi:type="dcterms:W3CDTF">2026-09-08T22:07:54.427Z</dcterms:modified>
</cp:coreProperties>
</file>

<file path=docProps/custom.xml><?xml version="1.0" encoding="utf-8"?>
<Properties xmlns="http://schemas.openxmlformats.org/officeDocument/2006/custom-properties" xmlns:vt="http://schemas.openxmlformats.org/officeDocument/2006/docPropsVTypes"/>
</file>