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z w:val="26"/>
          <w:szCs w:val="26"/>
        </w:rPr>
        <w:t xml:space="preserve">VETORA</w:t>
      </w:r>
    </w:p>
    <w:p>
      <w:pPr>
        <w:spacing w:after="120"/>
      </w:pPr>
      <w:r>
        <w:rPr>
          <w:b/>
          <w:bCs/>
          <w:color w:val="0F172A"/>
          <w:sz w:val="32"/>
          <w:szCs w:val="32"/>
        </w:rPr>
        <w:t xml:space="preserve">Solicitud de calificación — Responsable y encargado del tratamiento</w:t>
      </w:r>
    </w:p>
    <w:p>
      <w:pPr>
        <w:pBdr>
          <w:bottom w:val="single" w:color="CBD5E1" w:sz="6" w:space="8"/>
        </w:pBdr>
        <w:spacing w:after="200"/>
      </w:pPr>
      <w:r>
        <w:rPr>
          <w:color w:val="475569"/>
          <w:sz w:val="22"/>
          <w:szCs w:val="22"/>
        </w:rPr>
        <w:t xml:space="preserve">El papel de Vetora, de cada clínica, y de los proveedores de infraestructura</w:t>
      </w:r>
    </w:p>
    <w:p>
      <w:pPr>
        <w:spacing w:after="320" w:line="276"/>
      </w:pPr>
      <w:r>
        <w:rPr>
          <w:b/>
          <w:bCs/>
        </w:rPr>
        <w:t xml:space="preserve">Fecha: </w:t>
      </w:r>
      <w:r>
        <w:t xml:space="preserve">8 de septiembre de 2026</w:t>
      </w:r>
    </w:p>
    <w:p>
      <w:pPr>
        <w:spacing w:after="140" w:line="276"/>
      </w:pPr>
      <w:r>
        <w:t xml:space="preserve">Igual que el documento sobre los contratos de encargo: dos partes en un solo archivo — la solicitud con los hechos y las preguntas, y el formato sugerido para la respuesta.</w:t>
      </w:r>
    </w:p>
    <w:p>
      <w:pPr>
        <w:pStyle w:val="Heading1"/>
        <w:spacing w:after="180" w:before="360"/>
      </w:pPr>
      <w:r>
        <w:t xml:space="preserve">Parte 1 — Solicitud de calificación</w:t>
      </w:r>
    </w:p>
    <w:p>
      <w:pPr>
        <w:pStyle w:val="Heading2"/>
        <w:spacing w:after="140" w:before="280"/>
      </w:pPr>
      <w:r>
        <w:t xml:space="preserve">Por qué esta pregunta es central, y no una más de la lista</w:t>
      </w:r>
    </w:p>
    <w:p>
      <w:pPr>
        <w:spacing w:after="140" w:line="276"/>
      </w:pPr>
      <w:r>
        <w:t xml:space="preserve">Esta calificación no es autónoma: ya condiciona tres decisiones documentadas y en espera de ella.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</w:rPr>
        <w:t xml:space="preserve">El orden de notificación en caso de brecha de seguridad. </w:t>
      </w:r>
      <w:r>
        <w:t xml:space="preserve">Se asumió que la clínica se notifica antes que el dueño de mascota porque la clínica sería la responsable. Si la calificación es otra, ese orden cambia.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</w:rPr>
        <w:t xml:space="preserve">Cómo se redacta la transferencia internacional de datos </w:t>
      </w:r>
      <w:r>
        <w:t xml:space="preserve">en la política de privacidad: la obligación de informarla recae de forma distinta según quién sea responsable.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</w:rPr>
        <w:t xml:space="preserve">Si hace falta un contrato aparte entre Vetora y cada clínica </w:t>
      </w:r>
      <w:r>
        <w:t xml:space="preserve">que la use, distinto de los contratos ya existentes con los proveedores de infraestructura.</w:t>
      </w:r>
    </w:p>
    <w:p>
      <w:pPr>
        <w:spacing w:after="240" w:line="276"/>
      </w:pPr>
      <w:r>
        <w:t xml:space="preserve">Por eso se trata en su propio documento en vez de dejarla como una pregunta más entre otras.</w:t>
      </w:r>
    </w:p>
    <w:p>
      <w:pPr>
        <w:pStyle w:val="Heading2"/>
        <w:spacing w:after="140" w:before="280"/>
      </w:pPr>
      <w:r>
        <w:t xml:space="preserve">Los tres niveles de relación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8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Dueño de mascota → Clínica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8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Clínica → Vetora (la plataforma)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Vetora → Proveedores de infraestructura</w:t>
            </w:r>
          </w:p>
        </w:tc>
      </w:tr>
    </w:tbl>
    <w:p>
      <w:pPr>
        <w:spacing w:after="60" w:line="276"/>
      </w:pPr>
      <w:r>
        <w:t xml:space="preserve">Nivel 1 — Dueño de mascota y clínica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La clínica decide por qué se recogen los datos: para prestar el servicio veterinario concreto que ese dueño contrató.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La clínica decide qué dato clínico anotar — el criterio médico es enteramente suyo.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El dueño entrega sus datos a la clínica, no a Vetora; Vetora es la herramienta que la clínica usa para registrarlos.</w:t>
      </w:r>
    </w:p>
    <w:p>
      <w:pPr>
        <w:spacing w:after="60" w:line="276"/>
      </w:pPr>
      <w:r>
        <w:t xml:space="preserve">Nivel 2 — Clínica y Vetora (el núcleo de lo que hay que calificar)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48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la toma hoy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Qué campos de datos existen en el sistema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Vetora, al diseñar la base de datos</w:t>
            </w:r>
          </w:p>
        </w:tc>
      </w:tr>
      <w:tr>
        <w:tc>
          <w:tcPr>
            <w:tcW w:type="dxa" w:w="42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Cuánto tiempo se conservan los datos</w:t>
            </w:r>
          </w:p>
        </w:tc>
        <w:tc>
          <w:tcPr>
            <w:tcW w:type="dxa" w:w="48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Nadie lo decide explícitamente — comportamiento por defecto, no una elección documentada de nadie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 los datos de un paciente se envían a un asistente de IA externo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Vetora, al construir qué planes incluyen ese módulo — la clínica solo elige qué plan comprar</w:t>
            </w:r>
          </w:p>
        </w:tc>
      </w:tr>
      <w:tr>
        <w:tc>
          <w:tcPr>
            <w:tcW w:type="dxa" w:w="42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Qué controles de seguridad protegen los datos</w:t>
            </w:r>
          </w:p>
        </w:tc>
        <w:tc>
          <w:tcPr>
            <w:tcW w:type="dxa" w:w="48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Vetora, por diseño del sistema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Si el operador de la plataforma puede ver el historial clínico</w:t>
            </w:r>
          </w:p>
        </w:tc>
        <w:tc>
          <w:tcPr>
            <w:tcW w:type="dxa" w:w="4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Nadie puede — bloqueado por diseño técnico, verificado</w:t>
            </w:r>
          </w:p>
        </w:tc>
      </w:tr>
      <w:tr>
        <w:tc>
          <w:tcPr>
            <w:tcW w:type="dxa" w:w="42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Qué servicios presta la clínica y a qué precio</w:t>
            </w:r>
          </w:p>
        </w:tc>
        <w:tc>
          <w:tcPr>
            <w:tcW w:type="dxa" w:w="48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 clínica</w:t>
            </w:r>
          </w:p>
        </w:tc>
      </w:tr>
    </w:tbl>
    <w:p>
      <w:pPr>
        <w:spacing w:after="60" w:line="276"/>
      </w:pPr>
      <w:r>
        <w:t xml:space="preserve">Nivel 3 — Vetora y sus proveedores de infraestructura</w:t>
      </w:r>
    </w:p>
    <w:p>
      <w:pPr>
        <w:spacing w:after="240" w:line="276"/>
      </w:pPr>
      <w:r>
        <w:t xml:space="preserve">Aquí no hay duda: Vetora decide contratar a sus proveedores de infraestructura, y ellos procesan siguiendo instrucciones técnicas de Vetora. Vetora es responsable frente a ellos; ellos son encargados. Esto ya está tratado en el documento sobre esos tres contratos.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Por qué no es evidente que la respuesta sea una sola figura para todo</w:t>
      </w:r>
    </w:p>
    <w:p>
      <w:pPr>
        <w:spacing w:after="140" w:line="276"/>
      </w:pPr>
      <w:r>
        <w:t xml:space="preserve">Los hechos del Nivel 2 apuntan en direcciones distintas según el tipo de dato: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Para los datos clínicos del día a día (historial, recetas, vacunas): Vetora no puede siquiera leerlos, y quien decide qué anotar es la clínica. Esto se parece a que Vetora sea encargada.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Para decisiones estructurales (qué campos existen, cuánto se retiene, si hay IA de por medio): las toma Vetora, no la clínica, que no tiene forma de cambiarlas dato por dato. Esto se parece más a responsabilidad conjunta sobre esas decisiones concretas.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Para los datos de facturación y suscripción de la propia clínica hacia Vetora: Vetora decide con autonomía plena. Aquí Vetora es claramente responsable.</w:t>
      </w:r>
    </w:p>
    <w:p>
      <w:pPr>
        <w:pStyle w:val="Heading2"/>
        <w:spacing w:after="140" w:before="280"/>
      </w:pPr>
      <w:r>
        <w:t xml:space="preserve">Preguntas concretas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</w:rPr>
        <w:t xml:space="preserve">¿Vetora es encargada del tratamiento respecto de los datos clínicos y de los dueños de mascota, </w:t>
      </w:r>
      <w:r>
        <w:t xml:space="preserve">siendo cada clínica la responsable? Es la calificación por defecto más intuitiva — ¿se sostiene con los hechos de arriba?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</w:rPr>
        <w:t xml:space="preserve">¿El control que Vetora ejerce sobre el esquema de datos, la retención indefinida por defecto, y la decisión de qué planes incluyen IA la convierten en corresponsable </w:t>
      </w:r>
      <w:r>
        <w:t xml:space="preserve">junto con la clínica para esas decisiones concretas, aunque siga siendo encargada para el contenido clínico del día a día?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</w:rPr>
        <w:t xml:space="preserve">¿Aplica una calificación distinta para los datos de facturación y suscripción </w:t>
      </w:r>
      <w:r>
        <w:t xml:space="preserve">entre la clínica y Vetora, frente a los datos clínicos de los pacientes de esa clínica?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</w:rPr>
        <w:t xml:space="preserve">Si Vetora resulta encargada, o corresponsable en parte, ¿qué debe constar en un contrato entre Vetora y cada clínica </w:t>
      </w:r>
      <w:r>
        <w:t xml:space="preserve">que la contrata, además de los términos de uso genéricos que hoy existen?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</w:rPr>
        <w:t xml:space="preserve">¿Esta calificación cambia porque Bolivia no cuente con una ley integral de protección de datos? </w:t>
      </w:r>
      <w:r>
        <w:t xml:space="preserve">¿Sigue siendo relevante aplicar este marco como referencia de buena práctica aunque no sea obligatorio, o no aplica en absoluto sin una norma que lo exija?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Parte 2 — Formato sugerido para el informe de respuesta</w:t>
      </w:r>
    </w:p>
    <w:p>
      <w:pPr>
        <w:pStyle w:val="Heading2"/>
        <w:spacing w:after="140" w:before="280"/>
      </w:pPr>
      <w:r>
        <w:t xml:space="preserve">Calificación por nivel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426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8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24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Fundamento</w:t>
            </w:r>
          </w:p>
        </w:tc>
        <w:tc>
          <w:tcPr>
            <w:tcW w:type="dxa" w:w="24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Consecuencia práctica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Clínica ↔ dueño de mascota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Vetora ↔ clínica — datos clínicos del día a día</w:t>
            </w:r>
          </w:p>
        </w:tc>
        <w:tc>
          <w:tcPr>
            <w:tcW w:type="dxa" w:w="1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Vetora ↔ clínica — decisiones estructurales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Vetora ↔ clínica — facturación/suscripción</w:t>
            </w:r>
          </w:p>
        </w:tc>
        <w:tc>
          <w:tcPr>
            <w:tcW w:type="dxa" w:w="1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Vetora ↔ proveedores de infraestructura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Encargados (ya asumido)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Ver documento aparte</w:t>
            </w:r>
          </w:p>
        </w:tc>
      </w:tr>
    </w:tbl>
    <w:p>
      <w:pPr>
        <w:pStyle w:val="Heading2"/>
        <w:spacing w:after="140" w:before="280"/>
      </w:pPr>
      <w:r>
        <w:t xml:space="preserve">Dictamen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Respuesta a cada una de las cinco preguntas de la Parte 1.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Si la calificación resulta mixta (distinta según el tipo de dato), qué documento debe reflejar esa distinción y con qué palabras exactas.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Qué cambia, si algo, en: el orden de notificación de brechas ya propuesto; la forma de declarar la transferencia internacional; la necesidad de un contrato Vetora–clínica aparte.</w:t>
      </w:r>
    </w:p>
    <w:p>
      <w:pPr>
        <w:spacing w:after="60" w:line="276"/>
      </w:pPr>
      <w:r>
        <w:t xml:space="preserve">Espacio para el dictamen:</w:t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t xml:space="preserve">Cierre</w:t>
      </w:r>
    </w:p>
    <w:p>
      <w:pPr>
        <w:spacing w:after="200" w:line="276"/>
      </w:pPr>
      <w:r>
        <w:rPr>
          <w:b/>
          <w:bCs/>
        </w:rPr>
        <w:t xml:space="preserve">Visto bueno: </w:t>
      </w:r>
      <w:r>
        <w:t xml:space="preserve">☐ Pleno   ☐ Condicionado (indicar qué falta)   ☐ No procede sin más información</w:t>
      </w:r>
    </w:p>
    <w:p>
      <w:pPr>
        <w:spacing w:after="200" w:line="276"/>
      </w:pPr>
      <w:r>
        <w:rPr>
          <w:b/>
          <w:bCs/>
        </w:rPr>
        <w:t xml:space="preserve">Fecha del informe: </w:t>
      </w:r>
    </w:p>
    <w:p>
      <w:pPr>
        <w:spacing w:after="200" w:line="276"/>
      </w:pPr>
      <w:r>
        <w:rPr>
          <w:b/>
          <w:bCs/>
        </w:rPr>
        <w:t xml:space="preserve">Nombre y matrícula del profesional: </w:t>
      </w:r>
    </w:p>
    <w:p>
      <w:pPr>
        <w:spacing w:after="200" w:line="276"/>
      </w:pPr>
      <w:r>
        <w:rPr>
          <w:b/>
          <w:bCs/>
        </w:rPr>
        <w:t xml:space="preserve">Firma: </w:t>
      </w:r>
    </w:p>
    <w:p>
      <w:pPr>
        <w:pBdr>
          <w:top w:val="single" w:color="CBD5E1" w:sz="6" w:space="8"/>
        </w:pBdr>
        <w:spacing w:before="400"/>
      </w:pPr>
      <w:r>
        <w:rPr>
          <w:i/>
          <w:iCs/>
          <w:color w:val="475569"/>
          <w:sz w:val="17"/>
          <w:szCs w:val="17"/>
        </w:rPr>
        <w:t xml:space="preserve">Documento generado el 8 de septiembre de 2026, como parte del paquete de documentación para la asesoría jurídica de Vetora.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calificación — Responsable y encargado</dc:title>
  <dc:creator>Vetora</dc:creator>
  <dc:description>Solicitud a la asesoría jurídica sobre el papel de Vetora, las clínicas y los proveedores en el tratamiento de datos</dc:description>
  <cp:lastModifiedBy>Un-named</cp:lastModifiedBy>
  <cp:revision>1</cp:revision>
  <dcterms:created xsi:type="dcterms:W3CDTF">2026-09-09T02:31:46.237Z</dcterms:created>
  <dcterms:modified xsi:type="dcterms:W3CDTF">2026-09-09T02:31:46.240Z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