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sz w:val="19"/>
                <w:szCs w:val="19"/>
              </w:rPr>
              <w:t xml:space="preserve">La política no informa de la transferencia internacional de datos</w:t>
            </w:r>
          </w:p>
        </w:tc>
        <w:tc>
          <w:tcPr>
            <w:tcW w:type="dxa" w:w="3226"/>
            <w:tcMar>
              <w:top w:type="dxa" w:w="90"/>
              <w:left w:type="dxa" w:w="130"/>
              <w:bottom w:type="dxa" w:w="90"/>
              <w:right w:type="dxa" w:w="130"/>
            </w:tcMar>
          </w:tcPr>
          <w:p>
            <w:pPr>
              <w:spacing w:after="0" w:line="250"/>
            </w:pPr>
            <w:r>
              <w:rPr>
                <w:sz w:val="19"/>
                <w:szCs w:val="19"/>
              </w:rPr>
              <w:t xml:space="preserve">Omisión deliberada, pendiente de redacción jurídica</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 por tres vías distintas</w:t>
            </w:r>
          </w:p>
        </w:tc>
        <w:tc>
          <w:tcPr>
            <w:tcW w:type="dxa" w:w="3226"/>
            <w:tcMar>
              <w:top w:type="dxa" w:w="90"/>
              <w:left w:type="dxa" w:w="130"/>
              <w:bottom w:type="dxa" w:w="90"/>
              <w:right w:type="dxa" w:w="130"/>
            </w:tcMar>
          </w:tcPr>
          <w:p>
            <w:pPr>
              <w:spacing w:after="0" w:line="250"/>
            </w:pPr>
            <w:r>
              <w:rPr>
                <w:b/>
                <w:bCs/>
                <w:color w:val="0F766E"/>
                <w:sz w:val="19"/>
                <w:szCs w:val="19"/>
              </w:rPr>
              <w:t xml:space="preserve">Corregidas las tres vías el mismo día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sz w:val="19"/>
                <w:szCs w:val="19"/>
              </w:rPr>
              <w:t xml:space="preserve">Pendiente</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Pendiente</w:t>
            </w:r>
          </w:p>
        </w:tc>
      </w:tr>
      <w:tr>
        <w:tc>
          <w:tcPr>
            <w:tcW w:type="dxa" w:w="5800"/>
            <w:tcMar>
              <w:top w:type="dxa" w:w="90"/>
              <w:left w:type="dxa" w:w="130"/>
              <w:bottom w:type="dxa" w:w="90"/>
              <w:right w:type="dxa" w:w="130"/>
            </w:tcMar>
          </w:tcPr>
          <w:p>
            <w:pPr>
              <w:spacing w:after="0" w:line="250"/>
            </w:pPr>
            <w:r>
              <w:rPr>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sz w:val="19"/>
                <w:szCs w:val="19"/>
              </w:rPr>
              <w:t xml:space="preserve">Calificación jurídica pendiente</w:t>
            </w:r>
          </w:p>
        </w:tc>
      </w:tr>
    </w:tbl>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240" w:line="276"/>
      </w:pPr>
      <w:r>
        <w:rPr>
          <w:b/>
          <w:bCs/>
        </w:rPr>
        <w:t xml:space="preserve">Estado: </w:t>
      </w:r>
      <w:r>
        <w:t xml:space="preserve">la política ya es cierta tal como está redactada. No fue necesario cambiar el texto.</w:t>
      </w:r>
    </w:p>
    <w:p>
      <w:pPr>
        <w:pStyle w:val="Heading2"/>
        <w:spacing w:after="140" w:before="280"/>
      </w:pPr>
      <w:r>
        <w:t xml:space="preserve">2.2. «El historial clínico cerrado no se puede modificar ni borrar» — corregido (tres vías, las tres cerradas)</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tres vías distintas — la tercera se descubrió al cerrar las dos primeras.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tres).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rPr>
          <w:b/>
          <w:bCs/>
        </w:rPr>
        <w:t xml:space="preserve">Vía 3 — borrar el paciente arrastrando una internación ya cerrada. </w:t>
      </w:r>
      <w:r>
        <w:t xml:space="preserve">El mismo problema de la vía 1, aplicado a otro tipo de registro: una internación ya concluida se prometía «congelada», pero solo frente a modificaciones, no frente a que se borrara el paciente completo. Sin ningún cobro asociado a esa internación, se perdía igual que el historial de la vía 1.</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y cuando tiene internaciones ya concluidas. En ambos casos, lo que sigue en curso —una consulta sin terminar, una internación activa— no bloquea el borrado: solo se protege lo que ya se cerró y se promete definitivo.</w:t>
      </w:r>
    </w:p>
    <w:p>
      <w:pPr>
        <w:spacing w:after="240" w:line="276"/>
      </w:pPr>
      <w:r>
        <w:rPr>
          <w:b/>
          <w:bCs/>
        </w:rPr>
        <w:t xml:space="preserve">Estado: </w:t>
      </w:r>
      <w:r>
        <w:t xml:space="preserve">las tres vías quedan cerradas y verificadas en producción. La política ya es cierta en su totalidad.</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shd w:fill="FEF2F2" w:color="auto" w:val="clear"/>
        <w:spacing w:after="80" w:line="276"/>
      </w:pPr>
      <w:r>
        <w:rPr>
          <w:b/>
          <w:bCs/>
          <w:color w:val="B91C1C"/>
          <w:sz w:val="22"/>
          <w:szCs w:val="22"/>
        </w:rPr>
        <w:t xml:space="preserve">El CI merece punto propio</w:t>
      </w:r>
    </w:p>
    <w:p>
      <w:pPr>
        <w:shd w:fill="FEF2F2" w:color="auto" w:val="clear"/>
        <w:spacing w:after="200" w:line="276"/>
      </w:pPr>
      <w:r>
        <w:t xml:space="preserve">Por lo que representa y por lo poco que el sistema lo distingue del resto de la ficha del cliente. Verificado contra el código, no supuesto.</w:t>
      </w:r>
    </w:p>
    <w:p>
      <w:pPr>
        <w:pStyle w:val="ListParagraph"/>
        <w:numPr>
          <w:ilvl w:val="0"/>
          <w:numId w:val="2"/>
        </w:numPr>
        <w:spacing w:after="90" w:line="276"/>
      </w:pPr>
      <w:r>
        <w:rPr>
          <w:b/>
          <w:bCs/>
        </w:rPr>
        <w:t xml:space="preserve">Qué es hoy, técnicamente: </w:t>
      </w:r>
      <w:r>
        <w:t xml:space="preserve">la columna (clientes.ci, desde la primera versión del esquema) es texto libre — sin restricción de unicidad, sin validación de formato, sin dígito verificador. Nunca se valida la longitud ni la forma de lo escrito, solo se recorta el espacio en blanco. Es opcional: una ficha puede no tenerlo.</w:t>
      </w:r>
    </w:p>
    <w:p>
      <w:pPr>
        <w:pStyle w:val="ListParagraph"/>
        <w:numPr>
          <w:ilvl w:val="0"/>
          <w:numId w:val="2"/>
        </w:numPr>
        <w:spacing w:after="90" w:line="276"/>
      </w:pPr>
      <w:r>
        <w:rPr>
          <w:b/>
          <w:bCs/>
        </w:rPr>
        <w:t xml:space="preserve">Para qué se usa realmente: </w:t>
      </w:r>
      <w:r>
        <w:t xml:space="preserve">nunca como control de acceso ni como prueba de identidad, sino como clave de coincidencia entre dos escrituras del mismo número, para dos decisiones concretas: vincular una cuenta nueva del portal a una ficha de cliente ya existente, y reusar la ficha de un dueño cuando se registra una segunda mascota a su nombre. El propio código del sistema lo dice sin rodeos: «No es prueba de identidad —los dos son datos que un conocido podría saber—, sube el listón de “sé tu carnet” a “sé tu carnet y tu teléfono”». Nadie en el sistema lo comprueba contra ningún documento ni servicio real — no existe integración con el registro civil boliviano ni con nada parecido: es autodeclarado de principio a fin.</w:t>
      </w:r>
    </w:p>
    <w:p>
      <w:pPr>
        <w:pStyle w:val="ListParagraph"/>
        <w:numPr>
          <w:ilvl w:val="0"/>
          <w:numId w:val="2"/>
        </w:numPr>
        <w:spacing w:after="90" w:line="276"/>
      </w:pPr>
      <w:r>
        <w:rPr>
          <w:b/>
          <w:bCs/>
        </w:rPr>
        <w:t xml:space="preserve">Quién lo ve, sin ninguna restricción adicional a la de cualquier otro dato de la ficha: </w:t>
      </w:r>
      <w:r>
        <w:t xml:space="preserve">los tres roles de personal por igual —administración, veterinario, recepción; la política de acceso de la base de datos no distingue esta columna de las demás—, el propio dueño desde su portal, seis documentos que se imprimen (cuatro de ellos accesibles también al dueño, por ser su propio dato), y el volcado completo del respaldo en formato CSV, que puede generar tanto la administración como recepción sin que esa columna se excluya. El operador de la plataforma también puede extraerlo clínica por clínica, pero eso ya está acotado con segundo factor y registrado en bitácora (sección 2.1).</w:t>
      </w:r>
    </w:p>
    <w:p>
      <w:pPr>
        <w:pStyle w:val="ListParagraph"/>
        <w:numPr>
          <w:ilvl w:val="0"/>
          <w:numId w:val="2"/>
        </w:numPr>
        <w:spacing w:after="140" w:line="276"/>
      </w:pPr>
      <w:r>
        <w:rPr>
          <w:b/>
          <w:bCs/>
        </w:rPr>
        <w:t xml:space="preserve">Lo que no cambia: </w:t>
      </w:r>
      <w:r>
        <w:t xml:space="preserve">sigue sin enviarse nunca al asistente de inteligencia artificial — reverificado al ampliar este punto.</w:t>
      </w:r>
    </w:p>
    <w:p>
      <w:pPr>
        <w:spacing w:after="240" w:line="276"/>
      </w:pPr>
      <w:r>
        <w:t xml:space="preserve">Es "el dato más sensible que se conserva" por lo que representa —identifica a una persona de forma unívoca en Bolivia—, no porque el sistema lo trate con un régimen distinto al resto de la ficha del cliente. Esa distancia entre lo sensible que es y lo poco que se lo distingue es justo lo que las preguntas 4.1 a 4.3 de la sección 9 le piden a la asesoría.</w:t>
      </w:r>
    </w:p>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 — merece punto propio</w:t>
      </w:r>
    </w:p>
    <w:p>
      <w:pPr>
        <w:spacing w:after="140" w:line="276"/>
      </w:pPr>
      <w:r>
        <w:rPr>
          <w:b/>
          <w:bCs/>
        </w:rPr>
        <w:t xml:space="preserve">Dos tablas</w:t>
      </w:r>
      <w:r>
        <w:t xml:space="preserve"> del sistema conservan firmas manuscritas capturadas en el dispositivo, en base64 —no tres, como decía una versión anterior de este informe—: consentimientos de cirugía e informes firmados, tabla esta última donde también vive la firma de recibos (no es una tabla propia: solo añade "recibo" como un valor más de tipo de documento).</w:t>
      </w:r>
    </w:p>
    <w:p>
      <w:pPr>
        <w:shd w:fill="FEF2F2" w:color="auto" w:val="clear"/>
        <w:spacing w:after="80" w:line="276"/>
      </w:pPr>
      <w:r>
        <w:rPr>
          <w:b/>
          <w:bCs/>
          <w:color w:val="B91C1C"/>
          <w:sz w:val="22"/>
          <w:szCs w:val="22"/>
        </w:rPr>
        <w:t xml:space="preserve">Verificado contra el código, no supuesto</w:t>
      </w:r>
    </w:p>
    <w:p>
      <w:pPr>
        <w:shd w:fill="FEF2F2" w:color="auto" w:val="clear"/>
        <w:spacing w:after="200" w:line="276"/>
      </w:pPr>
      <w:r>
        <w:t xml:space="preserve">Los puntos siguientes están comprobados uno por uno contra el componente de captura y las políticas de acceso reales, no son una descripción general.</w:t>
      </w:r>
    </w:p>
    <w:p>
      <w:pPr>
        <w:pStyle w:val="ListParagraph"/>
        <w:numPr>
          <w:ilvl w:val="0"/>
          <w:numId w:val="2"/>
        </w:numPr>
        <w:spacing w:after="90" w:line="276"/>
      </w:pPr>
      <w:r>
        <w:rPr>
          <w:b/>
          <w:bCs/>
        </w:rPr>
        <w:t xml:space="preserve">Qué es exactamente lo que se guarda: </w:t>
      </w:r>
      <w:r>
        <w:t xml:space="preserve">un único componente de todo el sistema captura el trazo sobre un lienzo digital y, al soltar, lo convierte en una imagen estática. Solo se persiste esa imagen final — nunca la secuencia de puntos, la velocidad ni la presión del trazo, que existen momentáneamente en pantalla mientras se dibuja pero se descartan de inmediato y no llegan a guardarse en ningún campo. Es el equivalente digital de una foto de una firma en papel, no un dato biométrico dinámico.</w:t>
      </w:r>
    </w:p>
    <w:p>
      <w:pPr>
        <w:pStyle w:val="ListParagraph"/>
        <w:numPr>
          <w:ilvl w:val="0"/>
          <w:numId w:val="2"/>
        </w:numPr>
        <w:spacing w:after="90" w:line="276"/>
      </w:pPr>
      <w:r>
        <w:rPr>
          <w:b/>
          <w:bCs/>
        </w:rPr>
        <w:t xml:space="preserve">Cuándo es obligatoria: </w:t>
      </w:r>
      <w:r>
        <w:t xml:space="preserve">para el consentimiento firmado digitalmente —uno de sus tres métodos posibles; los otros dos (firma física escaneada, aceptación verbal registrada) no producen ningún trazo—, y como condición para imprimir un informe, un historial o un recibo: el botón de imprimir permanece deshabilitado sin firma. No es obligatoria para cerrar una consulta ni para cobrar — firmar es un paso posterior y separado, solo para poder emitir el papel.</w:t>
      </w:r>
    </w:p>
    <w:p>
      <w:pPr>
        <w:pStyle w:val="ListParagraph"/>
        <w:numPr>
          <w:ilvl w:val="0"/>
          <w:numId w:val="2"/>
        </w:numPr>
        <w:spacing w:after="90" w:line="276"/>
      </w:pPr>
      <w:r>
        <w:rPr>
          <w:b/>
          <w:bCs/>
        </w:rPr>
        <w:t xml:space="preserve">Inmutabilidad: </w:t>
      </w:r>
      <w:r>
        <w:t xml:space="preserve">las dos tablas son solo de alta y de lectura — no existe ninguna forma de modificar ni borrar una firma ya guardada, con la misma salvedad de las bajas en cadena ya explicada en el punto 2.2 de este informe.</w:t>
      </w:r>
    </w:p>
    <w:p>
      <w:pPr>
        <w:pStyle w:val="ListParagraph"/>
        <w:numPr>
          <w:ilvl w:val="0"/>
          <w:numId w:val="2"/>
        </w:numPr>
        <w:spacing w:after="90" w:line="276"/>
      </w:pPr>
      <w:r>
        <w:rPr>
          <w:b/>
          <w:bCs/>
        </w:rPr>
        <w:t xml:space="preserve">Quién la ve: </w:t>
      </w:r>
      <w:r>
        <w:t xml:space="preserve">el personal con acceso al expediente clínico (administración, veterinario, recepción), y el propio dueño desde su portal —incluida la firma del veterinario, no solo la suya— para los consentimientos e informes de su mascota. La única excepción es el recibo: al no llevar paciente asociado, esa firma queda estructuralmente invisible para el dueño aunque conozca la dirección del documento.</w:t>
      </w:r>
    </w:p>
    <w:p>
      <w:pPr>
        <w:pStyle w:val="ListParagraph"/>
        <w:numPr>
          <w:ilvl w:val="0"/>
          <w:numId w:val="2"/>
        </w:numPr>
        <w:spacing w:after="90" w:line="276"/>
      </w:pPr>
      <w:r>
        <w:rPr>
          <w:b/>
          <w:bCs/>
        </w:rPr>
        <w:t xml:space="preserve">Sale íntegra en el respaldo en CSV </w:t>
      </w:r>
      <w:r>
        <w:t xml:space="preserve">de ambas tablas, sin ningún filtro —al contrario que la fotografía del paciente, que sí se excluye del CSV y se mueve aparte—, y nunca se envía al asistente de inteligencia artificial.</w:t>
      </w:r>
    </w:p>
    <w:p>
      <w:pPr>
        <w:pStyle w:val="ListParagraph"/>
        <w:numPr>
          <w:ilvl w:val="0"/>
          <w:numId w:val="2"/>
        </w:numPr>
        <w:spacing w:after="140" w:line="276"/>
      </w:pPr>
      <w:r>
        <w:rPr>
          <w:b/>
          <w:bCs/>
        </w:rPr>
        <w:t xml:space="preserve">Nunca se compara contra ninguna firma de referencia. </w:t>
      </w:r>
      <w:r>
        <w:t xml:space="preserve">Se guarda y se muestra, pero no hay ningún proceso de verificación: es evidencia de que alguien trazó algo en el dispositivo en ese momento, no una comprobación de identidad.</w:t>
      </w:r>
    </w:p>
    <w:p>
      <w:pPr>
        <w:spacing w:after="240" w:line="276"/>
      </w:pPr>
      <w:r>
        <w:t xml:space="preserve">Es sensible en un sentido distinto al de la cédula de identidad (sección 3.1): no identifica por sí sola a nadie de forma unívoca, pero su naturaleza —un trazo manuscrito capturado digitalmente— es justo lo que algunas jurisdicciones tratan como dato biométrico o de categoría especial, sin que el sistema le dé hoy ningún tratamiento reforzado frente al resto del expediente.</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debe solicitarse a la clínica</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rPr>
        <w:t xml:space="preserve">Contrato de encargo de tratamiento </w:t>
      </w:r>
      <w:r>
        <w:t xml:space="preserve">con los tres proveedores. Todos ellos tratan datos personales por cuenta de Vetora.</w:t>
      </w:r>
    </w:p>
    <w:p>
      <w:pPr>
        <w:pStyle w:val="ListParagraph"/>
        <w:numPr>
          <w:ilvl w:val="0"/>
          <w:numId w:val="3"/>
        </w:numPr>
        <w:spacing w:after="130" w:line="276"/>
      </w:pPr>
      <w:r>
        <w:rPr>
          <w:b/>
          <w:bCs/>
        </w:rPr>
        <w:t xml:space="preserve">Procedimiento de notificación de brechas de seguridad: </w:t>
      </w:r>
      <w:r>
        <w:t xml:space="preserve">a quién se comunica, en qué plazo y con qué contenido.</w:t>
      </w:r>
    </w:p>
    <w:p>
      <w:pPr>
        <w:pStyle w:val="ListParagraph"/>
        <w:numPr>
          <w:ilvl w:val="0"/>
          <w:numId w:val="3"/>
        </w:numPr>
        <w:spacing w:after="130" w:line="276"/>
      </w:pPr>
      <w:r>
        <w:rPr>
          <w:b/>
          <w:bCs/>
        </w:rPr>
        <w:t xml:space="preserve">Registro de actividades de tratamiento</w:t>
      </w:r>
      <w:r>
        <w:t xml:space="preserve">, si la normativa aplicable lo exige.</w:t>
      </w:r>
    </w:p>
    <w:p>
      <w:pPr>
        <w:pStyle w:val="ListParagraph"/>
        <w:numPr>
          <w:ilvl w:val="0"/>
          <w:numId w:val="3"/>
        </w:numPr>
        <w:spacing w:after="130" w:line="276"/>
      </w:pPr>
      <w:r>
        <w:rPr>
          <w:b/>
          <w:bCs/>
        </w:rPr>
        <w:t xml:space="preserve">Base de licitud del tratamiento </w:t>
      </w:r>
      <w:r>
        <w:t xml:space="preserve">documentada: consentimiento, ejecución contractual o interés legítimo.</w:t>
      </w:r>
    </w:p>
    <w:p>
      <w:pPr>
        <w:pStyle w:val="ListParagraph"/>
        <w:numPr>
          <w:ilvl w:val="0"/>
          <w:numId w:val="3"/>
        </w:numPr>
        <w:spacing w:after="130" w:line="276"/>
      </w:pPr>
      <w:r>
        <w:rPr>
          <w:b/>
          <w:bCs/>
        </w:rPr>
        <w:t xml:space="preserve">Consentimiento informado para el tratamiento de datos</w:t>
      </w:r>
      <w:r>
        <w:t xml:space="preserve">, distinto del consentimiento quirúrgico que ya existe (este último es de naturaleza médica, no de protección de datos).</w:t>
      </w:r>
    </w:p>
    <w:p>
      <w:pPr>
        <w:pStyle w:val="ListParagraph"/>
        <w:numPr>
          <w:ilvl w:val="0"/>
          <w:numId w:val="3"/>
        </w:numPr>
        <w:spacing w:after="130" w:line="276"/>
      </w:pPr>
      <w:r>
        <w:rPr>
          <w:b/>
          <w:bCs/>
        </w:rPr>
        <w:t xml:space="preserve">Términos y condiciones </w:t>
      </w:r>
      <w:r>
        <w:t xml:space="preserve">del servicio para las clínicas contratantes.</w:t>
      </w:r>
    </w:p>
    <w:p>
      <w:pPr>
        <w:pStyle w:val="ListParagraph"/>
        <w:numPr>
          <w:ilvl w:val="0"/>
          <w:numId w:val="3"/>
        </w:numPr>
        <w:spacing w:after="130" w:line="276"/>
      </w:pPr>
      <w:r>
        <w:rPr>
          <w:b/>
          <w:bCs/>
        </w:rPr>
        <w:t xml:space="preserve">Cláusula relativa a menores de edad</w:t>
      </w:r>
      <w:r>
        <w:t xml:space="preserve">: no se recogen sus datos, pero no está declarado.</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rPr>
        <w:t xml:space="preserve">¿Vetora es responsable o encargado del tratamiento? ¿Y la clínica? </w:t>
      </w:r>
      <w:r>
        <w:t xml:space="preserve">La política contenía una afirmación al respecto y se retiró precisamente por tratarse de una calificación jurídica. De la respuesta depende quién responde frente al titular de los datos.</w:t>
      </w:r>
    </w:p>
    <w:p>
      <w:pPr>
        <w:pStyle w:val="ListParagraph"/>
        <w:numPr>
          <w:ilvl w:val="0"/>
          <w:numId w:val="3"/>
        </w:numPr>
        <w:spacing w:after="130" w:line="276"/>
      </w:pPr>
      <w:r>
        <w:rPr>
          <w:b/>
          <w:bCs/>
        </w:rPr>
        <w:t xml:space="preserve">¿Cómo debe declararse la transferencia internacional de datos </w:t>
      </w:r>
      <w:r>
        <w:t xml:space="preserve">(Brasil y Estados Unidos)? Hay dos secciones ya redactadas, retiradas de la vista, a la espera de esta respuesta.</w:t>
      </w:r>
    </w:p>
    <w:p>
      <w:pPr>
        <w:pStyle w:val="ListParagraph"/>
        <w:numPr>
          <w:ilvl w:val="0"/>
          <w:numId w:val="3"/>
        </w:numPr>
        <w:spacing w:after="130" w:line="276"/>
      </w:pPr>
      <w:r>
        <w:rPr>
          <w:b/>
          <w:bCs/>
        </w:rPr>
        <w:t xml:space="preserve">Sobre las firmas manuscritas, </w:t>
      </w:r>
      <w:r>
        <w:t xml:space="preserve">ampliado con los hechos verificados en la sección 3.4 (afecta a dos tablas, no tres):</w:t>
      </w:r>
    </w:p>
    <w:p>
      <w:pPr>
        <w:spacing w:after="90" w:line="276"/>
        <w:ind w:left="720"/>
      </w:pPr>
      <w:r>
        <w:t xml:space="preserve">3.a. ¿Una imagen estática del trazo final —sin presión, velocidad ni secuencia de puntos— sigue considerándose dato biométrico, o esa calificación exige el componente dinámico que aquí no se guarda?</w:t>
      </w:r>
    </w:p>
    <w:p>
      <w:pPr>
        <w:spacing w:after="90" w:line="276"/>
        <w:ind w:left="720"/>
      </w:pPr>
      <w:r>
        <w:t xml:space="preserve">3.b. Si se considera dato sensible de todos modos, ¿bastan las protecciones ya existentes (inmutabilidad, acceso acotado al personal con expediente y al propio dueño), o hace falta algo adicional —por ejemplo, excluirla del respaldo en CSV, como ya se hace con la fotografía del paciente?</w:t>
      </w:r>
    </w:p>
    <w:p>
      <w:pPr>
        <w:spacing w:after="130" w:line="276"/>
        <w:ind w:left="720"/>
      </w:pPr>
      <w:r>
        <w:t xml:space="preserve">3.c. ¿Cambia algo que el dueño pueda ver también la firma del veterinario, no solo la suya, en el consentimiento de su propia mascota?</w:t>
      </w:r>
    </w:p>
    <w:p>
      <w:pPr>
        <w:pStyle w:val="ListParagraph"/>
        <w:numPr>
          <w:ilvl w:val="0"/>
          <w:numId w:val="3"/>
        </w:numPr>
        <w:spacing w:after="130" w:line="276"/>
      </w:pPr>
      <w:r>
        <w:rPr>
          <w:b/>
          <w:bCs/>
        </w:rPr>
        <w:t xml:space="preserve">Sobre la cédula de identidad, </w:t>
      </w:r>
      <w:r>
        <w:t xml:space="preserve">ampliado con los hechos verificados en la sección 3.1:</w:t>
      </w:r>
    </w:p>
    <w:p>
      <w:pPr>
        <w:spacing w:after="90" w:line="276"/>
        <w:ind w:left="720"/>
      </w:pPr>
      <w:r>
        <w:t xml:space="preserve">4.1. ¿Tiene el CI boliviano un régimen jurídico especial (dato sensible o de categoría reforzada) que exija medidas más allá de las que ya existen?</w:t>
      </w:r>
    </w:p>
    <w:p>
      <w:pPr>
        <w:spacing w:after="90" w:line="276"/>
        <w:ind w:left="720"/>
      </w:pPr>
      <w:r>
        <w:t xml:space="preserve">4.2. ¿Es jurídicamente aceptable que se use solo como clave de coincidencia autodeclarada, nunca verificada contra un documento real, tal como el propio sistema lo documenta y lo limita?</w:t>
      </w:r>
    </w:p>
    <w:p>
      <w:pPr>
        <w:spacing w:after="130" w:line="276"/>
        <w:ind w:left="720"/>
      </w:pPr>
      <w:r>
        <w:t xml:space="preserve">4.3. ¿El nivel de exposición actual —igual para los tres roles de personal, impreso en varios documentos, volcado íntegro en el respaldo en CSV— es adecuado para "el dato más sensible que se guarda", o debería acotarse (por ejemplo, ocultarlo a algún rol, excluirlo del CSV, o enmascararlo en lo impreso)?</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rPr>
        <w:t xml:space="preserve">¿Es necesario recabar consentimiento expreso </w:t>
      </w:r>
      <w:r>
        <w:t xml:space="preserve">para tratar los datos del dueño de la mascota, más allá de la relación contractual con la clínica?</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2026-09-09T13:55:04.957Z</dcterms:created>
  <dcterms:modified xsi:type="dcterms:W3CDTF">2026-09-09T13:55:04.959Z</dcterms:modified>
</cp:coreProperties>
</file>

<file path=docProps/custom.xml><?xml version="1.0" encoding="utf-8"?>
<Properties xmlns="http://schemas.openxmlformats.org/officeDocument/2006/custom-properties" xmlns:vt="http://schemas.openxmlformats.org/officeDocument/2006/docPropsVTypes"/>
</file>