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decisión. Los dos primeros son hallazgos nuevos de esta revisión y son los más urgentes, porque se trata de declaraciones ya publicadas en la política de privacidad que el sistema no respalda.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 que cada uso del respaldo queda registrado — no es cierto</w:t>
            </w:r>
          </w:p>
        </w:tc>
        <w:tc>
          <w:tcPr>
            <w:tcW w:type="dxa" w:w="3226"/>
            <w:shd w:fill="F1F5F9" w:color="auto" w:val="clear"/>
            <w:tcMar>
              <w:top w:type="dxa" w:w="90"/>
              <w:left w:type="dxa" w:w="130"/>
              <w:bottom w:type="dxa" w:w="90"/>
              <w:right w:type="dxa" w:w="130"/>
            </w:tcMar>
          </w:tcPr>
          <w:p>
            <w:pPr>
              <w:spacing w:after="0" w:line="250"/>
            </w:pPr>
            <w:r>
              <w:rPr>
                <w:b/>
                <w:bCs/>
                <w:color w:val="B91C1C"/>
                <w:sz w:val="19"/>
                <w:szCs w:val="19"/>
              </w:rPr>
              <w:t xml:space="preserve">Declaración no respaldada por el sistema</w:t>
            </w:r>
          </w:p>
        </w:tc>
      </w:tr>
      <w:tr>
        <w:tc>
          <w:tcPr>
            <w:tcW w:type="dxa" w:w="5800"/>
            <w:tcMar>
              <w:top w:type="dxa" w:w="90"/>
              <w:left w:type="dxa" w:w="130"/>
              <w:bottom w:type="dxa" w:w="90"/>
              <w:right w:type="dxa" w:w="130"/>
            </w:tcMar>
          </w:tcPr>
          <w:p>
            <w:pPr>
              <w:spacing w:after="0" w:line="250"/>
            </w:pPr>
            <w:r>
              <w:rPr>
                <w:b/>
                <w:bCs/>
                <w:sz w:val="19"/>
                <w:szCs w:val="19"/>
              </w:rPr>
              <w:t xml:space="preserve">La política afirma que el historial cerrado no se puede borrar — solo es cierto a medias</w:t>
            </w:r>
          </w:p>
        </w:tc>
        <w:tc>
          <w:tcPr>
            <w:tcW w:type="dxa" w:w="3226"/>
            <w:tcMar>
              <w:top w:type="dxa" w:w="90"/>
              <w:left w:type="dxa" w:w="130"/>
              <w:bottom w:type="dxa" w:w="90"/>
              <w:right w:type="dxa" w:w="130"/>
            </w:tcMar>
          </w:tcPr>
          <w:p>
            <w:pPr>
              <w:spacing w:after="0" w:line="250"/>
            </w:pPr>
            <w:r>
              <w:rPr>
                <w:b/>
                <w:bCs/>
                <w:color w:val="B91C1C"/>
                <w:sz w:val="19"/>
                <w:szCs w:val="19"/>
              </w:rPr>
              <w:t xml:space="preserve">Declaración parcialmente inexacta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Discrepancias entre la política publicada y el sistema</w:t>
      </w:r>
    </w:p>
    <w:p>
      <w:pPr>
        <w:spacing w:after="140" w:line="276"/>
      </w:pPr>
      <w:r>
        <w:t xml:space="preserve">Ambas son declaraciones actualmente publicadas que el sistema no cumple. Se detectaron en esta revisión.</w:t>
      </w:r>
    </w:p>
    <w:p>
      <w:pPr>
        <w:pStyle w:val="Heading2"/>
        <w:spacing w:after="140" w:before="280"/>
      </w:pPr>
      <w:r>
        <w:t xml:space="preserve">2.1. «Cada uso del respaldo queda registrado» — no es cierto</w:t>
      </w:r>
    </w:p>
    <w:p>
      <w:pPr>
        <w:spacing w:after="140" w:line="276"/>
      </w:pPr>
      <w:r>
        <w:t xml:space="preserve">La política de privacidad, en su sección 4, declara que existe una función que permite al operador de Vetora extraer los datos de una clínica concreta, y añade que </w:t>
      </w:r>
      <w:r>
        <w:rPr>
          <w:i/>
          <w:iCs/>
        </w:rPr>
        <w:t xml:space="preserve">«solo nosotros podemos ejecutarla, y cada uso queda registrado»</w:t>
      </w:r>
      <w:r>
        <w:t xml:space="preserve">.</w:t>
      </w:r>
    </w:p>
    <w:p>
      <w:pPr>
        <w:spacing w:after="140" w:line="276"/>
      </w:pPr>
      <w:r>
        <w:rPr>
          <w:b/>
          <w:bCs/>
        </w:rPr>
        <w:t xml:space="preserve">Las dos primeras afirmaciones son ciertas. La tercera no lo es.</w:t>
      </w:r>
      <w:r>
        <w:t xml:space="preserve"> La función valida la identidad de quien la invoca, exige segundo factor de autenticación y extrae los datos de esa clínica — pero </w:t>
      </w:r>
      <w:r>
        <w:rPr>
          <w:b/>
          <w:bCs/>
        </w:rPr>
        <w:t xml:space="preserve">no escribe ningún registro de auditoría</w:t>
      </w:r>
      <w:r>
        <w:t xml:space="preserve">. No existe anotación alguna de quién la ejecutó, cuándo, ni sobre qué clínica.</w:t>
      </w:r>
    </w:p>
    <w:p>
      <w:pPr>
        <w:spacing w:after="140" w:line="276"/>
      </w:pPr>
      <w:r>
        <w:rPr>
          <w:b/>
          <w:bCs/>
        </w:rPr>
        <w:t xml:space="preserve">Consecuencia: </w:t>
      </w:r>
      <w:r>
        <w:t xml:space="preserve">se promete al titular de los datos una trazabilidad que no existe. Si una persona preguntara quién accedió a su información y en qué momento, hoy no habría forma de responder.</w:t>
      </w:r>
    </w:p>
    <w:p>
      <w:pPr>
        <w:spacing w:after="140" w:line="276"/>
      </w:pPr>
      <w:r>
        <w:t xml:space="preserve">Hay dos salidas posibles, y la elección tiene componente jurídico:</w:t>
      </w:r>
    </w:p>
    <w:p>
      <w:pPr>
        <w:pStyle w:val="ListParagraph"/>
        <w:numPr>
          <w:ilvl w:val="0"/>
          <w:numId w:val="2"/>
        </w:numPr>
        <w:spacing w:after="130" w:line="276"/>
      </w:pPr>
      <w:r>
        <w:rPr>
          <w:b/>
          <w:bCs/>
        </w:rPr>
        <w:t xml:space="preserve">Implementar el registro. </w:t>
      </w:r>
      <w:r>
        <w:t xml:space="preserve">Técnicamente es una tabla y una inserción; trabajo de unas horas. La política pasaría entonces a ser cierta.</w:t>
      </w:r>
    </w:p>
    <w:p>
      <w:pPr>
        <w:pStyle w:val="ListParagraph"/>
        <w:numPr>
          <w:ilvl w:val="0"/>
          <w:numId w:val="2"/>
        </w:numPr>
        <w:spacing w:after="130" w:line="276"/>
      </w:pPr>
      <w:r>
        <w:rPr>
          <w:b/>
          <w:bCs/>
        </w:rPr>
        <w:t xml:space="preserve">Corregir la política </w:t>
      </w:r>
      <w:r>
        <w:t xml:space="preserve">para que no afirme lo que no ocurre.</w:t>
      </w:r>
    </w:p>
    <w:p>
      <w:pPr>
        <w:spacing w:after="240" w:line="276"/>
      </w:pPr>
      <w:r>
        <w:rPr>
          <w:b/>
          <w:bCs/>
        </w:rPr>
        <w:t xml:space="preserve">Recomendación técnica: </w:t>
      </w:r>
      <w:r>
        <w:t xml:space="preserve">la primera. Es una promesa razonable y barata de cumplir, y la trazabilidad de los accesos del operador es probablemente exigible con independencia de lo que diga el texto.</w:t>
      </w:r>
    </w:p>
    <w:p>
      <w:pPr>
        <w:pStyle w:val="Heading2"/>
        <w:spacing w:after="140" w:before="280"/>
      </w:pPr>
      <w:r>
        <w:t xml:space="preserve">2.2. «El historial clínico cerrado no se puede modificar ni borrar» — cierto a medias</w:t>
      </w:r>
    </w:p>
    <w:p>
      <w:pPr>
        <w:spacing w:after="140" w:line="276"/>
      </w:pPr>
      <w:r>
        <w:rPr>
          <w:b/>
          <w:bCs/>
        </w:rPr>
        <w:t xml:space="preserve">«No se puede modificar»: correcto. </w:t>
      </w:r>
      <w:r>
        <w:t xml:space="preserve">Existen dos barreras en la base de datos que lo impiden.</w:t>
      </w:r>
    </w:p>
    <w:p>
      <w:pPr>
        <w:spacing w:after="140" w:line="276"/>
      </w:pPr>
      <w:r>
        <w:rPr>
          <w:b/>
          <w:bCs/>
          <w:color w:val="B91C1C"/>
        </w:rPr>
        <w:t xml:space="preserve">«Ni borrar»: no está garantizado. </w:t>
      </w:r>
      <w:r>
        <w:t xml:space="preserve">La protección existente impide eliminar un paciente únicamente cuando tiene cobros registrados en caja: comprueba los cobros, no los historiales. Un paciente </w:t>
      </w:r>
      <w:r>
        <w:rPr>
          <w:b/>
          <w:bCs/>
        </w:rPr>
        <w:t xml:space="preserve">con historial clínico cerrado pero sin ningún cobro asociado sí puede eliminarse</w:t>
      </w:r>
      <w:r>
        <w:t xml:space="preserve">, y al hacerlo se eliminan en cascada su historial, sus recetas, sus vacunas y sus consentimientos firmados.</w:t>
      </w:r>
    </w:p>
    <w:p>
      <w:pPr>
        <w:spacing w:after="140" w:line="276"/>
      </w:pPr>
      <w:r>
        <w:t xml:space="preserve">La razón técnica es que las eliminaciones en cascada no activan las barreras que protegen la modificación, de modo que la inmutabilidad declarada no las alcanza.</w:t>
      </w:r>
    </w:p>
    <w:p>
      <w:pPr>
        <w:spacing w:after="140" w:line="276"/>
      </w:pPr>
      <w:r>
        <w:rPr>
          <w:b/>
          <w:bCs/>
        </w:rPr>
        <w:t xml:space="preserve">Consecuencia: </w:t>
      </w:r>
      <w:r>
        <w:t xml:space="preserve">el expediente médico de un animal puede desaparecer por una vía que la política declara imposible. El escenario realista no es malicioso: alguien elimina una ficha que cree duplicada.</w:t>
      </w:r>
    </w:p>
    <w:p>
      <w:pPr>
        <w:spacing w:after="240" w:line="276"/>
      </w:pPr>
      <w:r>
        <w:rPr>
          <w:b/>
          <w:bCs/>
        </w:rPr>
        <w:t xml:space="preserve">Salida: </w:t>
      </w:r>
      <w:r>
        <w:t xml:space="preserve">extender la protección existente para que compruebe también los historiales. Es añadir una condición a una barrera que ya existe.</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w:t>
      </w:r>
    </w:p>
    <w:p>
      <w:pPr>
        <w:spacing w:after="140" w:line="276"/>
      </w:pPr>
      <w:r>
        <w:t xml:space="preserve">Tres tablas del sistema conservan </w:t>
      </w:r>
      <w:r>
        <w:rPr>
          <w:b/>
          <w:bCs/>
        </w:rPr>
        <w:t xml:space="preserve">firmas manuscritas capturadas en el dispositivo</w:t>
      </w:r>
      <w:r>
        <w:t xml:space="preserve"> (consentimientos de cirugía, informes firmados y recibos), almacenadas como imagen codificada.</w:t>
      </w:r>
    </w:p>
    <w:p>
      <w:pPr>
        <w:shd w:fill="FEF2F2" w:color="auto" w:val="clear"/>
        <w:spacing w:after="80" w:line="276"/>
      </w:pPr>
      <w:r>
        <w:rPr>
          <w:b/>
          <w:bCs/>
          <w:color w:val="B91C1C"/>
          <w:sz w:val="22"/>
          <w:szCs w:val="22"/>
        </w:rPr>
        <w:t xml:space="preserve">Cuestión no planteada hasta ahora</w:t>
      </w:r>
    </w:p>
    <w:p>
      <w:pPr>
        <w:shd w:fill="FEF2F2" w:color="auto" w:val="clear"/>
        <w:spacing w:after="200" w:line="276"/>
      </w:pPr>
      <w:r>
        <w:t xml:space="preserve">Una firma manuscrita capturada digitalmente puede tener la consideración de dato biométrico o de categoría especial en determinados ordenamientos. Es una pregunta directa para la asesoría y afecta a tres tablas del sistema.</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hd w:fill="FEF2F2" w:color="auto" w:val="clear"/>
        <w:spacing w:after="80" w:line="276"/>
      </w:pPr>
      <w:r>
        <w:rPr>
          <w:b/>
          <w:bCs/>
          <w:color w:val="B91C1C"/>
          <w:sz w:val="22"/>
          <w:szCs w:val="22"/>
        </w:rPr>
        <w:t xml:space="preserve">Dato pendiente de confirmación</w:t>
      </w:r>
    </w:p>
    <w:p>
      <w:pPr>
        <w:shd w:fill="FEF2F2" w:color="auto" w:val="clear"/>
        <w:spacing w:after="200" w:line="276"/>
      </w:pPr>
      <w:r>
        <w:t xml:space="preserve">La ubicación de la base de datos (São Paulo) procede de la documentación interna del proyecto y no pudo verificarse de forma independiente durante esta revisión. Debe confirmarse en el panel del proveedor antes de incorporarla a un documento con efectos legales.</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3"/>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3"/>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y con la salvedad del punto 2.2</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2"/>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2"/>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2"/>
        </w:numPr>
        <w:spacing w:after="130" w:line="276"/>
      </w:pPr>
      <w:r>
        <w:rPr>
          <w:b/>
          <w:bCs/>
        </w:rPr>
        <w:t xml:space="preserve">Registro de actividades de tratamiento</w:t>
      </w:r>
      <w:r>
        <w:t xml:space="preserve">, si la normativa aplicable lo exige.</w:t>
      </w:r>
    </w:p>
    <w:p>
      <w:pPr>
        <w:pStyle w:val="ListParagraph"/>
        <w:numPr>
          <w:ilvl w:val="0"/>
          <w:numId w:val="2"/>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2"/>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2"/>
        </w:numPr>
        <w:spacing w:after="130" w:line="276"/>
      </w:pPr>
      <w:r>
        <w:rPr>
          <w:b/>
          <w:bCs/>
        </w:rPr>
        <w:t xml:space="preserve">Términos y condiciones </w:t>
      </w:r>
      <w:r>
        <w:t xml:space="preserve">del servicio para las clínicas contratantes.</w:t>
      </w:r>
    </w:p>
    <w:p>
      <w:pPr>
        <w:pStyle w:val="ListParagraph"/>
        <w:numPr>
          <w:ilvl w:val="0"/>
          <w:numId w:val="2"/>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2"/>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2"/>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2"/>
        </w:numPr>
        <w:spacing w:after="130" w:line="276"/>
      </w:pPr>
      <w:r>
        <w:rPr>
          <w:b/>
          <w:bCs/>
        </w:rPr>
        <w:t xml:space="preserve">¿Una firma manuscrita capturada en pantalla constituye dato biométrico </w:t>
      </w:r>
      <w:r>
        <w:t xml:space="preserve">o de categoría especial? Afecta a tres tablas del sistema.</w:t>
      </w:r>
    </w:p>
    <w:p>
      <w:pPr>
        <w:pStyle w:val="ListParagraph"/>
        <w:numPr>
          <w:ilvl w:val="0"/>
          <w:numId w:val="2"/>
        </w:numPr>
        <w:spacing w:after="130" w:line="276"/>
      </w:pPr>
      <w:r>
        <w:rPr>
          <w:b/>
          <w:bCs/>
        </w:rPr>
        <w:t xml:space="preserve">¿La cédula de identidad tiene un régimen especial de protección en Bolivia? </w:t>
      </w:r>
      <w:r>
        <w:t xml:space="preserve">Es el identificador más sensible que se conserva y se emplea para vincular cuentas.</w:t>
      </w:r>
    </w:p>
    <w:p>
      <w:pPr>
        <w:pStyle w:val="ListParagraph"/>
        <w:numPr>
          <w:ilvl w:val="0"/>
          <w:numId w:val="2"/>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2"/>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2"/>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2"/>
        </w:numPr>
        <w:spacing w:after="130" w:line="276"/>
      </w:pPr>
      <w:r>
        <w:rPr>
          <w:b/>
          <w:bCs/>
        </w:rPr>
        <w:t xml:space="preserve">¿Qué obligación de registro de accesos resulta exigible? </w:t>
      </w:r>
      <w:r>
        <w:t xml:space="preserve">De ello depende si el punto 2.1 se resuelve implementando la trazabilidad o corrigiendo el texto.</w:t>
      </w:r>
    </w:p>
    <w:p>
      <w:pPr>
        <w:pStyle w:val="ListParagraph"/>
        <w:numPr>
          <w:ilvl w:val="0"/>
          <w:numId w:val="2"/>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3"/>
        </w:numPr>
        <w:spacing w:after="90" w:line="276"/>
      </w:pPr>
      <w:r>
        <w:t xml:space="preserve">No constituye dictamen legal. Nada de lo aquí expuesto debe interpretarse como afirmación de cumplimiento normativo.</w:t>
      </w:r>
    </w:p>
    <w:p>
      <w:pPr>
        <w:pStyle w:val="ListParagraph"/>
        <w:numPr>
          <w:ilvl w:val="0"/>
          <w:numId w:val="3"/>
        </w:numPr>
        <w:spacing w:after="90" w:line="276"/>
      </w:pPr>
      <w:r>
        <w:t xml:space="preserve">No se verificó la ubicación física de la base de datos; procede de documentación interna.</w:t>
      </w:r>
    </w:p>
    <w:p>
      <w:pPr>
        <w:pStyle w:val="ListParagraph"/>
        <w:numPr>
          <w:ilvl w:val="0"/>
          <w:numId w:val="3"/>
        </w:numPr>
        <w:spacing w:after="90" w:line="276"/>
      </w:pPr>
      <w:r>
        <w:t xml:space="preserve">No se verificó el cifrado del almacenamiento en reposo. Es una propiedad del proveedor que nadie ha comprobado de forma independiente.</w:t>
      </w:r>
    </w:p>
    <w:p>
      <w:pPr>
        <w:pStyle w:val="ListParagraph"/>
        <w:numPr>
          <w:ilvl w:val="0"/>
          <w:numId w:val="3"/>
        </w:numPr>
        <w:spacing w:after="90" w:line="276"/>
      </w:pPr>
      <w:r>
        <w:t xml:space="preserve">No se revisaron las condiciones contractuales de los proveedores de infraestructura.</w:t>
      </w:r>
    </w:p>
    <w:p>
      <w:pPr>
        <w:pStyle w:val="ListParagraph"/>
        <w:numPr>
          <w:ilvl w:val="0"/>
          <w:numId w:val="3"/>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2026-09-08T21:55:58.640Z</dcterms:created>
  <dcterms:modified xsi:type="dcterms:W3CDTF">2026-09-08T21:55:58.642Z</dcterms:modified>
</cp:coreProperties>
</file>

<file path=docProps/custom.xml><?xml version="1.0" encoding="utf-8"?>
<Properties xmlns="http://schemas.openxmlformats.org/officeDocument/2006/custom-properties" xmlns:vt="http://schemas.openxmlformats.org/officeDocument/2006/docPropsVTypes"/>
</file>