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sz w:val="19"/>
                <w:szCs w:val="19"/>
              </w:rPr>
              <w:t xml:space="preserve">La política no informa de la transferencia internacional de datos</w:t>
            </w:r>
          </w:p>
        </w:tc>
        <w:tc>
          <w:tcPr>
            <w:tcW w:type="dxa" w:w="3226"/>
            <w:tcMar>
              <w:top w:type="dxa" w:w="90"/>
              <w:left w:type="dxa" w:w="130"/>
              <w:bottom w:type="dxa" w:w="90"/>
              <w:right w:type="dxa" w:w="130"/>
            </w:tcMar>
          </w:tcPr>
          <w:p>
            <w:pPr>
              <w:spacing w:after="0" w:line="250"/>
            </w:pPr>
            <w:r>
              <w:rPr>
                <w:sz w:val="19"/>
                <w:szCs w:val="19"/>
              </w:rPr>
              <w:t xml:space="preserve">Omisión deliberada, pendiente de redacción jurídica</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w:t>
            </w:r>
          </w:p>
        </w:tc>
        <w:tc>
          <w:tcPr>
            <w:tcW w:type="dxa" w:w="3226"/>
            <w:tcMar>
              <w:top w:type="dxa" w:w="90"/>
              <w:left w:type="dxa" w:w="130"/>
              <w:bottom w:type="dxa" w:w="90"/>
              <w:right w:type="dxa" w:w="130"/>
            </w:tcMar>
          </w:tcPr>
          <w:p>
            <w:pPr>
              <w:spacing w:after="0" w:line="250"/>
            </w:pPr>
            <w:r>
              <w:rPr>
                <w:b/>
                <w:bCs/>
                <w:color w:val="0F766E"/>
                <w:sz w:val="19"/>
                <w:szCs w:val="19"/>
              </w:rPr>
              <w:t xml:space="preserve">Corregido el mismo día, con una salvedad relacionada pendiente</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sz w:val="19"/>
                <w:szCs w:val="19"/>
              </w:rPr>
              <w:t xml:space="preserve">Pendiente</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Pendiente</w:t>
            </w:r>
          </w:p>
        </w:tc>
      </w:tr>
      <w:tr>
        <w:tc>
          <w:tcPr>
            <w:tcW w:type="dxa" w:w="5800"/>
            <w:tcMar>
              <w:top w:type="dxa" w:w="90"/>
              <w:left w:type="dxa" w:w="130"/>
              <w:bottom w:type="dxa" w:w="90"/>
              <w:right w:type="dxa" w:w="130"/>
            </w:tcMar>
          </w:tcPr>
          <w:p>
            <w:pPr>
              <w:spacing w:after="0" w:line="250"/>
            </w:pPr>
            <w:r>
              <w:rPr>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sz w:val="19"/>
                <w:szCs w:val="19"/>
              </w:rPr>
              <w:t xml:space="preserve">Calificación jurídica pendiente</w:t>
            </w:r>
          </w:p>
        </w:tc>
      </w:tr>
    </w:tbl>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240" w:line="276"/>
      </w:pPr>
      <w:r>
        <w:rPr>
          <w:b/>
          <w:bCs/>
        </w:rPr>
        <w:t xml:space="preserve">Estado: </w:t>
      </w:r>
      <w:r>
        <w:t xml:space="preserve">la política ya es cierta tal como está redactada. No fue necesario cambiar el texto.</w:t>
      </w:r>
    </w:p>
    <w:p>
      <w:pPr>
        <w:pStyle w:val="Heading2"/>
        <w:spacing w:after="140" w:before="280"/>
      </w:pPr>
      <w:r>
        <w:t xml:space="preserve">2.2. «El historial clínico cerrado no se puede modificar ni borrar» — corregido, con una salvedad relacionada pendiente</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dos vías distintas.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dos).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Un historial todavía en borrador no bloquea el borrado, porque un borrador no es el expediente médico definitivo que se promete conservar.</w:t>
      </w:r>
    </w:p>
    <w:p>
      <w:pPr>
        <w:spacing w:after="140" w:line="276"/>
      </w:pPr>
      <w:r>
        <w:rPr>
          <w:b/>
          <w:bCs/>
        </w:rPr>
        <w:t xml:space="preserve">Estado: </w:t>
      </w:r>
      <w:r>
        <w:t xml:space="preserve">ambas vías quedan cerradas. La política ya es cierta.</w:t>
      </w:r>
    </w:p>
    <w:p>
      <w:pPr>
        <w:shd w:fill="FEF2F2" w:color="auto" w:val="clear"/>
        <w:spacing w:after="80" w:line="276"/>
      </w:pPr>
      <w:r>
        <w:rPr>
          <w:b/>
          <w:bCs/>
          <w:color w:val="B91C1C"/>
          <w:sz w:val="22"/>
          <w:szCs w:val="22"/>
        </w:rPr>
        <w:t xml:space="preserve">Salvedad relacionada, detectada al corregir esto y aún pendiente</w:t>
      </w:r>
    </w:p>
    <w:p>
      <w:pPr>
        <w:shd w:fill="FEF2F2" w:color="auto" w:val="clear"/>
        <w:spacing w:after="200" w:line="276"/>
      </w:pPr>
      <w:r>
        <w:t xml:space="preserve">El mismo tipo de problema afecta a las internaciones. Una internación sin ningún cobro asociado todavía puede perderse si se borra el paciente, pese a que el sistema declara las internaciones «congeladas» una vez dado el alta. Es una situación poco común, pero es el mismo patrón exacto que se acaba de corregir, aplicado a otro tipo de registro. Queda anotado para resolverse de la misma manera.</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w:t>
      </w:r>
    </w:p>
    <w:p>
      <w:pPr>
        <w:spacing w:after="140" w:line="276"/>
      </w:pPr>
      <w:r>
        <w:t xml:space="preserve">Tres tablas del sistema conservan </w:t>
      </w:r>
      <w:r>
        <w:rPr>
          <w:b/>
          <w:bCs/>
        </w:rPr>
        <w:t xml:space="preserve">firmas manuscritas capturadas en el dispositivo</w:t>
      </w:r>
      <w:r>
        <w:t xml:space="preserve"> (consentimientos de cirugía, informes firmados y recibos), almacenadas como imagen codificada.</w:t>
      </w:r>
    </w:p>
    <w:p>
      <w:pPr>
        <w:shd w:fill="FEF2F2" w:color="auto" w:val="clear"/>
        <w:spacing w:after="80" w:line="276"/>
      </w:pPr>
      <w:r>
        <w:rPr>
          <w:b/>
          <w:bCs/>
          <w:color w:val="B91C1C"/>
          <w:sz w:val="22"/>
          <w:szCs w:val="22"/>
        </w:rPr>
        <w:t xml:space="preserve">Cuestión no planteada hasta ahora</w:t>
      </w:r>
    </w:p>
    <w:p>
      <w:pPr>
        <w:shd w:fill="FEF2F2" w:color="auto" w:val="clear"/>
        <w:spacing w:after="200" w:line="276"/>
      </w:pPr>
      <w:r>
        <w:t xml:space="preserve">Una firma manuscrita capturada digitalmente puede tener la consideración de dato biométrico o de categoría especial en determinados ordenamientos. Es una pregunta directa para la asesoría y afecta a tres tablas del sistema.</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ver la salvedad sobre internaciones en el punto 2.2</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rPr>
        <w:t xml:space="preserve">Contrato de encargo de tratamiento </w:t>
      </w:r>
      <w:r>
        <w:t xml:space="preserve">con los tres proveedores. Todos ellos tratan datos personales por cuenta de Vetora.</w:t>
      </w:r>
    </w:p>
    <w:p>
      <w:pPr>
        <w:pStyle w:val="ListParagraph"/>
        <w:numPr>
          <w:ilvl w:val="0"/>
          <w:numId w:val="3"/>
        </w:numPr>
        <w:spacing w:after="130" w:line="276"/>
      </w:pPr>
      <w:r>
        <w:rPr>
          <w:b/>
          <w:bCs/>
        </w:rPr>
        <w:t xml:space="preserve">Procedimiento de notificación de brechas de seguridad: </w:t>
      </w:r>
      <w:r>
        <w:t xml:space="preserve">a quién se comunica, en qué plazo y con qué contenido.</w:t>
      </w:r>
    </w:p>
    <w:p>
      <w:pPr>
        <w:pStyle w:val="ListParagraph"/>
        <w:numPr>
          <w:ilvl w:val="0"/>
          <w:numId w:val="3"/>
        </w:numPr>
        <w:spacing w:after="130" w:line="276"/>
      </w:pPr>
      <w:r>
        <w:rPr>
          <w:b/>
          <w:bCs/>
        </w:rPr>
        <w:t xml:space="preserve">Registro de actividades de tratamiento</w:t>
      </w:r>
      <w:r>
        <w:t xml:space="preserve">, si la normativa aplicable lo exige.</w:t>
      </w:r>
    </w:p>
    <w:p>
      <w:pPr>
        <w:pStyle w:val="ListParagraph"/>
        <w:numPr>
          <w:ilvl w:val="0"/>
          <w:numId w:val="3"/>
        </w:numPr>
        <w:spacing w:after="130" w:line="276"/>
      </w:pPr>
      <w:r>
        <w:rPr>
          <w:b/>
          <w:bCs/>
        </w:rPr>
        <w:t xml:space="preserve">Base de licitud del tratamiento </w:t>
      </w:r>
      <w:r>
        <w:t xml:space="preserve">documentada: consentimiento, ejecución contractual o interés legítimo.</w:t>
      </w:r>
    </w:p>
    <w:p>
      <w:pPr>
        <w:pStyle w:val="ListParagraph"/>
        <w:numPr>
          <w:ilvl w:val="0"/>
          <w:numId w:val="3"/>
        </w:numPr>
        <w:spacing w:after="130" w:line="276"/>
      </w:pPr>
      <w:r>
        <w:rPr>
          <w:b/>
          <w:bCs/>
        </w:rPr>
        <w:t xml:space="preserve">Consentimiento informado para el tratamiento de datos</w:t>
      </w:r>
      <w:r>
        <w:t xml:space="preserve">, distinto del consentimiento quirúrgico que ya existe (este último es de naturaleza médica, no de protección de datos).</w:t>
      </w:r>
    </w:p>
    <w:p>
      <w:pPr>
        <w:pStyle w:val="ListParagraph"/>
        <w:numPr>
          <w:ilvl w:val="0"/>
          <w:numId w:val="3"/>
        </w:numPr>
        <w:spacing w:after="130" w:line="276"/>
      </w:pPr>
      <w:r>
        <w:rPr>
          <w:b/>
          <w:bCs/>
        </w:rPr>
        <w:t xml:space="preserve">Términos y condiciones </w:t>
      </w:r>
      <w:r>
        <w:t xml:space="preserve">del servicio para las clínicas contratantes.</w:t>
      </w:r>
    </w:p>
    <w:p>
      <w:pPr>
        <w:pStyle w:val="ListParagraph"/>
        <w:numPr>
          <w:ilvl w:val="0"/>
          <w:numId w:val="3"/>
        </w:numPr>
        <w:spacing w:after="130" w:line="276"/>
      </w:pPr>
      <w:r>
        <w:rPr>
          <w:b/>
          <w:bCs/>
        </w:rPr>
        <w:t xml:space="preserve">Cláusula relativa a menores de edad</w:t>
      </w:r>
      <w:r>
        <w:t xml:space="preserve">: no se recogen sus datos, pero no está declarado.</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rPr>
        <w:t xml:space="preserve">¿Vetora es responsable o encargado del tratamiento? ¿Y la clínica? </w:t>
      </w:r>
      <w:r>
        <w:t xml:space="preserve">La política contenía una afirmación al respecto y se retiró precisamente por tratarse de una calificación jurídica. De la respuesta depende quién responde frente al titular de los datos.</w:t>
      </w:r>
    </w:p>
    <w:p>
      <w:pPr>
        <w:pStyle w:val="ListParagraph"/>
        <w:numPr>
          <w:ilvl w:val="0"/>
          <w:numId w:val="3"/>
        </w:numPr>
        <w:spacing w:after="130" w:line="276"/>
      </w:pPr>
      <w:r>
        <w:rPr>
          <w:b/>
          <w:bCs/>
        </w:rPr>
        <w:t xml:space="preserve">¿Cómo debe declararse la transferencia internacional de datos </w:t>
      </w:r>
      <w:r>
        <w:t xml:space="preserve">(Brasil y Estados Unidos)? Hay dos secciones ya redactadas, retiradas de la vista, a la espera de esta respuesta.</w:t>
      </w:r>
    </w:p>
    <w:p>
      <w:pPr>
        <w:pStyle w:val="ListParagraph"/>
        <w:numPr>
          <w:ilvl w:val="0"/>
          <w:numId w:val="3"/>
        </w:numPr>
        <w:spacing w:after="130" w:line="276"/>
      </w:pPr>
      <w:r>
        <w:rPr>
          <w:b/>
          <w:bCs/>
        </w:rPr>
        <w:t xml:space="preserve">¿Una firma manuscrita capturada en pantalla constituye dato biométrico </w:t>
      </w:r>
      <w:r>
        <w:t xml:space="preserve">o de categoría especial? Afecta a tres tablas del sistema.</w:t>
      </w:r>
    </w:p>
    <w:p>
      <w:pPr>
        <w:pStyle w:val="ListParagraph"/>
        <w:numPr>
          <w:ilvl w:val="0"/>
          <w:numId w:val="3"/>
        </w:numPr>
        <w:spacing w:after="130" w:line="276"/>
      </w:pPr>
      <w:r>
        <w:rPr>
          <w:b/>
          <w:bCs/>
        </w:rPr>
        <w:t xml:space="preserve">¿La cédula de identidad tiene un régimen especial de protección en Bolivia? </w:t>
      </w:r>
      <w:r>
        <w:t xml:space="preserve">Es el identificador más sensible que se conserva y se emplea para vincular cuentas.</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rPr>
        <w:t xml:space="preserve">¿Es necesario recabar consentimiento expreso </w:t>
      </w:r>
      <w:r>
        <w:t xml:space="preserve">para tratar los datos del dueño de la mascota, más allá de la relación contractual con la clínica?</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2026-09-09T00:28:56.306Z</dcterms:created>
  <dcterms:modified xsi:type="dcterms:W3CDTF">2026-09-09T00:28:56.308Z</dcterms:modified>
</cp:coreProperties>
</file>

<file path=docProps/custom.xml><?xml version="1.0" encoding="utf-8"?>
<Properties xmlns="http://schemas.openxmlformats.org/officeDocument/2006/custom-properties" xmlns:vt="http://schemas.openxmlformats.org/officeDocument/2006/docPropsVTypes"/>
</file>