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НВЕ</w:t>
      </w:r>
      <w:r>
        <w:t xml:space="preserve"> </w:t>
      </w:r>
      <w:r>
        <w:t xml:space="preserve">МАНГЕ</w:t>
      </w:r>
      <w:r>
        <w:t xml:space="preserve"> </w:t>
      </w:r>
      <w:r>
        <w:t xml:space="preserve">ХОСЕ.</w:t>
      </w:r>
      <w:r>
        <w:t xml:space="preserve"> </w:t>
      </w:r>
      <w:r>
        <w:t xml:space="preserve">X.M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##Задание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 с панелями; выделение/отмена выделения файлов, копирование/перемещение фай- 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- просмотр содержимого текстового файла;</w:t>
      </w:r>
      <w:r>
        <w:t xml:space="preserve"> </w:t>
      </w:r>
      <w:r>
        <w:t xml:space="preserve">-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- создание каталога;</w:t>
      </w:r>
      <w:r>
        <w:t xml:space="preserve"> </w:t>
      </w:r>
      <w:r>
        <w:t xml:space="preserve">-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bookmarkStart w:id="21" w:name="задание-по-встроенному-редактору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2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2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2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2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02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3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3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End w:id="22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</w:t>
      </w:r>
      <w:r>
        <w:t xml:space="preserve"> </w:t>
      </w:r>
      <w:r>
        <w:t xml:space="preserve">строку текущей оболочки. В этом же поле (самая нижняя строка экрана)</w:t>
      </w:r>
      <w:r>
        <w:t xml:space="preserve"> </w:t>
      </w:r>
      <w:r>
        <w:t xml:space="preserve">содержится подсказка по использованию функциональных клавиш F1 - F10. Самая</w:t>
      </w:r>
      <w:r>
        <w:t xml:space="preserve"> </w:t>
      </w:r>
      <w:r>
        <w:t xml:space="preserve">верхняя строка экрана содержит строку горизонтального меню. Эта строка</w:t>
      </w:r>
      <w:r>
        <w:t xml:space="preserve"> </w:t>
      </w:r>
      <w:r>
        <w:t xml:space="preserve">может не отображаться на экране; в этом случае доступ к ней можно получить,</w:t>
      </w:r>
      <w:r>
        <w:t xml:space="preserve"> </w:t>
      </w:r>
      <w:r>
        <w:t xml:space="preserve">щёлкнув мышью по верхней рамке или нажав клавишу F9.</w:t>
      </w:r>
    </w:p>
    <w:p>
      <w:pPr>
        <w:pStyle w:val="SourceCode"/>
      </w:pPr>
      <w:r>
        <w:rPr>
          <w:rStyle w:val="VerbatimChar"/>
        </w:rPr>
        <w:t xml:space="preserve">   Панели Midnight Commander обеспечивают просмотр одновременно двух каталогов.</w:t>
      </w:r>
      <w:r>
        <w:br/>
      </w:r>
      <w:r>
        <w:rPr>
          <w:rStyle w:val="VerbatimChar"/>
        </w:rPr>
        <w:t xml:space="preserve">   Одна  из  панелей  является  активной  в  том смысле, что пользователь может</w:t>
      </w:r>
      <w:r>
        <w:br/>
      </w:r>
      <w:r>
        <w:rPr>
          <w:rStyle w:val="VerbatimChar"/>
        </w:rPr>
        <w:t xml:space="preserve">   выполнять некоторые  операции  с  отображаемыми  в  этой  панели  файлами  и</w:t>
      </w:r>
      <w:r>
        <w:br/>
      </w:r>
      <w:r>
        <w:rPr>
          <w:rStyle w:val="VerbatimChar"/>
        </w:rPr>
        <w:t xml:space="preserve">   каталогами. В активной панели подсвечено имя одного из каталогов или файлов,</w:t>
      </w:r>
      <w:r>
        <w:br/>
      </w:r>
      <w:r>
        <w:rPr>
          <w:rStyle w:val="VerbatimChar"/>
        </w:rPr>
        <w:t xml:space="preserve">   а также выделен цветом заголовок панели в  верхней  строке.  Этот  заголовок</w:t>
      </w:r>
      <w:r>
        <w:br/>
      </w:r>
      <w:r>
        <w:rPr>
          <w:rStyle w:val="VerbatimChar"/>
        </w:rPr>
        <w:t xml:space="preserve">   совпадает  с именем отображаемого в данной панели каталога, который является</w:t>
      </w:r>
      <w:r>
        <w:br/>
      </w:r>
      <w:r>
        <w:rPr>
          <w:rStyle w:val="VerbatimChar"/>
        </w:rPr>
        <w:t xml:space="preserve">   текущим каталогом той оболочки, из которой запущена программа. Вторая панель</w:t>
      </w:r>
      <w:r>
        <w:br/>
      </w:r>
      <w:r>
        <w:rPr>
          <w:rStyle w:val="VerbatimChar"/>
        </w:rPr>
        <w:t xml:space="preserve">   -  пассивна.  Почти  все  операции  выполняются в активной панели, то есть в</w:t>
      </w:r>
      <w:r>
        <w:br/>
      </w:r>
      <w:r>
        <w:rPr>
          <w:rStyle w:val="VerbatimChar"/>
        </w:rPr>
        <w:t xml:space="preserve">   соответствующем (текущем) каталоге. Некоторые операции (типа копирования или</w:t>
      </w:r>
      <w:r>
        <w:br/>
      </w:r>
      <w:r>
        <w:rPr>
          <w:rStyle w:val="VerbatimChar"/>
        </w:rPr>
        <w:t xml:space="preserve">   переноса  файлов)  по умолчанию используют каталог, отображаемый в пассивной</w:t>
      </w:r>
      <w:r>
        <w:br/>
      </w:r>
      <w:r>
        <w:rPr>
          <w:rStyle w:val="VerbatimChar"/>
        </w:rPr>
        <w:t xml:space="preserve">   панели, как место назначения операции. Более подробное описание панелей дано</w:t>
      </w:r>
      <w:r>
        <w:br/>
      </w:r>
      <w:r>
        <w:rPr>
          <w:rStyle w:val="VerbatimChar"/>
        </w:rPr>
        <w:t xml:space="preserve">   в  подразделе  Панели  каталогов  раздела  Меню  левой  и правой панелей и в</w:t>
      </w:r>
      <w:r>
        <w:br/>
      </w:r>
      <w:r>
        <w:rPr>
          <w:rStyle w:val="VerbatimChar"/>
        </w:rPr>
        <w:t xml:space="preserve">   разделе Меню Файл</w:t>
      </w:r>
    </w:p>
    <w:bookmarkEnd w:id="23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mc.(рис.</w:t>
      </w:r>
      <w:r>
        <w:t xml:space="preserve"> </w:t>
      </w:r>
      <w:r>
        <w:t xml:space="preserve">[??]).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Запустите из командной строки mc, изучите его структуру и меню.(рис. [??]).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Название рисунка</w:t>
            </w:r>
          </w:p>
        </w:tc>
      </w:tr>
    </w:tbl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фай- 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т.п.)(рис. [??)].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файлах.(рис. [??]).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7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8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8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numPr>
          <w:ilvl w:val="0"/>
          <w:numId w:val="1008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8"/>
        </w:numPr>
        <w:pStyle w:val="Compact"/>
      </w:pPr>
      <w:r>
        <w:t xml:space="preserve">копирование в файлов в созданный каталог.(рис. [??]).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9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10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numPr>
          <w:ilvl w:val="0"/>
          <w:numId w:val="1010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10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10"/>
        </w:numPr>
        <w:pStyle w:val="Compact"/>
      </w:pPr>
      <w:r>
        <w:t xml:space="preserve">анализ файла меню и файла расширений.(рис. [??]).</w:t>
      </w:r>
    </w:p>
    <w:p>
      <w:pPr>
        <w:pStyle w:val="CaptionedFigure"/>
      </w:pPr>
      <w:r>
        <w:drawing>
          <wp:inline>
            <wp:extent cx="3733800" cy="3368478"/>
            <wp:effectExtent b="0" l="0" r="0" t="0"/>
            <wp:docPr descr="Название рисунк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1646610"/>
            <wp:effectExtent b="0" l="0" r="0" t="0"/>
            <wp:docPr descr="Название рисунк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1976203"/>
            <wp:effectExtent b="0" l="0" r="0" t="0"/>
            <wp:docPr descr="Название рисунк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Название рисунка</w:t>
            </w:r>
          </w:p>
        </w:tc>
      </w:tr>
    </w:tbl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т.д.)(рис. [??]).</w:t>
      </w:r>
    </w:p>
    <w:p>
      <w:pPr>
        <w:pStyle w:val="CaptionedFigure"/>
      </w:pPr>
      <w:r>
        <w:drawing>
          <wp:inline>
            <wp:extent cx="3733800" cy="1976203"/>
            <wp:effectExtent b="0" l="0" r="0" t="0"/>
            <wp:docPr descr="Название рисунка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3800" cy="4478674"/>
            <wp:effectExtent b="0" l="0" r="0" t="0"/>
            <wp:docPr descr="Название рисунка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1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1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Интернета.(рис. [??)].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Название рисунка" title="fig: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3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14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14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14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14"/>
        </w:numPr>
        <w:pStyle w:val="Compact"/>
      </w:pPr>
      <w:r>
        <w:t xml:space="preserve">Сохраните файл.</w:t>
      </w:r>
    </w:p>
    <w:p>
      <w:pPr>
        <w:numPr>
          <w:ilvl w:val="0"/>
          <w:numId w:val="1014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14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14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14"/>
        </w:numPr>
        <w:pStyle w:val="Compact"/>
      </w:pPr>
      <w:r>
        <w:t xml:space="preserve">Сохраните и закройте файл.(рис. [??]).</w:t>
      </w:r>
    </w:p>
    <w:p>
      <w:pPr>
        <w:pStyle w:val="CaptionedFigure"/>
      </w:pPr>
      <w:r>
        <w:drawing>
          <wp:inline>
            <wp:extent cx="3733800" cy="3311680"/>
            <wp:effectExtent b="0" l="0" r="0" t="0"/>
            <wp:docPr descr="Название рисунка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5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Java)(рис. [??]).</w:t>
      </w:r>
    </w:p>
    <w:p>
      <w:pPr>
        <w:pStyle w:val="CaptionedFigure"/>
      </w:pPr>
      <w:r>
        <w:drawing>
          <wp:inline>
            <wp:extent cx="3733800" cy="644058"/>
            <wp:effectExtent b="0" l="0" r="0" t="0"/>
            <wp:docPr descr="Название рисунка" title="fig: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6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включена.(рис. [??]).</w:t>
      </w:r>
    </w:p>
    <w:p>
      <w:pPr>
        <w:pStyle w:val="CaptionedFigure"/>
      </w:pPr>
      <w:r>
        <w:drawing>
          <wp:inline>
            <wp:extent cx="3733800" cy="2456447"/>
            <wp:effectExtent b="0" l="0" r="0" t="0"/>
            <wp:docPr descr="Название рисунка" title="fig: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1"/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НВЕ МАНГЕ ХОСЕ. X.M</dc:creator>
  <dc:language>ru-RU</dc:language>
  <cp:keywords/>
  <dcterms:created xsi:type="dcterms:W3CDTF">2023-03-28T13:40:12Z</dcterms:created>
  <dcterms:modified xsi:type="dcterms:W3CDTF">2023-03-28T13:40:12Z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