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НВЕ</w:t>
      </w:r>
      <w:r>
        <w:t xml:space="preserve"> </w:t>
      </w:r>
      <w:r>
        <w:t xml:space="preserve">МАНГЕ</w:t>
      </w:r>
      <w:r>
        <w:t xml:space="preserve"> </w:t>
      </w:r>
      <w:r>
        <w:t xml:space="preserve">ХОСЕ</w:t>
      </w:r>
      <w:r>
        <w:t xml:space="preserve"> </w:t>
      </w:r>
      <w:r>
        <w:t xml:space="preserve">ХЕРСОН</w:t>
      </w:r>
      <w:r>
        <w:t xml:space="preserve"> </w:t>
      </w:r>
      <w:r>
        <w:t xml:space="preserve">МИКО.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4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3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r>
        <w:drawing>
          <wp:inline>
            <wp:extent cx="3733800" cy="1010390"/>
            <wp:effectExtent b="0" l="0" r="0" t="0"/>
            <wp:docPr descr="Схема однократного использования Вернам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Схема однократного использования Вернама</w:t>
      </w:r>
    </w:p>
    <w:p>
      <w:pPr>
        <w:pStyle w:val="CaptionedFigure"/>
      </w:pPr>
      <w:r>
        <w:drawing>
          <wp:inline>
            <wp:extent cx="3733800" cy="1003458"/>
            <wp:effectExtent b="0" l="0" r="0" t="0"/>
            <wp:docPr descr="Схема однократного использования Вернам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Схема однократного использования Вернама</w:t>
      </w:r>
    </w:p>
    <w:p>
      <w:pPr>
        <w:pStyle w:val="CaptionedFigure"/>
      </w:pPr>
      <w:r>
        <w:drawing>
          <wp:inline>
            <wp:extent cx="3733800" cy="1417461"/>
            <wp:effectExtent b="0" l="0" r="0" t="0"/>
            <wp:docPr descr="Схема однократного использования Вернам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Схема однократного использования Вернама</w:t>
      </w:r>
    </w:p>
    <w:p>
      <w:pPr>
        <w:pStyle w:val="CaptionedFigure"/>
      </w:pPr>
      <w:r>
        <w:drawing>
          <wp:inline>
            <wp:extent cx="3733800" cy="2865691"/>
            <wp:effectExtent b="0" l="0" r="0" t="0"/>
            <wp:docPr descr="Работа алгоритма гаммирования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алгоритма гаммирования</w:t>
      </w:r>
    </w:p>
    <w:p>
      <w:pPr>
        <w:pStyle w:val="CaptionedFigure"/>
      </w:pPr>
      <w:r>
        <w:drawing>
          <wp:inline>
            <wp:extent cx="3733800" cy="2865691"/>
            <wp:effectExtent b="0" l="0" r="0" t="0"/>
            <wp:docPr descr="Работа алгоритма гаммирования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Работа алгоритма гаммирования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4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pStyle w:val="Compact"/>
        <w:numPr>
          <w:ilvl w:val="0"/>
          <w:numId w:val="1002"/>
        </w:numPr>
      </w:pPr>
      <w:hyperlink r:id="rId4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hyperlink" Id="rId42" Target="http://altaev-aa.narod.ru/security/XOR.html" TargetMode="External" /><Relationship Type="http://schemas.openxmlformats.org/officeDocument/2006/relationships/hyperlink" Id="rId43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altaev-aa.narod.ru/security/XOR.html" TargetMode="External" /><Relationship Type="http://schemas.openxmlformats.org/officeDocument/2006/relationships/hyperlink" Id="rId4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НВЕ МАНГЕ ХОСЕ ХЕРСОН МИКО. НКАбд-03-22</dc:creator>
  <dc:language>ru-RU</dc:language>
  <cp:keywords/>
  <dcterms:created xsi:type="dcterms:W3CDTF">2024-05-10T12:05:34Z</dcterms:created>
  <dcterms:modified xsi:type="dcterms:W3CDTF">2024-05-10T12:05:34Z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Listing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List of Figures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List of Listings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List of Tables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PT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PT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 гаммирования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