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center"/>
      </w:pPr>
      <w:r>
        <w:rPr>
          <w:rFonts w:ascii="Arial" w:cs="Arial" w:eastAsia="Arial" w:hAnsi="Arial"/>
          <w:b/>
          <w:bCs/>
          <w:sz w:val="24"/>
          <w:szCs w:val="24"/>
        </w:rPr>
        <w:t xml:space="preserve">PREFEITURA MUNICIPAL DE OLÍMPIA</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jc w:val="center"/>
      </w:pPr>
      <w:r>
        <w:rPr>
          <w:rFonts w:ascii="Arial" w:cs="Arial" w:eastAsia="Arial" w:hAnsi="Arial"/>
          <w:b/>
          <w:bCs/>
          <w:sz w:val="24"/>
          <w:szCs w:val="24"/>
        </w:rPr>
        <w:t xml:space="preserve">[NOME COMPLETO DO AUTOR]</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jc w:val="center"/>
      </w:pPr>
      <w:r>
        <w:rPr>
          <w:rFonts w:ascii="Arial" w:cs="Arial" w:eastAsia="Arial" w:hAnsi="Arial"/>
          <w:b/>
          <w:bCs/>
          <w:sz w:val="24"/>
          <w:szCs w:val="24"/>
        </w:rPr>
        <w:t xml:space="preserve">HEADWIND MDM NA ADMINISTRAÇÃO MUNICIPAL:</w:t>
      </w:r>
    </w:p>
    <w:p>
      <w:pPr>
        <w:spacing w:line="360"/>
        <w:jc w:val="center"/>
      </w:pPr>
      <w:r>
        <w:rPr>
          <w:rFonts w:ascii="Arial" w:cs="Arial" w:eastAsia="Arial" w:hAnsi="Arial"/>
          <w:b w:val="false"/>
          <w:bCs w:val="false"/>
          <w:sz w:val="24"/>
          <w:szCs w:val="24"/>
        </w:rPr>
        <w:t xml:space="preserve">gestão centralizada de dispositivos móveis com software livre</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jc w:val="center"/>
      </w:pPr>
      <w:r>
        <w:rPr>
          <w:rFonts w:ascii="Arial" w:cs="Arial" w:eastAsia="Arial" w:hAnsi="Arial"/>
          <w:b/>
          <w:bCs/>
          <w:sz w:val="24"/>
          <w:szCs w:val="24"/>
        </w:rPr>
        <w:t xml:space="preserve">OLÍMPIA</w:t>
      </w:r>
    </w:p>
    <w:p>
      <w:pPr>
        <w:spacing w:line="360"/>
        <w:jc w:val="center"/>
        <w:sectPr>
          <w:headerReference w:type="default" r:id="rId6"/>
          <w:pgSz w:w="11906" w:h="16838" w:orient="portrait"/>
          <w:pgMar w:top="1701" w:right="1134" w:bottom="1134" w:left="1701" w:header="1134" w:footer="708" w:gutter="0"/>
          <w:pgNumType/>
          <w:docGrid w:linePitch="360"/>
        </w:sectPr>
      </w:pPr>
      <w:r>
        <w:rPr>
          <w:rFonts w:ascii="Arial" w:cs="Arial" w:eastAsia="Arial" w:hAnsi="Arial"/>
          <w:b/>
          <w:bCs/>
          <w:sz w:val="24"/>
          <w:szCs w:val="24"/>
        </w:rPr>
        <w:t xml:space="preserve">2026</w:t>
      </w:r>
    </w:p>
    <w:p>
      <w:pPr>
        <w:pageBreakBefore/>
        <w:spacing w:line="360"/>
        <w:jc w:val="center"/>
      </w:pPr>
      <w:r>
        <w:rPr>
          <w:rFonts w:ascii="Arial" w:cs="Arial" w:eastAsia="Arial" w:hAnsi="Arial"/>
          <w:b/>
          <w:bCs/>
          <w:sz w:val="24"/>
          <w:szCs w:val="24"/>
        </w:rPr>
        <w:t xml:space="preserve">[NOME COMPLETO DO AUTOR]</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jc w:val="center"/>
      </w:pPr>
      <w:r>
        <w:rPr>
          <w:rFonts w:ascii="Arial" w:cs="Arial" w:eastAsia="Arial" w:hAnsi="Arial"/>
          <w:b/>
          <w:bCs/>
          <w:sz w:val="24"/>
          <w:szCs w:val="24"/>
        </w:rPr>
        <w:t xml:space="preserve">HEADWIND MDM NA ADMINISTRAÇÃO MUNICIPAL:</w:t>
      </w:r>
    </w:p>
    <w:p>
      <w:pPr>
        <w:spacing w:line="360"/>
        <w:jc w:val="center"/>
      </w:pPr>
      <w:r>
        <w:rPr>
          <w:rFonts w:ascii="Arial" w:cs="Arial" w:eastAsia="Arial" w:hAnsi="Arial"/>
          <w:sz w:val="24"/>
          <w:szCs w:val="24"/>
        </w:rPr>
        <w:t xml:space="preserve">gestão centralizada de dispositivos móveis com software livre</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240"/>
        <w:ind w:left="4536"/>
        <w:jc w:val="both"/>
      </w:pPr>
      <w:r>
        <w:rPr>
          <w:rFonts w:ascii="Arial" w:cs="Arial" w:eastAsia="Arial" w:hAnsi="Arial"/>
          <w:sz w:val="20"/>
          <w:szCs w:val="20"/>
        </w:rPr>
        <w:t xml:space="preserve">Documento técnico que descreve a necessidade, a arquitetura, as funcionalidades, as melhorias implementadas e a análise econômica da plataforma de gerenciamento de dispositivos móveis HWMDM, derivada do Headwind MDM, adotada pela Prefeitura Municipal de Olímpia.</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jc w:val="center"/>
      </w:pPr>
      <w:r>
        <w:rPr>
          <w:rFonts w:ascii="Arial" w:cs="Arial" w:eastAsia="Arial" w:hAnsi="Arial"/>
          <w:b/>
          <w:bCs/>
          <w:sz w:val="24"/>
          <w:szCs w:val="24"/>
        </w:rPr>
        <w:t xml:space="preserve">OLÍMPIA</w:t>
      </w:r>
    </w:p>
    <w:p>
      <w:pPr>
        <w:spacing w:line="360"/>
        <w:jc w:val="center"/>
      </w:pPr>
      <w:r>
        <w:rPr>
          <w:rFonts w:ascii="Arial" w:cs="Arial" w:eastAsia="Arial" w:hAnsi="Arial"/>
          <w:b/>
          <w:bCs/>
          <w:sz w:val="24"/>
          <w:szCs w:val="24"/>
        </w:rPr>
        <w:t xml:space="preserve">2026</w:t>
      </w:r>
    </w:p>
    <w:p>
      <w:pPr>
        <w:pageBreakBefore/>
        <w:spacing w:after="360" w:line="360"/>
        <w:jc w:val="center"/>
      </w:pPr>
      <w:r>
        <w:rPr>
          <w:rFonts w:ascii="Arial" w:cs="Arial" w:eastAsia="Arial" w:hAnsi="Arial"/>
          <w:b/>
          <w:bCs/>
          <w:sz w:val="24"/>
          <w:szCs w:val="24"/>
        </w:rPr>
        <w:t xml:space="preserve">RESUMO</w:t>
      </w:r>
    </w:p>
    <w:p>
      <w:pPr>
        <w:spacing w:after="0" w:before="0" w:line="240"/>
        <w:jc w:val="both"/>
      </w:pPr>
      <w:r>
        <w:rPr>
          <w:rFonts w:ascii="Arial" w:cs="Arial" w:eastAsia="Arial" w:hAnsi="Arial"/>
          <w:sz w:val="24"/>
          <w:szCs w:val="24"/>
        </w:rPr>
        <w:t xml:space="preserve">Este documento apresenta o HWMDM, plataforma de gerenciamento de dispositivos móveis (Mobile Device Management – MDM) mantida pela Prefeitura Municipal de Olímpia a partir do Headwind MDM, software livre distribuído sob a licença Apache 2.0 e listado como solução parceira no portal Samsung Knox. São expostos a necessidade de um MDM na gestão de tablets e smartphones públicos, as funcionalidades da edição gratuita original, a arquitetura da solução, as melhorias desenvolvidas internamente e os serviços que a plataforma passa a oferecer. A análise econômica compara o custo de licenciamento zero do HWMDM com cinco soluções comerciais de referência: para uma frota de 300 dispositivos, a economia estimada varia de R$ 44,5 mil a R$ 149,8 mil por ano, ou de R$ 222,8 mil a R$ 748,8 mil em cinco anos, com câmbio de R$ 5,20 por dólar. Conclui-se que a solução atende às necessidades operacionais da administração com soberania sobre os dados, aderência à LGPD e custo de licença nulo.</w:t>
      </w:r>
    </w:p>
    <w:p>
      <w:pPr>
        <w:spacing w:line="360"/>
      </w:pPr>
      <w:r>
        <w:rPr>
          <w:rFonts w:ascii="Arial" w:cs="Arial" w:eastAsia="Arial" w:hAnsi="Arial"/>
          <w:sz w:val="24"/>
          <w:szCs w:val="24"/>
        </w:rPr>
        <w:t xml:space="preserve"/>
      </w:r>
    </w:p>
    <w:p>
      <w:pPr>
        <w:spacing w:after="0" w:before="0" w:line="240"/>
        <w:jc w:val="both"/>
      </w:pPr>
      <w:r>
        <w:rPr>
          <w:rFonts w:ascii="Arial" w:cs="Arial" w:eastAsia="Arial" w:hAnsi="Arial"/>
          <w:b/>
          <w:bCs/>
          <w:sz w:val="24"/>
          <w:szCs w:val="24"/>
        </w:rPr>
        <w:t xml:space="preserve">Palavras-chave: </w:t>
      </w:r>
      <w:r>
        <w:rPr>
          <w:rFonts w:ascii="Arial" w:cs="Arial" w:eastAsia="Arial" w:hAnsi="Arial"/>
          <w:sz w:val="24"/>
          <w:szCs w:val="24"/>
        </w:rPr>
        <w:t xml:space="preserve">gerenciamento de dispositivos móveis; Headwind MDM; software livre; Android; administração pública.</w:t>
      </w:r>
    </w:p>
    <w:p>
      <w:pPr>
        <w:pageBreakBefore/>
        <w:spacing w:after="360" w:line="360"/>
        <w:jc w:val="center"/>
      </w:pPr>
      <w:r>
        <w:rPr>
          <w:rFonts w:ascii="Arial" w:cs="Arial" w:eastAsia="Arial" w:hAnsi="Arial"/>
          <w:b/>
          <w:bCs/>
          <w:sz w:val="24"/>
          <w:szCs w:val="24"/>
        </w:rPr>
        <w:t xml:space="preserve">ABSTRACT</w:t>
      </w:r>
    </w:p>
    <w:p>
      <w:pPr>
        <w:spacing w:after="0" w:before="0" w:line="240"/>
        <w:jc w:val="both"/>
      </w:pPr>
      <w:r>
        <w:rPr>
          <w:rFonts w:ascii="Arial" w:cs="Arial" w:eastAsia="Arial" w:hAnsi="Arial"/>
          <w:i/>
          <w:iCs/>
          <w:sz w:val="24"/>
          <w:szCs w:val="24"/>
        </w:rPr>
        <w:t xml:space="preserve">This document presents HWMDM, a mobile device management (MDM) platform maintained by the Municipality of Olímpia, Brazil, based on Headwind MDM, free software released under the Apache 2.0 license and listed as a partner solution on the Samsung Knox portal. It covers the need for an MDM in managing public tablets and smartphones, the features of the original free edition, the solution architecture, the improvements developed in-house and the services the platform now provides. The economic analysis compares HWMDM’s zero licensing cost with five commercial reference solutions: for a fleet of 300 devices, estimated savings range from BRL 44.5 thousand to BRL 149.8 thousand per year, or BRL 222.8 thousand to BRL 748.8 thousand over five years, at BRL 5.20 per US dollar.</w:t>
      </w:r>
    </w:p>
    <w:p>
      <w:pPr>
        <w:spacing w:line="360"/>
      </w:pPr>
      <w:r>
        <w:rPr>
          <w:rFonts w:ascii="Arial" w:cs="Arial" w:eastAsia="Arial" w:hAnsi="Arial"/>
          <w:sz w:val="24"/>
          <w:szCs w:val="24"/>
        </w:rPr>
        <w:t xml:space="preserve"/>
      </w:r>
    </w:p>
    <w:p>
      <w:pPr>
        <w:spacing w:after="0" w:before="0" w:line="240"/>
        <w:jc w:val="both"/>
      </w:pPr>
      <w:r>
        <w:rPr>
          <w:rFonts w:ascii="Arial" w:cs="Arial" w:eastAsia="Arial" w:hAnsi="Arial"/>
          <w:b/>
          <w:bCs/>
          <w:sz w:val="24"/>
          <w:szCs w:val="24"/>
        </w:rPr>
        <w:t xml:space="preserve">Keywords: </w:t>
      </w:r>
      <w:r>
        <w:rPr>
          <w:rFonts w:ascii="Arial" w:cs="Arial" w:eastAsia="Arial" w:hAnsi="Arial"/>
          <w:i/>
          <w:iCs/>
          <w:sz w:val="24"/>
          <w:szCs w:val="24"/>
        </w:rPr>
        <w:t xml:space="preserve">mobile device management; Headwind MDM; open source software; Android; public administration.</w:t>
      </w:r>
    </w:p>
    <w:p>
      <w:pPr>
        <w:pageBreakBefore/>
        <w:spacing w:after="360" w:line="360"/>
        <w:jc w:val="center"/>
      </w:pPr>
      <w:r>
        <w:rPr>
          <w:rFonts w:ascii="Arial" w:cs="Arial" w:eastAsia="Arial" w:hAnsi="Arial"/>
          <w:b/>
          <w:bCs/>
          <w:sz w:val="24"/>
          <w:szCs w:val="24"/>
        </w:rPr>
        <w:t xml:space="preserve">LISTA DE FIGURAS</w:t>
      </w:r>
    </w:p>
    <w:sdt>
      <w:sdtPr>
        <w:alias w:val="Lista de figuras"/>
      </w:sdtPr>
      <w:sdtContent>
        <w:p>
          <w:r>
            <w:fldChar w:fldCharType="begin" w:dirty="true"/>
            <w:instrText xml:space="preserve">TOC \c "Figura" \h</w:instrText>
            <w:fldChar w:fldCharType="separate"/>
          </w:r>
        </w:p>
        <w:p>
          <w:r>
            <w:fldChar w:fldCharType="end"/>
          </w:r>
        </w:p>
      </w:sdtContent>
    </w:sdt>
    <w:p>
      <w:pPr>
        <w:pageBreakBefore/>
        <w:spacing w:after="360" w:line="360"/>
        <w:jc w:val="center"/>
      </w:pPr>
      <w:r>
        <w:rPr>
          <w:rFonts w:ascii="Arial" w:cs="Arial" w:eastAsia="Arial" w:hAnsi="Arial"/>
          <w:b/>
          <w:bCs/>
          <w:sz w:val="24"/>
          <w:szCs w:val="24"/>
        </w:rPr>
        <w:t xml:space="preserve">LISTA DE QUADROS</w:t>
      </w:r>
    </w:p>
    <w:sdt>
      <w:sdtPr>
        <w:alias w:val="Lista de quadros"/>
      </w:sdtPr>
      <w:sdtContent>
        <w:p>
          <w:r>
            <w:fldChar w:fldCharType="begin" w:dirty="true"/>
            <w:instrText xml:space="preserve">TOC \c "Quadro" \h</w:instrText>
            <w:fldChar w:fldCharType="separate"/>
          </w:r>
        </w:p>
        <w:p>
          <w:r>
            <w:fldChar w:fldCharType="end"/>
          </w:r>
        </w:p>
      </w:sdtContent>
    </w:sdt>
    <w:p>
      <w:pPr>
        <w:pageBreakBefore/>
        <w:spacing w:after="360" w:line="360"/>
        <w:jc w:val="center"/>
      </w:pPr>
      <w:r>
        <w:rPr>
          <w:rFonts w:ascii="Arial" w:cs="Arial" w:eastAsia="Arial" w:hAnsi="Arial"/>
          <w:b/>
          <w:bCs/>
          <w:sz w:val="24"/>
          <w:szCs w:val="24"/>
        </w:rPr>
        <w:t xml:space="preserve">LISTA DE TABELAS</w:t>
      </w:r>
    </w:p>
    <w:sdt>
      <w:sdtPr>
        <w:alias w:val="Lista de tabelas"/>
      </w:sdtPr>
      <w:sdtContent>
        <w:p>
          <w:r>
            <w:fldChar w:fldCharType="begin" w:dirty="true"/>
            <w:instrText xml:space="preserve">TOC \c "Tabela" \h</w:instrText>
            <w:fldChar w:fldCharType="separate"/>
          </w:r>
        </w:p>
        <w:p>
          <w:r>
            <w:fldChar w:fldCharType="end"/>
          </w:r>
        </w:p>
      </w:sdtContent>
    </w:sdt>
    <w:p>
      <w:pPr>
        <w:pageBreakBefore/>
        <w:spacing w:after="360" w:line="360"/>
        <w:jc w:val="center"/>
      </w:pPr>
      <w:r>
        <w:rPr>
          <w:rFonts w:ascii="Arial" w:cs="Arial" w:eastAsia="Arial" w:hAnsi="Arial"/>
          <w:b/>
          <w:bCs/>
          <w:sz w:val="24"/>
          <w:szCs w:val="24"/>
        </w:rPr>
        <w:t xml:space="preserve">LISTA DE ABREVIATURAS E SIGLAS</w:t>
      </w:r>
    </w:p>
    <w:p>
      <w:pPr>
        <w:tabs>
          <w:tab w:val="left" w:pos="1701"/>
        </w:tabs>
        <w:spacing w:line="360"/>
      </w:pPr>
      <w:r>
        <w:rPr>
          <w:rFonts w:ascii="Arial" w:cs="Arial" w:eastAsia="Arial" w:hAnsi="Arial"/>
          <w:sz w:val="24"/>
          <w:szCs w:val="24"/>
        </w:rPr>
        <w:t xml:space="preserve">API</w:t>
      </w:r>
      <w:r>
        <w:rPr>
          <w:rFonts w:ascii="Arial" w:cs="Arial" w:eastAsia="Arial" w:hAnsi="Arial"/>
          <w:sz w:val="24"/>
          <w:szCs w:val="24"/>
        </w:rPr>
        <w:t xml:space="preserve">	Application Programming Interface</w:t>
      </w:r>
    </w:p>
    <w:p>
      <w:pPr>
        <w:tabs>
          <w:tab w:val="left" w:pos="1701"/>
        </w:tabs>
        <w:spacing w:line="360"/>
      </w:pPr>
      <w:r>
        <w:rPr>
          <w:rFonts w:ascii="Arial" w:cs="Arial" w:eastAsia="Arial" w:hAnsi="Arial"/>
          <w:sz w:val="24"/>
          <w:szCs w:val="24"/>
        </w:rPr>
        <w:t xml:space="preserve">DNS</w:t>
      </w:r>
      <w:r>
        <w:rPr>
          <w:rFonts w:ascii="Arial" w:cs="Arial" w:eastAsia="Arial" w:hAnsi="Arial"/>
          <w:sz w:val="24"/>
          <w:szCs w:val="24"/>
        </w:rPr>
        <w:t xml:space="preserve">	Domain Name System</w:t>
      </w:r>
    </w:p>
    <w:p>
      <w:pPr>
        <w:tabs>
          <w:tab w:val="left" w:pos="1701"/>
        </w:tabs>
        <w:spacing w:line="360"/>
      </w:pPr>
      <w:r>
        <w:rPr>
          <w:rFonts w:ascii="Arial" w:cs="Arial" w:eastAsia="Arial" w:hAnsi="Arial"/>
          <w:sz w:val="24"/>
          <w:szCs w:val="24"/>
        </w:rPr>
        <w:t xml:space="preserve">DPM</w:t>
      </w:r>
      <w:r>
        <w:rPr>
          <w:rFonts w:ascii="Arial" w:cs="Arial" w:eastAsia="Arial" w:hAnsi="Arial"/>
          <w:sz w:val="24"/>
          <w:szCs w:val="24"/>
        </w:rPr>
        <w:t xml:space="preserve">	Device Policy Manager (Android)</w:t>
      </w:r>
    </w:p>
    <w:p>
      <w:pPr>
        <w:tabs>
          <w:tab w:val="left" w:pos="1701"/>
        </w:tabs>
        <w:spacing w:line="360"/>
      </w:pPr>
      <w:r>
        <w:rPr>
          <w:rFonts w:ascii="Arial" w:cs="Arial" w:eastAsia="Arial" w:hAnsi="Arial"/>
          <w:sz w:val="24"/>
          <w:szCs w:val="24"/>
        </w:rPr>
        <w:t xml:space="preserve">GPS</w:t>
      </w:r>
      <w:r>
        <w:rPr>
          <w:rFonts w:ascii="Arial" w:cs="Arial" w:eastAsia="Arial" w:hAnsi="Arial"/>
          <w:sz w:val="24"/>
          <w:szCs w:val="24"/>
        </w:rPr>
        <w:t xml:space="preserve">	Global Positioning System</w:t>
      </w:r>
    </w:p>
    <w:p>
      <w:pPr>
        <w:tabs>
          <w:tab w:val="left" w:pos="1701"/>
        </w:tabs>
        <w:spacing w:line="360"/>
      </w:pPr>
      <w:r>
        <w:rPr>
          <w:rFonts w:ascii="Arial" w:cs="Arial" w:eastAsia="Arial" w:hAnsi="Arial"/>
          <w:sz w:val="24"/>
          <w:szCs w:val="24"/>
        </w:rPr>
        <w:t xml:space="preserve">GPX</w:t>
      </w:r>
      <w:r>
        <w:rPr>
          <w:rFonts w:ascii="Arial" w:cs="Arial" w:eastAsia="Arial" w:hAnsi="Arial"/>
          <w:sz w:val="24"/>
          <w:szCs w:val="24"/>
        </w:rPr>
        <w:t xml:space="preserve">	GPS Exchange Format</w:t>
      </w:r>
    </w:p>
    <w:p>
      <w:pPr>
        <w:tabs>
          <w:tab w:val="left" w:pos="1701"/>
        </w:tabs>
        <w:spacing w:line="360"/>
      </w:pPr>
      <w:r>
        <w:rPr>
          <w:rFonts w:ascii="Arial" w:cs="Arial" w:eastAsia="Arial" w:hAnsi="Arial"/>
          <w:sz w:val="24"/>
          <w:szCs w:val="24"/>
        </w:rPr>
        <w:t xml:space="preserve">HWMDM</w:t>
      </w:r>
      <w:r>
        <w:rPr>
          <w:rFonts w:ascii="Arial" w:cs="Arial" w:eastAsia="Arial" w:hAnsi="Arial"/>
          <w:sz w:val="24"/>
          <w:szCs w:val="24"/>
        </w:rPr>
        <w:t xml:space="preserve">	Headwind MDM customizado pela Prefeitura Municipal de Olímpia</w:t>
      </w:r>
    </w:p>
    <w:p>
      <w:pPr>
        <w:tabs>
          <w:tab w:val="left" w:pos="1701"/>
        </w:tabs>
        <w:spacing w:line="360"/>
      </w:pPr>
      <w:r>
        <w:rPr>
          <w:rFonts w:ascii="Arial" w:cs="Arial" w:eastAsia="Arial" w:hAnsi="Arial"/>
          <w:sz w:val="24"/>
          <w:szCs w:val="24"/>
        </w:rPr>
        <w:t xml:space="preserve">KML</w:t>
      </w:r>
      <w:r>
        <w:rPr>
          <w:rFonts w:ascii="Arial" w:cs="Arial" w:eastAsia="Arial" w:hAnsi="Arial"/>
          <w:sz w:val="24"/>
          <w:szCs w:val="24"/>
        </w:rPr>
        <w:t xml:space="preserve">	Keyhole Markup Language</w:t>
      </w:r>
    </w:p>
    <w:p>
      <w:pPr>
        <w:tabs>
          <w:tab w:val="left" w:pos="1701"/>
        </w:tabs>
        <w:spacing w:line="360"/>
      </w:pPr>
      <w:r>
        <w:rPr>
          <w:rFonts w:ascii="Arial" w:cs="Arial" w:eastAsia="Arial" w:hAnsi="Arial"/>
          <w:sz w:val="24"/>
          <w:szCs w:val="24"/>
        </w:rPr>
        <w:t xml:space="preserve">LGPD</w:t>
      </w:r>
      <w:r>
        <w:rPr>
          <w:rFonts w:ascii="Arial" w:cs="Arial" w:eastAsia="Arial" w:hAnsi="Arial"/>
          <w:sz w:val="24"/>
          <w:szCs w:val="24"/>
        </w:rPr>
        <w:t xml:space="preserve">	Lei Geral de Proteção de Dados Pessoais (Lei nº 13.709/2018)</w:t>
      </w:r>
    </w:p>
    <w:p>
      <w:pPr>
        <w:tabs>
          <w:tab w:val="left" w:pos="1701"/>
        </w:tabs>
        <w:spacing w:line="360"/>
      </w:pPr>
      <w:r>
        <w:rPr>
          <w:rFonts w:ascii="Arial" w:cs="Arial" w:eastAsia="Arial" w:hAnsi="Arial"/>
          <w:sz w:val="24"/>
          <w:szCs w:val="24"/>
        </w:rPr>
        <w:t xml:space="preserve">MDM</w:t>
      </w:r>
      <w:r>
        <w:rPr>
          <w:rFonts w:ascii="Arial" w:cs="Arial" w:eastAsia="Arial" w:hAnsi="Arial"/>
          <w:sz w:val="24"/>
          <w:szCs w:val="24"/>
        </w:rPr>
        <w:t xml:space="preserve">	Mobile Device Management (gerenciamento de dispositivos móveis)</w:t>
      </w:r>
    </w:p>
    <w:p>
      <w:pPr>
        <w:tabs>
          <w:tab w:val="left" w:pos="1701"/>
        </w:tabs>
        <w:spacing w:line="360"/>
      </w:pPr>
      <w:r>
        <w:rPr>
          <w:rFonts w:ascii="Arial" w:cs="Arial" w:eastAsia="Arial" w:hAnsi="Arial"/>
          <w:sz w:val="24"/>
          <w:szCs w:val="24"/>
        </w:rPr>
        <w:t xml:space="preserve">MSE</w:t>
      </w:r>
      <w:r>
        <w:rPr>
          <w:rFonts w:ascii="Arial" w:cs="Arial" w:eastAsia="Arial" w:hAnsi="Arial"/>
          <w:sz w:val="24"/>
          <w:szCs w:val="24"/>
        </w:rPr>
        <w:t xml:space="preserve">	Media Source Extensions</w:t>
      </w:r>
    </w:p>
    <w:p>
      <w:pPr>
        <w:tabs>
          <w:tab w:val="left" w:pos="1701"/>
        </w:tabs>
        <w:spacing w:line="360"/>
      </w:pPr>
      <w:r>
        <w:rPr>
          <w:rFonts w:ascii="Arial" w:cs="Arial" w:eastAsia="Arial" w:hAnsi="Arial"/>
          <w:sz w:val="24"/>
          <w:szCs w:val="24"/>
        </w:rPr>
        <w:t xml:space="preserve">OTA</w:t>
      </w:r>
      <w:r>
        <w:rPr>
          <w:rFonts w:ascii="Arial" w:cs="Arial" w:eastAsia="Arial" w:hAnsi="Arial"/>
          <w:sz w:val="24"/>
          <w:szCs w:val="24"/>
        </w:rPr>
        <w:t xml:space="preserve">	Over-the-Air (atualização remota)</w:t>
      </w:r>
    </w:p>
    <w:p>
      <w:pPr>
        <w:tabs>
          <w:tab w:val="left" w:pos="1701"/>
        </w:tabs>
        <w:spacing w:line="360"/>
      </w:pPr>
      <w:r>
        <w:rPr>
          <w:rFonts w:ascii="Arial" w:cs="Arial" w:eastAsia="Arial" w:hAnsi="Arial"/>
          <w:sz w:val="24"/>
          <w:szCs w:val="24"/>
        </w:rPr>
        <w:t xml:space="preserve">QR</w:t>
      </w:r>
      <w:r>
        <w:rPr>
          <w:rFonts w:ascii="Arial" w:cs="Arial" w:eastAsia="Arial" w:hAnsi="Arial"/>
          <w:sz w:val="24"/>
          <w:szCs w:val="24"/>
        </w:rPr>
        <w:t xml:space="preserve">	Quick Response (código)</w:t>
      </w:r>
    </w:p>
    <w:p>
      <w:pPr>
        <w:tabs>
          <w:tab w:val="left" w:pos="1701"/>
        </w:tabs>
        <w:spacing w:line="360"/>
      </w:pPr>
      <w:r>
        <w:rPr>
          <w:rFonts w:ascii="Arial" w:cs="Arial" w:eastAsia="Arial" w:hAnsi="Arial"/>
          <w:sz w:val="24"/>
          <w:szCs w:val="24"/>
        </w:rPr>
        <w:t xml:space="preserve">RBAC</w:t>
      </w:r>
      <w:r>
        <w:rPr>
          <w:rFonts w:ascii="Arial" w:cs="Arial" w:eastAsia="Arial" w:hAnsi="Arial"/>
          <w:sz w:val="24"/>
          <w:szCs w:val="24"/>
        </w:rPr>
        <w:t xml:space="preserve">	Role-Based Access Control (controle de acesso por papéis)</w:t>
      </w:r>
    </w:p>
    <w:p>
      <w:pPr>
        <w:tabs>
          <w:tab w:val="left" w:pos="1701"/>
        </w:tabs>
        <w:spacing w:line="360"/>
      </w:pPr>
      <w:r>
        <w:rPr>
          <w:rFonts w:ascii="Arial" w:cs="Arial" w:eastAsia="Arial" w:hAnsi="Arial"/>
          <w:sz w:val="24"/>
          <w:szCs w:val="24"/>
        </w:rPr>
        <w:t xml:space="preserve">REST</w:t>
      </w:r>
      <w:r>
        <w:rPr>
          <w:rFonts w:ascii="Arial" w:cs="Arial" w:eastAsia="Arial" w:hAnsi="Arial"/>
          <w:sz w:val="24"/>
          <w:szCs w:val="24"/>
        </w:rPr>
        <w:t xml:space="preserve">	Representational State Transfer</w:t>
      </w:r>
    </w:p>
    <w:p>
      <w:pPr>
        <w:pageBreakBefore/>
        <w:spacing w:after="360" w:line="360"/>
        <w:jc w:val="center"/>
      </w:pPr>
      <w:r>
        <w:rPr>
          <w:rFonts w:ascii="Arial" w:cs="Arial" w:eastAsia="Arial" w:hAnsi="Arial"/>
          <w:b/>
          <w:bCs/>
          <w:sz w:val="24"/>
          <w:szCs w:val="24"/>
        </w:rPr>
        <w:t xml:space="preserve">SUMÁRIO</w:t>
      </w:r>
    </w:p>
    <w:sdt>
      <w:sdtPr>
        <w:alias w:val="Sumário"/>
      </w:sdtPr>
      <w:sdtContent>
        <w:p>
          <w:pPr>
            <w:pStyle w:val="TOC1"/>
            <w:tabs>
              <w:tab w:val="right" w:pos="9071" w:leader="dot"/>
            </w:tabs>
          </w:pPr>
          <w:r>
            <w:fldChar w:fldCharType="begin" w:dirty="true"/>
            <w:instrText xml:space="preserve">TOC \h \o "1-3"</w:instrText>
            <w:fldChar w:fldCharType="separate"/>
          </w:r>
          <w:hyperlink w:history="1" w:anchor="_Toc1">
            <w:r>
              <w:t xml:space="preserve">1 INTRODUÇÃO</w:t>
            </w:r>
            <w:r>
              <w:tab/>
            </w:r>
            <w:r>
              <w:fldChar w:fldCharType="begin" w:dirty="true"/>
              <w:instrText xml:space="preserve">PAGEREF _Toc1 \h</w:instrText>
              <w:fldChar w:fldCharType="separate"/>
              <w:fldChar w:fldCharType="end"/>
            </w:r>
          </w:hyperlink>
        </w:p>
        <w:p>
          <w:pPr>
            <w:pStyle w:val="TOC1"/>
            <w:tabs>
              <w:tab w:val="right" w:pos="9071" w:leader="dot"/>
            </w:tabs>
          </w:pPr>
          <w:hyperlink w:history="1" w:anchor="_Toc2">
            <w:r>
              <w:t xml:space="preserve">2 NECESSIDADE DO USO DE MDM</w:t>
            </w:r>
            <w:r>
              <w:tab/>
            </w:r>
            <w:r>
              <w:fldChar w:fldCharType="begin" w:dirty="true"/>
              <w:instrText xml:space="preserve">PAGEREF _Toc2 \h</w:instrText>
              <w:fldChar w:fldCharType="separate"/>
              <w:fldChar w:fldCharType="end"/>
            </w:r>
          </w:hyperlink>
        </w:p>
        <w:p>
          <w:pPr>
            <w:pStyle w:val="TOC1"/>
            <w:tabs>
              <w:tab w:val="right" w:pos="9071" w:leader="dot"/>
            </w:tabs>
          </w:pPr>
          <w:hyperlink w:history="1" w:anchor="_Toc3">
            <w:r>
              <w:t xml:space="preserve">3 HEADWIND MDM: A PLATAFORMA ORIGINAL</w:t>
            </w:r>
            <w:r>
              <w:tab/>
            </w:r>
            <w:r>
              <w:fldChar w:fldCharType="begin" w:dirty="true"/>
              <w:instrText xml:space="preserve">PAGEREF _Toc3 \h</w:instrText>
              <w:fldChar w:fldCharType="separate"/>
              <w:fldChar w:fldCharType="end"/>
            </w:r>
          </w:hyperlink>
        </w:p>
        <w:p>
          <w:pPr>
            <w:pStyle w:val="TOC2"/>
            <w:tabs>
              <w:tab w:val="right" w:pos="9071" w:leader="dot"/>
            </w:tabs>
            <w:ind w:left="220"/>
          </w:pPr>
          <w:hyperlink w:history="1" w:anchor="_Toc4">
            <w:r>
              <w:t xml:space="preserve">3.1 Funcionalidades da edição gratuita</w:t>
            </w:r>
            <w:r>
              <w:tab/>
            </w:r>
            <w:r>
              <w:fldChar w:fldCharType="begin" w:dirty="true"/>
              <w:instrText xml:space="preserve">PAGEREF _Toc4 \h</w:instrText>
              <w:fldChar w:fldCharType="separate"/>
              <w:fldChar w:fldCharType="end"/>
            </w:r>
          </w:hyperlink>
        </w:p>
        <w:p>
          <w:pPr>
            <w:pStyle w:val="TOC2"/>
            <w:tabs>
              <w:tab w:val="right" w:pos="9071" w:leader="dot"/>
            </w:tabs>
            <w:ind w:left="220"/>
          </w:pPr>
          <w:hyperlink w:history="1" w:anchor="_Toc5">
            <w:r>
              <w:t xml:space="preserve">3.2 Reconhecimento pela Samsung Knox</w:t>
            </w:r>
            <w:r>
              <w:tab/>
            </w:r>
            <w:r>
              <w:fldChar w:fldCharType="begin" w:dirty="true"/>
              <w:instrText xml:space="preserve">PAGEREF _Toc5 \h</w:instrText>
              <w:fldChar w:fldCharType="separate"/>
              <w:fldChar w:fldCharType="end"/>
            </w:r>
          </w:hyperlink>
        </w:p>
        <w:p>
          <w:pPr>
            <w:pStyle w:val="TOC1"/>
            <w:tabs>
              <w:tab w:val="right" w:pos="9071" w:leader="dot"/>
            </w:tabs>
          </w:pPr>
          <w:hyperlink w:history="1" w:anchor="_Toc6">
            <w:r>
              <w:t xml:space="preserve">4 HWMDM: A VERSÃO CUSTOMIZADA PELA PREFEITURA</w:t>
            </w:r>
            <w:r>
              <w:tab/>
            </w:r>
            <w:r>
              <w:fldChar w:fldCharType="begin" w:dirty="true"/>
              <w:instrText xml:space="preserve">PAGEREF _Toc6 \h</w:instrText>
              <w:fldChar w:fldCharType="separate"/>
              <w:fldChar w:fldCharType="end"/>
            </w:r>
          </w:hyperlink>
        </w:p>
        <w:p>
          <w:pPr>
            <w:pStyle w:val="TOC2"/>
            <w:tabs>
              <w:tab w:val="right" w:pos="9071" w:leader="dot"/>
            </w:tabs>
            <w:ind w:left="220"/>
          </w:pPr>
          <w:hyperlink w:history="1" w:anchor="_Toc7">
            <w:r>
              <w:t xml:space="preserve">4.1 Arquitetura</w:t>
            </w:r>
            <w:r>
              <w:tab/>
            </w:r>
            <w:r>
              <w:fldChar w:fldCharType="begin" w:dirty="true"/>
              <w:instrText xml:space="preserve">PAGEREF _Toc7 \h</w:instrText>
              <w:fldChar w:fldCharType="separate"/>
              <w:fldChar w:fldCharType="end"/>
            </w:r>
          </w:hyperlink>
        </w:p>
        <w:p>
          <w:pPr>
            <w:pStyle w:val="TOC2"/>
            <w:tabs>
              <w:tab w:val="right" w:pos="9071" w:leader="dot"/>
            </w:tabs>
            <w:ind w:left="220"/>
          </w:pPr>
          <w:hyperlink w:history="1" w:anchor="_Toc8">
            <w:r>
              <w:t xml:space="preserve">4.2 Melhorias implementadas</w:t>
            </w:r>
            <w:r>
              <w:tab/>
            </w:r>
            <w:r>
              <w:fldChar w:fldCharType="begin" w:dirty="true"/>
              <w:instrText xml:space="preserve">PAGEREF _Toc8 \h</w:instrText>
              <w:fldChar w:fldCharType="separate"/>
              <w:fldChar w:fldCharType="end"/>
            </w:r>
          </w:hyperlink>
        </w:p>
        <w:p>
          <w:pPr>
            <w:pStyle w:val="TOC3"/>
            <w:tabs>
              <w:tab w:val="right" w:pos="9071" w:leader="dot"/>
            </w:tabs>
            <w:ind w:left="440"/>
          </w:pPr>
          <w:hyperlink w:history="1" w:anchor="_Toc9">
            <w:r>
              <w:t xml:space="preserve">4.2.1 Painel e inventário</w:t>
            </w:r>
            <w:r>
              <w:tab/>
            </w:r>
            <w:r>
              <w:fldChar w:fldCharType="begin" w:dirty="true"/>
              <w:instrText xml:space="preserve">PAGEREF _Toc9 \h</w:instrText>
              <w:fldChar w:fldCharType="separate"/>
              <w:fldChar w:fldCharType="end"/>
            </w:r>
          </w:hyperlink>
        </w:p>
        <w:p>
          <w:pPr>
            <w:pStyle w:val="TOC3"/>
            <w:tabs>
              <w:tab w:val="right" w:pos="9071" w:leader="dot"/>
            </w:tabs>
            <w:ind w:left="440"/>
          </w:pPr>
          <w:hyperlink w:history="1" w:anchor="_Toc10">
            <w:r>
              <w:t xml:space="preserve">4.2.2 Acesso remoto</w:t>
            </w:r>
            <w:r>
              <w:tab/>
            </w:r>
            <w:r>
              <w:fldChar w:fldCharType="begin" w:dirty="true"/>
              <w:instrText xml:space="preserve">PAGEREF _Toc10 \h</w:instrText>
              <w:fldChar w:fldCharType="separate"/>
              <w:fldChar w:fldCharType="end"/>
            </w:r>
          </w:hyperlink>
        </w:p>
        <w:p>
          <w:pPr>
            <w:pStyle w:val="TOC3"/>
            <w:tabs>
              <w:tab w:val="right" w:pos="9071" w:leader="dot"/>
            </w:tabs>
            <w:ind w:left="440"/>
          </w:pPr>
          <w:hyperlink w:history="1" w:anchor="_Toc11">
            <w:r>
              <w:t xml:space="preserve">4.2.3 Localização</w:t>
            </w:r>
            <w:r>
              <w:tab/>
            </w:r>
            <w:r>
              <w:fldChar w:fldCharType="begin" w:dirty="true"/>
              <w:instrText xml:space="preserve">PAGEREF _Toc11 \h</w:instrText>
              <w:fldChar w:fldCharType="separate"/>
              <w:fldChar w:fldCharType="end"/>
            </w:r>
          </w:hyperlink>
        </w:p>
        <w:p>
          <w:pPr>
            <w:pStyle w:val="TOC3"/>
            <w:tabs>
              <w:tab w:val="right" w:pos="9071" w:leader="dot"/>
            </w:tabs>
            <w:ind w:left="440"/>
          </w:pPr>
          <w:hyperlink w:history="1" w:anchor="_Toc12">
            <w:r>
              <w:t xml:space="preserve">4.2.4 Web Filter</w:t>
            </w:r>
            <w:r>
              <w:tab/>
            </w:r>
            <w:r>
              <w:fldChar w:fldCharType="begin" w:dirty="true"/>
              <w:instrText xml:space="preserve">PAGEREF _Toc12 \h</w:instrText>
              <w:fldChar w:fldCharType="separate"/>
              <w:fldChar w:fldCharType="end"/>
            </w:r>
          </w:hyperlink>
        </w:p>
        <w:p>
          <w:pPr>
            <w:pStyle w:val="TOC3"/>
            <w:tabs>
              <w:tab w:val="right" w:pos="9071" w:leader="dot"/>
            </w:tabs>
            <w:ind w:left="440"/>
          </w:pPr>
          <w:hyperlink w:history="1" w:anchor="_Toc13">
            <w:r>
              <w:t xml:space="preserve">4.2.5 Modo quiosque e perfis</w:t>
            </w:r>
            <w:r>
              <w:tab/>
            </w:r>
            <w:r>
              <w:fldChar w:fldCharType="begin" w:dirty="true"/>
              <w:instrText xml:space="preserve">PAGEREF _Toc13 \h</w:instrText>
              <w:fldChar w:fldCharType="separate"/>
              <w:fldChar w:fldCharType="end"/>
            </w:r>
          </w:hyperlink>
        </w:p>
        <w:p>
          <w:pPr>
            <w:pStyle w:val="TOC3"/>
            <w:tabs>
              <w:tab w:val="right" w:pos="9071" w:leader="dot"/>
            </w:tabs>
            <w:ind w:left="440"/>
          </w:pPr>
          <w:hyperlink w:history="1" w:anchor="_Toc14">
            <w:r>
              <w:t xml:space="preserve">4.2.6 Permissões e auditoria</w:t>
            </w:r>
            <w:r>
              <w:tab/>
            </w:r>
            <w:r>
              <w:fldChar w:fldCharType="begin" w:dirty="true"/>
              <w:instrText xml:space="preserve">PAGEREF _Toc14 \h</w:instrText>
              <w:fldChar w:fldCharType="separate"/>
              <w:fldChar w:fldCharType="end"/>
            </w:r>
          </w:hyperlink>
        </w:p>
        <w:p>
          <w:pPr>
            <w:pStyle w:val="TOC2"/>
            <w:tabs>
              <w:tab w:val="right" w:pos="9071" w:leader="dot"/>
            </w:tabs>
            <w:ind w:left="220"/>
          </w:pPr>
          <w:hyperlink w:history="1" w:anchor="_Toc15">
            <w:r>
              <w:t xml:space="preserve">4.3 Segurança e proteção de dados</w:t>
            </w:r>
            <w:r>
              <w:tab/>
            </w:r>
            <w:r>
              <w:fldChar w:fldCharType="begin" w:dirty="true"/>
              <w:instrText xml:space="preserve">PAGEREF _Toc15 \h</w:instrText>
              <w:fldChar w:fldCharType="separate"/>
              <w:fldChar w:fldCharType="end"/>
            </w:r>
          </w:hyperlink>
        </w:p>
        <w:p>
          <w:pPr>
            <w:pStyle w:val="TOC1"/>
            <w:tabs>
              <w:tab w:val="right" w:pos="9071" w:leader="dot"/>
            </w:tabs>
          </w:pPr>
          <w:hyperlink w:history="1" w:anchor="_Toc16">
            <w:r>
              <w:t xml:space="preserve">5 ANÁLISE ECONÔMICA</w:t>
            </w:r>
            <w:r>
              <w:tab/>
            </w:r>
            <w:r>
              <w:fldChar w:fldCharType="begin" w:dirty="true"/>
              <w:instrText xml:space="preserve">PAGEREF _Toc16 \h</w:instrText>
              <w:fldChar w:fldCharType="separate"/>
              <w:fldChar w:fldCharType="end"/>
            </w:r>
          </w:hyperlink>
        </w:p>
        <w:p>
          <w:pPr>
            <w:pStyle w:val="TOC1"/>
            <w:tabs>
              <w:tab w:val="right" w:pos="9071" w:leader="dot"/>
            </w:tabs>
          </w:pPr>
          <w:hyperlink w:history="1" w:anchor="_Toc17">
            <w:r>
              <w:t xml:space="preserve">6 USO E SERVIÇOS OFERECIDOS</w:t>
            </w:r>
            <w:r>
              <w:tab/>
            </w:r>
            <w:r>
              <w:fldChar w:fldCharType="begin" w:dirty="true"/>
              <w:instrText xml:space="preserve">PAGEREF _Toc17 \h</w:instrText>
              <w:fldChar w:fldCharType="separate"/>
              <w:fldChar w:fldCharType="end"/>
            </w:r>
          </w:hyperlink>
        </w:p>
        <w:p>
          <w:pPr>
            <w:pStyle w:val="TOC1"/>
            <w:tabs>
              <w:tab w:val="right" w:pos="9071" w:leader="dot"/>
            </w:tabs>
          </w:pPr>
          <w:hyperlink w:history="1" w:anchor="_Toc18">
            <w:r>
              <w:t xml:space="preserve">7 CONSIDERAÇÕES FINAIS</w:t>
            </w:r>
            <w:r>
              <w:tab/>
            </w:r>
            <w:r>
              <w:fldChar w:fldCharType="begin" w:dirty="true"/>
              <w:instrText xml:space="preserve">PAGEREF _Toc18 \h</w:instrText>
              <w:fldChar w:fldCharType="separate"/>
              <w:fldChar w:fldCharType="end"/>
            </w:r>
          </w:hyperlink>
        </w:p>
        <w:p>
          <w:pPr>
            <w:pStyle w:val="TOC1"/>
            <w:tabs>
              <w:tab w:val="right" w:pos="9071" w:leader="dot"/>
            </w:tabs>
          </w:pPr>
          <w:hyperlink w:history="1" w:anchor="_Toc19">
            <w:r>
              <w:t xml:space="preserve">REFERÊNCIAS</w:t>
            </w:r>
            <w:r>
              <w:tab/>
            </w:r>
            <w:r>
              <w:fldChar w:fldCharType="begin" w:dirty="true"/>
              <w:instrText xml:space="preserve">PAGEREF _Toc19 \h</w:instrText>
              <w:fldChar w:fldCharType="separate"/>
              <w:fldChar w:fldCharType="end"/>
            </w:r>
          </w:hyperlink>
        </w:p>
        <w:p>
          <w:r>
            <w:fldChar w:fldCharType="end"/>
          </w:r>
        </w:p>
      </w:sdtContent>
    </w:sdt>
    <w:p>
      <w:pPr>
        <w:sectPr>
          <w:headerReference w:type="default" r:id="rId7"/>
          <w:pgSz w:w="11906" w:h="16838" w:orient="portrait"/>
          <w:pgMar w:top="1701" w:right="1134" w:bottom="1134" w:left="1701" w:header="1134" w:footer="708" w:gutter="0"/>
          <w:pgNumType w:start="1"/>
          <w:docGrid w:linePitch="360"/>
        </w:sectPr>
      </w:pPr>
    </w:p>
    <w:p>
      <w:pPr>
        <w:pStyle w:val="Heading1"/>
        <w:pageBreakBefore/>
      </w:pPr>
      <w:bookmarkStart w:name="_Toc1" w:id="1"/>
      <w:r>
        <w:rPr>
          <w:rFonts w:ascii="Arial" w:cs="Arial" w:eastAsia="Arial" w:hAnsi="Arial"/>
          <w:b/>
          <w:bCs/>
          <w:sz w:val="24"/>
          <w:szCs w:val="24"/>
        </w:rPr>
        <w:t xml:space="preserve">1 INTRODUÇÃO</w:t>
      </w:r>
      <w:bookmarkEnd w:id="1"/>
    </w:p>
    <w:p>
      <w:pPr>
        <w:spacing w:after="0" w:before="0" w:line="360"/>
        <w:ind w:firstLine="709"/>
        <w:jc w:val="both"/>
      </w:pPr>
      <w:r>
        <w:rPr>
          <w:rFonts w:ascii="Arial" w:cs="Arial" w:eastAsia="Arial" w:hAnsi="Arial"/>
          <w:sz w:val="24"/>
          <w:szCs w:val="24"/>
        </w:rPr>
        <w:t xml:space="preserve">A Prefeitura Municipal de Olímpia utiliza tablets e smartphones Android em atividades de atendimento, fiscalização, saúde, educação e serviços de campo. Esses equipamentos armazenam dados de cidadãos, acessam sistemas internos e circulam fora das dependências do órgão, o que exige controle centralizado sobre configuração, aplicativos, localização e uso.</w:t>
      </w:r>
    </w:p>
    <w:p>
      <w:pPr>
        <w:spacing w:after="0" w:before="0" w:line="360"/>
        <w:ind w:firstLine="709"/>
        <w:jc w:val="both"/>
      </w:pPr>
      <w:r>
        <w:rPr>
          <w:rFonts w:ascii="Arial" w:cs="Arial" w:eastAsia="Arial" w:hAnsi="Arial"/>
          <w:sz w:val="24"/>
          <w:szCs w:val="24"/>
        </w:rPr>
        <w:t xml:space="preserve">Para essa finalidade foi adotado o Headwind MDM, plataforma de código aberto, implantada em servidor próprio e evoluída internamente sob o nome HWMDM. Este documento descreve a solução de forma técnica e objetiva: a necessidade que ela atende (Seção 2), a plataforma original e sua relevância no mercado (Seção 3), a versão customizada, sua arquitetura e as melhorias implementadas (Seção 4), a economia em relação a produtos comerciais (Seção 5) e os serviços oferecidos à administração (Seção 6).</w:t>
      </w:r>
    </w:p>
    <w:p>
      <w:pPr>
        <w:pStyle w:val="Heading1"/>
        <w:pageBreakBefore/>
      </w:pPr>
      <w:bookmarkStart w:name="_Toc2" w:id="2"/>
      <w:r>
        <w:rPr>
          <w:rFonts w:ascii="Arial" w:cs="Arial" w:eastAsia="Arial" w:hAnsi="Arial"/>
          <w:b/>
          <w:bCs/>
          <w:sz w:val="24"/>
          <w:szCs w:val="24"/>
        </w:rPr>
        <w:t xml:space="preserve">2 NECESSIDADE DO USO DE MDM</w:t>
      </w:r>
      <w:bookmarkEnd w:id="2"/>
    </w:p>
    <w:p>
      <w:pPr>
        <w:spacing w:after="0" w:before="0" w:line="360"/>
        <w:ind w:firstLine="709"/>
        <w:jc w:val="both"/>
      </w:pPr>
      <w:r>
        <w:rPr>
          <w:rFonts w:ascii="Arial" w:cs="Arial" w:eastAsia="Arial" w:hAnsi="Arial"/>
          <w:sz w:val="24"/>
          <w:szCs w:val="24"/>
        </w:rPr>
        <w:t xml:space="preserve">Um dispositivo móvel sem gerenciamento é, na prática, um equipamento pessoal pago com recurso público: o usuário instala o que quiser, altera configurações, desativa a localização e pode perdê-lo sem que a administração consiga localizá-lo, bloqueá-lo ou apagar seus dados. O MDM transfere esse controle para a equipe de tecnologia da informação, sem depender do deslocamento físico até o aparelho.</w:t>
      </w:r>
    </w:p>
    <w:p>
      <w:pPr>
        <w:spacing w:after="0" w:before="0" w:line="360"/>
        <w:ind w:firstLine="709"/>
        <w:jc w:val="both"/>
      </w:pPr>
      <w:r>
        <w:rPr>
          <w:rFonts w:ascii="Arial" w:cs="Arial" w:eastAsia="Arial" w:hAnsi="Arial"/>
          <w:sz w:val="24"/>
          <w:szCs w:val="24"/>
        </w:rPr>
        <w:t xml:space="preserve">O Quadro 1 relaciona os problemas observados em frotas sem gerenciamento à resposta que o MDM oferece.</w:t>
      </w:r>
    </w:p>
    <w:p>
      <w:pPr>
        <w:pStyle w:val="Caption"/>
        <w:keepNext/>
        <w:spacing w:after="60" w:before="240" w:line="240"/>
        <w:jc w:val="center"/>
      </w:pPr>
      <w:r>
        <w:rPr>
          <w:rFonts w:ascii="Arial" w:cs="Arial" w:eastAsia="Arial" w:hAnsi="Arial"/>
          <w:b/>
          <w:bCs/>
          <w:sz w:val="20"/>
          <w:szCs w:val="20"/>
        </w:rPr>
        <w:t xml:space="preserve">Quadro </w:t>
      </w:r>
      <w:r>
        <w:rPr>
          <w:rFonts w:ascii="Arial" w:cs="Arial" w:eastAsia="Arial" w:hAnsi="Arial"/>
          <w:b/>
          <w:bCs/>
          <w:sz w:val="20"/>
          <w:szCs w:val="20"/>
        </w:rPr>
        <w:fldChar w:fldCharType="begin"/>
      </w:r>
      <w:r>
        <w:rPr>
          <w:rFonts w:ascii="Arial" w:cs="Arial" w:eastAsia="Arial" w:hAnsi="Arial"/>
          <w:b/>
          <w:bCs/>
          <w:sz w:val="20"/>
          <w:szCs w:val="20"/>
        </w:rPr>
        <w:instrText xml:space="preserve"> SEQ Quadro \* ARABIC </w:instrText>
      </w:r>
      <w:r>
        <w:rPr>
          <w:rFonts w:ascii="Arial" w:cs="Arial" w:eastAsia="Arial" w:hAnsi="Arial"/>
          <w:b/>
          <w:bCs/>
          <w:sz w:val="20"/>
          <w:szCs w:val="20"/>
        </w:rPr>
        <w:fldChar w:fldCharType="separate"/>
      </w:r>
      <w:r>
        <w:rPr>
          <w:rFonts w:ascii="Arial" w:cs="Arial" w:eastAsia="Arial" w:hAnsi="Arial"/>
          <w:b/>
          <w:bCs/>
          <w:sz w:val="20"/>
          <w:szCs w:val="20"/>
        </w:rPr>
        <w:t>1</w:t>
      </w:r>
      <w:r>
        <w:rPr>
          <w:rFonts w:ascii="Arial" w:cs="Arial" w:eastAsia="Arial" w:hAnsi="Arial"/>
          <w:b/>
          <w:bCs/>
          <w:sz w:val="20"/>
          <w:szCs w:val="20"/>
        </w:rPr>
        <w:fldChar w:fldCharType="end"/>
      </w:r>
      <w:r>
        <w:rPr>
          <w:rFonts w:ascii="Arial" w:cs="Arial" w:eastAsia="Arial" w:hAnsi="Arial"/>
          <w:b/>
          <w:bCs/>
          <w:sz w:val="20"/>
          <w:szCs w:val="20"/>
        </w:rPr>
        <w:t xml:space="preserve"> – </w:t>
      </w:r>
      <w:r>
        <w:rPr>
          <w:rFonts w:ascii="Arial" w:cs="Arial" w:eastAsia="Arial" w:hAnsi="Arial"/>
          <w:sz w:val="20"/>
          <w:szCs w:val="20"/>
        </w:rPr>
        <w:t xml:space="preserve">Problemas de uma frota não gerenciada e resposta do MDM</w:t>
      </w:r>
    </w:p>
    <w:tbl>
      <w:tblPr>
        <w:tblW w:type="dxa" w:w="9073"/>
        <w:jc w:val="center"/>
        <w:tblBorders>
          <w:top w:val="single" w:color="auto" w:sz="4"/>
          <w:left w:val="single" w:color="auto" w:sz="4"/>
          <w:bottom w:val="single" w:color="auto" w:sz="4"/>
          <w:right w:val="single" w:color="auto" w:sz="4"/>
          <w:insideH w:val="single" w:color="auto" w:sz="4"/>
          <w:insideV w:val="single" w:color="auto" w:sz="4"/>
        </w:tblBorders>
      </w:tblPr>
      <w:tblGrid>
        <w:gridCol w:w="4253"/>
        <w:gridCol w:w="4820"/>
      </w:tblGrid>
      <w:tr>
        <w:trPr>
          <w:tblHeader/>
        </w:trPr>
        <w:tc>
          <w:tcPr>
            <w:tcW w:type="dxa" w:w="4253"/>
            <w:tcBorders>
              <w:top w:val="single" w:color="808080" w:sz="4"/>
              <w:left w:val="single" w:color="808080" w:sz="4"/>
              <w:bottom w:val="single" w:color="808080" w:sz="4"/>
              <w:right w:val="single" w:color="808080" w:sz="4"/>
            </w:tcBorders>
            <w:shd w:fill="D9E7E9" w:color="auto" w:val="clear"/>
            <w:tcMar>
              <w:top w:type="dxa" w:w="40"/>
              <w:left w:type="dxa" w:w="90"/>
              <w:bottom w:type="dxa" w:w="40"/>
              <w:right w:type="dxa" w:w="90"/>
            </w:tcMar>
            <w:vAlign w:val="center"/>
          </w:tcPr>
          <w:p>
            <w:pPr>
              <w:spacing w:line="240"/>
              <w:jc w:val="left"/>
            </w:pPr>
            <w:r>
              <w:rPr>
                <w:rFonts w:ascii="Arial" w:cs="Arial" w:eastAsia="Arial" w:hAnsi="Arial"/>
                <w:b/>
                <w:bCs/>
                <w:sz w:val="20"/>
                <w:szCs w:val="20"/>
              </w:rPr>
              <w:t xml:space="preserve">Problema sem MDM</w:t>
            </w:r>
          </w:p>
        </w:tc>
        <w:tc>
          <w:tcPr>
            <w:tcW w:type="dxa" w:w="4820"/>
            <w:tcBorders>
              <w:top w:val="single" w:color="808080" w:sz="4"/>
              <w:left w:val="single" w:color="808080" w:sz="4"/>
              <w:bottom w:val="single" w:color="808080" w:sz="4"/>
              <w:right w:val="single" w:color="808080" w:sz="4"/>
            </w:tcBorders>
            <w:shd w:fill="D9E7E9" w:color="auto" w:val="clear"/>
            <w:tcMar>
              <w:top w:type="dxa" w:w="40"/>
              <w:left w:type="dxa" w:w="90"/>
              <w:bottom w:type="dxa" w:w="40"/>
              <w:right w:type="dxa" w:w="90"/>
            </w:tcMar>
            <w:vAlign w:val="center"/>
          </w:tcPr>
          <w:p>
            <w:pPr>
              <w:spacing w:line="240"/>
              <w:jc w:val="left"/>
            </w:pPr>
            <w:r>
              <w:rPr>
                <w:rFonts w:ascii="Arial" w:cs="Arial" w:eastAsia="Arial" w:hAnsi="Arial"/>
                <w:b/>
                <w:bCs/>
                <w:sz w:val="20"/>
                <w:szCs w:val="20"/>
              </w:rPr>
              <w:t xml:space="preserve">Resposta com MDM</w:t>
            </w:r>
          </w:p>
        </w:tc>
      </w:tr>
      <w:tr>
        <w:trPr>
          <w:cantSplit/>
        </w:trPr>
        <w:tc>
          <w:tcPr>
            <w:tcW w:type="dxa" w:w="425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Perda ou furto expõe dados de cidadãos</w:t>
            </w:r>
          </w:p>
        </w:tc>
        <w:tc>
          <w:tcPr>
            <w:tcW w:type="dxa" w:w="4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Localização no mapa, bloqueio e restauração de fábrica remotos</w:t>
            </w:r>
          </w:p>
        </w:tc>
      </w:tr>
      <w:tr>
        <w:trPr>
          <w:cantSplit/>
        </w:trPr>
        <w:tc>
          <w:tcPr>
            <w:tcW w:type="dxa" w:w="425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Uso para fins pessoais (redes sociais, jogos, vídeos)</w:t>
            </w:r>
          </w:p>
        </w:tc>
        <w:tc>
          <w:tcPr>
            <w:tcW w:type="dxa" w:w="4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Modo quiosque, lista de aplicativos permitidos e filtro de sites por categoria</w:t>
            </w:r>
          </w:p>
        </w:tc>
      </w:tr>
      <w:tr>
        <w:trPr>
          <w:cantSplit/>
        </w:trPr>
        <w:tc>
          <w:tcPr>
            <w:tcW w:type="dxa" w:w="425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Configuração manual, aparelho a aparelho</w:t>
            </w:r>
          </w:p>
        </w:tc>
        <w:tc>
          <w:tcPr>
            <w:tcW w:type="dxa" w:w="4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Matrícula por código QR e perfis aplicados automaticamente</w:t>
            </w:r>
          </w:p>
        </w:tc>
      </w:tr>
      <w:tr>
        <w:trPr>
          <w:cantSplit/>
        </w:trPr>
        <w:tc>
          <w:tcPr>
            <w:tcW w:type="dxa" w:w="425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Aplicativos desatualizados ou instalados à mão</w:t>
            </w:r>
          </w:p>
        </w:tc>
        <w:tc>
          <w:tcPr>
            <w:tcW w:type="dxa" w:w="4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Instalação e atualização centralizada de APKs pelo painel</w:t>
            </w:r>
          </w:p>
        </w:tc>
      </w:tr>
      <w:tr>
        <w:trPr>
          <w:cantSplit/>
        </w:trPr>
        <w:tc>
          <w:tcPr>
            <w:tcW w:type="dxa" w:w="425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Suporte exige deslocamento do técnico</w:t>
            </w:r>
          </w:p>
        </w:tc>
        <w:tc>
          <w:tcPr>
            <w:tcW w:type="dxa" w:w="4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Acesso remoto à tela, comandos e mensagens a partir do navegador</w:t>
            </w:r>
          </w:p>
        </w:tc>
      </w:tr>
      <w:tr>
        <w:trPr>
          <w:cantSplit/>
        </w:trPr>
        <w:tc>
          <w:tcPr>
            <w:tcW w:type="dxa" w:w="425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Inexistência de inventário confiável</w:t>
            </w:r>
          </w:p>
        </w:tc>
        <w:tc>
          <w:tcPr>
            <w:tcW w:type="dxa" w:w="4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Lista com modelo, versão do Android, bateria, IP, perfil e último contato</w:t>
            </w:r>
          </w:p>
        </w:tc>
      </w:tr>
      <w:tr>
        <w:trPr>
          <w:cantSplit/>
        </w:trPr>
        <w:tc>
          <w:tcPr>
            <w:tcW w:type="dxa" w:w="425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sz w:val="20"/>
                <w:szCs w:val="20"/>
              </w:rPr>
              <w:t xml:space="preserve">Ausência de rastreabilidade das ações administrativas</w:t>
            </w:r>
          </w:p>
        </w:tc>
        <w:tc>
          <w:tcPr>
            <w:tcW w:type="dxa" w:w="4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sz w:val="20"/>
                <w:szCs w:val="20"/>
              </w:rPr>
              <w:t xml:space="preserve">Registro de acesso e auditoria de cada ação no painel</w:t>
            </w:r>
          </w:p>
        </w:tc>
      </w:tr>
    </w:tbl>
    <w:p>
      <w:pPr>
        <w:spacing w:after="240" w:before="60" w:line="240"/>
        <w:jc w:val="center"/>
      </w:pPr>
      <w:r>
        <w:rPr>
          <w:rFonts w:ascii="Arial" w:cs="Arial" w:eastAsia="Arial" w:hAnsi="Arial"/>
          <w:b/>
          <w:bCs/>
          <w:sz w:val="20"/>
          <w:szCs w:val="20"/>
        </w:rPr>
        <w:t xml:space="preserve">Fonte: </w:t>
      </w:r>
      <w:r>
        <w:rPr>
          <w:rFonts w:ascii="Arial" w:cs="Arial" w:eastAsia="Arial" w:hAnsi="Arial"/>
          <w:sz w:val="20"/>
          <w:szCs w:val="20"/>
        </w:rPr>
        <w:t xml:space="preserve">Elaborado pelo autor (2026).</w:t>
      </w:r>
    </w:p>
    <w:p>
      <w:pPr>
        <w:spacing w:after="0" w:before="0" w:line="360"/>
        <w:ind w:firstLine="709"/>
        <w:jc w:val="both"/>
      </w:pPr>
      <w:r>
        <w:rPr>
          <w:rFonts w:ascii="Arial" w:cs="Arial" w:eastAsia="Arial" w:hAnsi="Arial"/>
          <w:sz w:val="24"/>
          <w:szCs w:val="24"/>
        </w:rPr>
        <w:t xml:space="preserve">Além do ganho operacional, o gerenciamento é instrumento de conformidade. A Lei nº 13.709/2018 (LGPD) impõe ao controlador a adoção de medidas de segurança técnicas e administrativas aptas a proteger os dados pessoais de acessos não autorizados e de situações acidentais ou ilícitas de perda (BRASIL, 2018, art. 46). Em dispositivos móveis, essas medidas só são verificáveis com uma ferramenta que aplique e comprove as políticas de forma centralizada.</w:t>
      </w:r>
    </w:p>
    <w:p>
      <w:pPr>
        <w:pStyle w:val="Heading1"/>
        <w:pageBreakBefore/>
      </w:pPr>
      <w:bookmarkStart w:name="_Toc3" w:id="3"/>
      <w:r>
        <w:rPr>
          <w:rFonts w:ascii="Arial" w:cs="Arial" w:eastAsia="Arial" w:hAnsi="Arial"/>
          <w:b/>
          <w:bCs/>
          <w:sz w:val="24"/>
          <w:szCs w:val="24"/>
        </w:rPr>
        <w:t xml:space="preserve">3 HEADWIND MDM: A PLATAFORMA ORIGINAL</w:t>
      </w:r>
      <w:bookmarkEnd w:id="3"/>
    </w:p>
    <w:p>
      <w:pPr>
        <w:spacing w:after="0" w:before="0" w:line="360"/>
        <w:ind w:firstLine="709"/>
        <w:jc w:val="both"/>
      </w:pPr>
      <w:r>
        <w:rPr>
          <w:rFonts w:ascii="Arial" w:cs="Arial" w:eastAsia="Arial" w:hAnsi="Arial"/>
          <w:sz w:val="24"/>
          <w:szCs w:val="24"/>
        </w:rPr>
        <w:t xml:space="preserve">O Headwind MDM é uma plataforma de gerenciamento de dispositivos Android desenvolvida pela Headwind Solutions e mantida como projeto de código aberto. A edição Community é gratuita, sem limite de dispositivos, e tem todos os seus componentes publicados, inclusive o agente móvel e o servidor (HEADWIND SOLUTIONS, 2026). O servidor é escrito em Java, executado sobre Apache Tomcat e PostgreSQL, e pode ser instalado em infraestrutura própria (on-premises), o que mantém os dados dentro do órgão.</w:t>
      </w:r>
    </w:p>
    <w:p>
      <w:pPr>
        <w:pStyle w:val="Heading2"/>
      </w:pPr>
      <w:bookmarkStart w:name="_Toc4" w:id="4"/>
      <w:r>
        <w:rPr>
          <w:rFonts w:ascii="Arial" w:cs="Arial" w:eastAsia="Arial" w:hAnsi="Arial"/>
          <w:b/>
          <w:bCs/>
          <w:sz w:val="24"/>
          <w:szCs w:val="24"/>
        </w:rPr>
        <w:t xml:space="preserve">3.1 Funcionalidades da edição gratuita</w:t>
      </w:r>
      <w:bookmarkEnd w:id="4"/>
    </w:p>
    <w:p>
      <w:pPr>
        <w:spacing w:after="0" w:before="0" w:line="360"/>
        <w:ind w:firstLine="709"/>
        <w:jc w:val="both"/>
      </w:pPr>
      <w:r>
        <w:rPr>
          <w:rFonts w:ascii="Arial" w:cs="Arial" w:eastAsia="Arial" w:hAnsi="Arial"/>
          <w:sz w:val="24"/>
          <w:szCs w:val="24"/>
        </w:rPr>
        <w:t xml:space="preserve">O Quadro 2 resume as funcionalidades da edição Community e as que o fabricante reserva às edições pagas.</w:t>
      </w:r>
    </w:p>
    <w:p>
      <w:pPr>
        <w:pStyle w:val="Caption"/>
        <w:keepNext/>
        <w:spacing w:after="60" w:before="240" w:line="240"/>
        <w:jc w:val="center"/>
      </w:pPr>
      <w:r>
        <w:rPr>
          <w:rFonts w:ascii="Arial" w:cs="Arial" w:eastAsia="Arial" w:hAnsi="Arial"/>
          <w:b/>
          <w:bCs/>
          <w:sz w:val="20"/>
          <w:szCs w:val="20"/>
        </w:rPr>
        <w:t xml:space="preserve">Quadro </w:t>
      </w:r>
      <w:r>
        <w:rPr>
          <w:rFonts w:ascii="Arial" w:cs="Arial" w:eastAsia="Arial" w:hAnsi="Arial"/>
          <w:b/>
          <w:bCs/>
          <w:sz w:val="20"/>
          <w:szCs w:val="20"/>
        </w:rPr>
        <w:fldChar w:fldCharType="begin"/>
      </w:r>
      <w:r>
        <w:rPr>
          <w:rFonts w:ascii="Arial" w:cs="Arial" w:eastAsia="Arial" w:hAnsi="Arial"/>
          <w:b/>
          <w:bCs/>
          <w:sz w:val="20"/>
          <w:szCs w:val="20"/>
        </w:rPr>
        <w:instrText xml:space="preserve"> SEQ Quadro \* ARABIC </w:instrText>
      </w:r>
      <w:r>
        <w:rPr>
          <w:rFonts w:ascii="Arial" w:cs="Arial" w:eastAsia="Arial" w:hAnsi="Arial"/>
          <w:b/>
          <w:bCs/>
          <w:sz w:val="20"/>
          <w:szCs w:val="20"/>
        </w:rPr>
        <w:fldChar w:fldCharType="separate"/>
      </w:r>
      <w:r>
        <w:rPr>
          <w:rFonts w:ascii="Arial" w:cs="Arial" w:eastAsia="Arial" w:hAnsi="Arial"/>
          <w:b/>
          <w:bCs/>
          <w:sz w:val="20"/>
          <w:szCs w:val="20"/>
        </w:rPr>
        <w:t>2</w:t>
      </w:r>
      <w:r>
        <w:rPr>
          <w:rFonts w:ascii="Arial" w:cs="Arial" w:eastAsia="Arial" w:hAnsi="Arial"/>
          <w:b/>
          <w:bCs/>
          <w:sz w:val="20"/>
          <w:szCs w:val="20"/>
        </w:rPr>
        <w:fldChar w:fldCharType="end"/>
      </w:r>
      <w:r>
        <w:rPr>
          <w:rFonts w:ascii="Arial" w:cs="Arial" w:eastAsia="Arial" w:hAnsi="Arial"/>
          <w:b/>
          <w:bCs/>
          <w:sz w:val="20"/>
          <w:szCs w:val="20"/>
        </w:rPr>
        <w:t xml:space="preserve"> – </w:t>
      </w:r>
      <w:r>
        <w:rPr>
          <w:rFonts w:ascii="Arial" w:cs="Arial" w:eastAsia="Arial" w:hAnsi="Arial"/>
          <w:sz w:val="20"/>
          <w:szCs w:val="20"/>
        </w:rPr>
        <w:t xml:space="preserve">Funcionalidades do Headwind MDM por edição</w:t>
      </w:r>
    </w:p>
    <w:tbl>
      <w:tblPr>
        <w:tblW w:type="dxa" w:w="9073"/>
        <w:jc w:val="center"/>
        <w:tblBorders>
          <w:top w:val="single" w:color="auto" w:sz="4"/>
          <w:left w:val="single" w:color="auto" w:sz="4"/>
          <w:bottom w:val="single" w:color="auto" w:sz="4"/>
          <w:right w:val="single" w:color="auto" w:sz="4"/>
          <w:insideH w:val="single" w:color="auto" w:sz="4"/>
          <w:insideV w:val="single" w:color="auto" w:sz="4"/>
        </w:tblBorders>
      </w:tblPr>
      <w:tblGrid>
        <w:gridCol w:w="2552"/>
        <w:gridCol w:w="6521"/>
      </w:tblGrid>
      <w:tr>
        <w:trPr>
          <w:tblHeader/>
        </w:trPr>
        <w:tc>
          <w:tcPr>
            <w:tcW w:type="dxa" w:w="2552"/>
            <w:tcBorders>
              <w:top w:val="single" w:color="808080" w:sz="4"/>
              <w:left w:val="single" w:color="808080" w:sz="4"/>
              <w:bottom w:val="single" w:color="808080" w:sz="4"/>
              <w:right w:val="single" w:color="808080" w:sz="4"/>
            </w:tcBorders>
            <w:shd w:fill="D9E7E9" w:color="auto" w:val="clear"/>
            <w:tcMar>
              <w:top w:type="dxa" w:w="40"/>
              <w:left w:type="dxa" w:w="90"/>
              <w:bottom w:type="dxa" w:w="40"/>
              <w:right w:type="dxa" w:w="90"/>
            </w:tcMar>
            <w:vAlign w:val="center"/>
          </w:tcPr>
          <w:p>
            <w:pPr>
              <w:spacing w:line="240"/>
              <w:jc w:val="left"/>
            </w:pPr>
            <w:r>
              <w:rPr>
                <w:rFonts w:ascii="Arial" w:cs="Arial" w:eastAsia="Arial" w:hAnsi="Arial"/>
                <w:b/>
                <w:bCs/>
                <w:sz w:val="20"/>
                <w:szCs w:val="20"/>
              </w:rPr>
              <w:t xml:space="preserve">Edição</w:t>
            </w:r>
          </w:p>
        </w:tc>
        <w:tc>
          <w:tcPr>
            <w:tcW w:type="dxa" w:w="6521"/>
            <w:tcBorders>
              <w:top w:val="single" w:color="808080" w:sz="4"/>
              <w:left w:val="single" w:color="808080" w:sz="4"/>
              <w:bottom w:val="single" w:color="808080" w:sz="4"/>
              <w:right w:val="single" w:color="808080" w:sz="4"/>
            </w:tcBorders>
            <w:shd w:fill="D9E7E9" w:color="auto" w:val="clear"/>
            <w:tcMar>
              <w:top w:type="dxa" w:w="40"/>
              <w:left w:type="dxa" w:w="90"/>
              <w:bottom w:type="dxa" w:w="40"/>
              <w:right w:type="dxa" w:w="90"/>
            </w:tcMar>
            <w:vAlign w:val="center"/>
          </w:tcPr>
          <w:p>
            <w:pPr>
              <w:spacing w:line="240"/>
              <w:jc w:val="left"/>
            </w:pPr>
            <w:r>
              <w:rPr>
                <w:rFonts w:ascii="Arial" w:cs="Arial" w:eastAsia="Arial" w:hAnsi="Arial"/>
                <w:b/>
                <w:bCs/>
                <w:sz w:val="20"/>
                <w:szCs w:val="20"/>
              </w:rPr>
              <w:t xml:space="preserve">Funcionalidades</w:t>
            </w:r>
          </w:p>
        </w:tc>
      </w:tr>
      <w:tr>
        <w:trPr>
          <w:cantSplit/>
        </w:trPr>
        <w:tc>
          <w:tcPr>
            <w:tcW w:type="dxa" w:w="255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Community (gratuita, código aberto)</w:t>
            </w:r>
          </w:p>
        </w:tc>
        <w:tc>
          <w:tcPr>
            <w:tcW w:type="dxa" w:w="652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Matrícula de dispositivos Android 7+ por código QR</w:t>
            </w:r>
          </w:p>
          <w:p>
            <w:pPr>
              <w:spacing w:line="240"/>
              <w:jc w:val="left"/>
            </w:pPr>
            <w:r>
              <w:rPr>
                <w:rFonts w:ascii="Arial" w:cs="Arial" w:eastAsia="Arial" w:hAnsi="Arial"/>
                <w:b w:val="false"/>
                <w:bCs w:val="false"/>
                <w:sz w:val="20"/>
                <w:szCs w:val="20"/>
              </w:rPr>
              <w:t xml:space="preserve">Modo aplicativo, sem matrícula</w:t>
            </w:r>
          </w:p>
          <w:p>
            <w:pPr>
              <w:spacing w:line="240"/>
              <w:jc w:val="left"/>
            </w:pPr>
            <w:r>
              <w:rPr>
                <w:rFonts w:ascii="Arial" w:cs="Arial" w:eastAsia="Arial" w:hAnsi="Arial"/>
                <w:b w:val="false"/>
                <w:bCs w:val="false"/>
                <w:sz w:val="20"/>
                <w:szCs w:val="20"/>
              </w:rPr>
              <w:t xml:space="preserve">Personalização da área de trabalho e dos aplicativos visíveis</w:t>
            </w:r>
          </w:p>
          <w:p>
            <w:pPr>
              <w:spacing w:line="240"/>
              <w:jc w:val="left"/>
            </w:pPr>
            <w:r>
              <w:rPr>
                <w:rFonts w:ascii="Arial" w:cs="Arial" w:eastAsia="Arial" w:hAnsi="Arial"/>
                <w:b w:val="false"/>
                <w:bCs w:val="false"/>
                <w:sz w:val="20"/>
                <w:szCs w:val="20"/>
              </w:rPr>
              <w:t xml:space="preserve">Instalação automática de aplicativos pelo painel web</w:t>
            </w:r>
          </w:p>
          <w:p>
            <w:pPr>
              <w:spacing w:line="240"/>
              <w:jc w:val="left"/>
            </w:pPr>
            <w:r>
              <w:rPr>
                <w:rFonts w:ascii="Arial" w:cs="Arial" w:eastAsia="Arial" w:hAnsi="Arial"/>
                <w:b w:val="false"/>
                <w:bCs w:val="false"/>
                <w:sz w:val="20"/>
                <w:szCs w:val="20"/>
              </w:rPr>
              <w:t xml:space="preserve">Grupos, configurações (perfis) e status dos dispositivos</w:t>
            </w:r>
          </w:p>
          <w:p>
            <w:pPr>
              <w:spacing w:line="240"/>
              <w:jc w:val="left"/>
            </w:pPr>
            <w:r>
              <w:rPr>
                <w:rFonts w:ascii="Arial" w:cs="Arial" w:eastAsia="Arial" w:hAnsi="Arial"/>
                <w:b w:val="false"/>
                <w:bCs w:val="false"/>
                <w:sz w:val="20"/>
                <w:szCs w:val="20"/>
              </w:rPr>
              <w:t xml:space="preserve">Controle de GPS, Wi-Fi, Bluetooth e atualização do sistema</w:t>
            </w:r>
          </w:p>
          <w:p>
            <w:pPr>
              <w:spacing w:line="240"/>
              <w:jc w:val="left"/>
            </w:pPr>
            <w:r>
              <w:rPr>
                <w:rFonts w:ascii="Arial" w:cs="Arial" w:eastAsia="Arial" w:hAnsi="Arial"/>
                <w:b w:val="false"/>
                <w:bCs w:val="false"/>
                <w:sz w:val="20"/>
                <w:szCs w:val="20"/>
              </w:rPr>
              <w:t xml:space="preserve">Arquitetura extensível por plugins</w:t>
            </w:r>
          </w:p>
          <w:p>
            <w:pPr>
              <w:spacing w:line="240"/>
              <w:jc w:val="left"/>
            </w:pPr>
            <w:r>
              <w:rPr>
                <w:rFonts w:ascii="Arial" w:cs="Arial" w:eastAsia="Arial" w:hAnsi="Arial"/>
                <w:b w:val="false"/>
                <w:bCs w:val="false"/>
                <w:sz w:val="20"/>
                <w:szCs w:val="20"/>
              </w:rPr>
              <w:t xml:space="preserve">Coleta de logs de aplicativos e configuração centralizada</w:t>
            </w:r>
          </w:p>
        </w:tc>
      </w:tr>
      <w:tr>
        <w:trPr>
          <w:cantSplit/>
        </w:trPr>
        <w:tc>
          <w:tcPr>
            <w:tcW w:type="dxa" w:w="255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sz w:val="20"/>
                <w:szCs w:val="20"/>
              </w:rPr>
              <w:t xml:space="preserve">Premium / Enterprise (pagas)</w:t>
            </w:r>
          </w:p>
        </w:tc>
        <w:tc>
          <w:tcPr>
            <w:tcW w:type="dxa" w:w="652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sz w:val="20"/>
                <w:szCs w:val="20"/>
              </w:rPr>
              <w:t xml:space="preserve">Restrição das funções do usuário e bloqueio das configurações</w:t>
            </w:r>
          </w:p>
          <w:p>
            <w:pPr>
              <w:spacing w:line="240"/>
              <w:jc w:val="left"/>
            </w:pPr>
            <w:r>
              <w:rPr>
                <w:rFonts w:ascii="Arial" w:cs="Arial" w:eastAsia="Arial" w:hAnsi="Arial"/>
                <w:sz w:val="20"/>
                <w:szCs w:val="20"/>
              </w:rPr>
              <w:t xml:space="preserve">Modo quiosque (aplicativo único)</w:t>
            </w:r>
          </w:p>
          <w:p>
            <w:pPr>
              <w:spacing w:line="240"/>
              <w:jc w:val="left"/>
            </w:pPr>
            <w:r>
              <w:rPr>
                <w:rFonts w:ascii="Arial" w:cs="Arial" w:eastAsia="Arial" w:hAnsi="Arial"/>
                <w:sz w:val="20"/>
                <w:szCs w:val="20"/>
              </w:rPr>
              <w:t xml:space="preserve">Envio de imagens do dispositivo ao servidor</w:t>
            </w:r>
          </w:p>
          <w:p>
            <w:pPr>
              <w:spacing w:line="240"/>
              <w:jc w:val="left"/>
            </w:pPr>
            <w:r>
              <w:rPr>
                <w:rFonts w:ascii="Arial" w:cs="Arial" w:eastAsia="Arial" w:hAnsi="Arial"/>
                <w:sz w:val="20"/>
                <w:szCs w:val="20"/>
              </w:rPr>
              <w:t xml:space="preserve">Servidor em nuvem gerenciado pelo fabricante</w:t>
            </w:r>
          </w:p>
          <w:p>
            <w:pPr>
              <w:spacing w:line="240"/>
              <w:jc w:val="left"/>
            </w:pPr>
            <w:r>
              <w:rPr>
                <w:rFonts w:ascii="Arial" w:cs="Arial" w:eastAsia="Arial" w:hAnsi="Arial"/>
                <w:sz w:val="20"/>
                <w:szCs w:val="20"/>
              </w:rPr>
              <w:t xml:space="preserve">Suporte e desenvolvimento de plugins sob contrato</w:t>
            </w:r>
          </w:p>
        </w:tc>
      </w:tr>
    </w:tbl>
    <w:p>
      <w:pPr>
        <w:spacing w:after="240" w:before="60" w:line="240"/>
        <w:jc w:val="center"/>
      </w:pPr>
      <w:r>
        <w:rPr>
          <w:rFonts w:ascii="Arial" w:cs="Arial" w:eastAsia="Arial" w:hAnsi="Arial"/>
          <w:b/>
          <w:bCs/>
          <w:sz w:val="20"/>
          <w:szCs w:val="20"/>
        </w:rPr>
        <w:t xml:space="preserve">Fonte: </w:t>
      </w:r>
      <w:r>
        <w:rPr>
          <w:rFonts w:ascii="Arial" w:cs="Arial" w:eastAsia="Arial" w:hAnsi="Arial"/>
          <w:sz w:val="20"/>
          <w:szCs w:val="20"/>
        </w:rPr>
        <w:t xml:space="preserve">Adaptado de Headwind Solutions (2026).</w:t>
      </w:r>
    </w:p>
    <w:p>
      <w:pPr>
        <w:pStyle w:val="Heading2"/>
      </w:pPr>
      <w:bookmarkStart w:name="_Toc5" w:id="5"/>
      <w:r>
        <w:rPr>
          <w:rFonts w:ascii="Arial" w:cs="Arial" w:eastAsia="Arial" w:hAnsi="Arial"/>
          <w:b/>
          <w:bCs/>
          <w:sz w:val="24"/>
          <w:szCs w:val="24"/>
        </w:rPr>
        <w:t xml:space="preserve">3.2 Reconhecimento pela Samsung Knox</w:t>
      </w:r>
      <w:bookmarkEnd w:id="5"/>
    </w:p>
    <w:p>
      <w:pPr>
        <w:spacing w:after="0" w:before="0" w:line="360"/>
        <w:ind w:firstLine="709"/>
        <w:jc w:val="both"/>
      </w:pPr>
      <w:r>
        <w:rPr>
          <w:rFonts w:ascii="Arial" w:cs="Arial" w:eastAsia="Arial" w:hAnsi="Arial"/>
          <w:sz w:val="24"/>
          <w:szCs w:val="24"/>
        </w:rPr>
        <w:t xml:space="preserve">A relevância do Headwind MDM no mercado é atestada pela Samsung, maior fabricante de dispositivos Android. O portal Samsung Knox lista o Headwind MDM entre as soluções parceiras e destaca que a integração com o Knox amplia o conjunto de controles disponíveis: gerenciamento avançado de aplicativos e conteúdo, operação em rede fechada, modo quiosque, localização, controle remoto não assistido, controle de tráfego e chamadas e proteção contra restauração de fábrica em aparelhos Knox (SAMSUNG, 2026a). Em 2021, a Samsung verificou a solução para uso em dispositivos Knox e confirmou sua compatibilidade com o Knox Mobile Enrollment (EIN PRESSWIRE, 2021).</w:t>
      </w:r>
    </w:p>
    <w:p>
      <w:pPr>
        <w:spacing w:after="0" w:before="0" w:line="360"/>
        <w:ind w:firstLine="709"/>
        <w:jc w:val="both"/>
      </w:pPr>
      <w:r>
        <w:rPr>
          <w:rFonts w:ascii="Arial" w:cs="Arial" w:eastAsia="Arial" w:hAnsi="Arial"/>
          <w:sz w:val="24"/>
          <w:szCs w:val="24"/>
        </w:rPr>
        <w:t xml:space="preserve">Esse reconhecimento é pertinente à Prefeitura porque os tablets em uso no município são Samsung (modelo SM-T225). A plataforma adotada, portanto, não é uma ferramenta improvisada: é um produto de linha, reconhecido pelo fabricante do hardware, com o mesmo propósito das soluções comerciais tratadas na Seção 5.</w:t>
      </w:r>
    </w:p>
    <w:p>
      <w:pPr>
        <w:pStyle w:val="Heading1"/>
        <w:pageBreakBefore/>
      </w:pPr>
      <w:bookmarkStart w:name="_Toc6" w:id="6"/>
      <w:r>
        <w:rPr>
          <w:rFonts w:ascii="Arial" w:cs="Arial" w:eastAsia="Arial" w:hAnsi="Arial"/>
          <w:b/>
          <w:bCs/>
          <w:sz w:val="24"/>
          <w:szCs w:val="24"/>
        </w:rPr>
        <w:t xml:space="preserve">4 HWMDM: A VERSÃO CUSTOMIZADA PELA PREFEITURA</w:t>
      </w:r>
      <w:bookmarkEnd w:id="6"/>
    </w:p>
    <w:p>
      <w:pPr>
        <w:spacing w:after="0" w:before="0" w:line="360"/>
        <w:ind w:firstLine="709"/>
        <w:jc w:val="both"/>
      </w:pPr>
      <w:r>
        <w:rPr>
          <w:rFonts w:ascii="Arial" w:cs="Arial" w:eastAsia="Arial" w:hAnsi="Arial"/>
          <w:sz w:val="24"/>
          <w:szCs w:val="24"/>
        </w:rPr>
        <w:t xml:space="preserve">O HWMDM é a evolução do Headwind MDM Community desenvolvida internamente para as necessidades da Prefeitura. O código original foi preservado como base e recebeu novos módulos, novos aplicativos Android e uma interface web reorganizada e traduzida para o português. Funcionalidades que o fabricante reserva às edições pagas, como o modo quiosque, foram implementadas no próprio código, sem aquisição de licença.</w:t>
      </w:r>
    </w:p>
    <w:p>
      <w:pPr>
        <w:pStyle w:val="Heading2"/>
      </w:pPr>
      <w:bookmarkStart w:name="_Toc7" w:id="7"/>
      <w:r>
        <w:rPr>
          <w:rFonts w:ascii="Arial" w:cs="Arial" w:eastAsia="Arial" w:hAnsi="Arial"/>
          <w:b/>
          <w:bCs/>
          <w:sz w:val="24"/>
          <w:szCs w:val="24"/>
        </w:rPr>
        <w:t xml:space="preserve">4.1 Arquitetura</w:t>
      </w:r>
      <w:bookmarkEnd w:id="7"/>
    </w:p>
    <w:p>
      <w:pPr>
        <w:spacing w:after="0" w:before="0" w:line="360"/>
        <w:ind w:firstLine="709"/>
        <w:jc w:val="both"/>
      </w:pPr>
      <w:r>
        <w:rPr>
          <w:rFonts w:ascii="Arial" w:cs="Arial" w:eastAsia="Arial" w:hAnsi="Arial"/>
          <w:sz w:val="24"/>
          <w:szCs w:val="24"/>
        </w:rPr>
        <w:t xml:space="preserve">A solução é executada em servidor da Prefeitura, com quatro contêineres Docker orquestrados por Docker Compose e volumes persistentes para banco de dados, arquivos APK e cópias de segurança. Os dispositivos comunicam-se com o servidor por HTTP/JSON (sincronização de configuração, envio de status e localização) e por WebSocket (transmissão de tela e comandos do acesso remoto). O técnico usa apenas o navegador. A Figura 1 apresenta a arquitetura.</w:t>
      </w:r>
    </w:p>
    <w:p>
      <w:pPr>
        <w:pStyle w:val="Caption"/>
        <w:keepNext/>
        <w:spacing w:after="60" w:before="240" w:line="240"/>
        <w:jc w:val="center"/>
      </w:pPr>
      <w:r>
        <w:rPr>
          <w:rFonts w:ascii="Arial" w:cs="Arial" w:eastAsia="Arial" w:hAnsi="Arial"/>
          <w:b/>
          <w:bCs/>
          <w:sz w:val="20"/>
          <w:szCs w:val="20"/>
        </w:rPr>
        <w:t xml:space="preserve">Figura </w:t>
      </w:r>
      <w:r>
        <w:rPr>
          <w:rFonts w:ascii="Arial" w:cs="Arial" w:eastAsia="Arial" w:hAnsi="Arial"/>
          <w:b/>
          <w:bCs/>
          <w:sz w:val="20"/>
          <w:szCs w:val="20"/>
        </w:rPr>
        <w:fldChar w:fldCharType="begin"/>
      </w:r>
      <w:r>
        <w:rPr>
          <w:rFonts w:ascii="Arial" w:cs="Arial" w:eastAsia="Arial" w:hAnsi="Arial"/>
          <w:b/>
          <w:bCs/>
          <w:sz w:val="20"/>
          <w:szCs w:val="20"/>
        </w:rPr>
        <w:instrText xml:space="preserve"> SEQ Figura \* ARABIC </w:instrText>
      </w:r>
      <w:r>
        <w:rPr>
          <w:rFonts w:ascii="Arial" w:cs="Arial" w:eastAsia="Arial" w:hAnsi="Arial"/>
          <w:b/>
          <w:bCs/>
          <w:sz w:val="20"/>
          <w:szCs w:val="20"/>
        </w:rPr>
        <w:fldChar w:fldCharType="separate"/>
      </w:r>
      <w:r>
        <w:rPr>
          <w:rFonts w:ascii="Arial" w:cs="Arial" w:eastAsia="Arial" w:hAnsi="Arial"/>
          <w:b/>
          <w:bCs/>
          <w:sz w:val="20"/>
          <w:szCs w:val="20"/>
        </w:rPr>
        <w:t>1</w:t>
      </w:r>
      <w:r>
        <w:rPr>
          <w:rFonts w:ascii="Arial" w:cs="Arial" w:eastAsia="Arial" w:hAnsi="Arial"/>
          <w:b/>
          <w:bCs/>
          <w:sz w:val="20"/>
          <w:szCs w:val="20"/>
        </w:rPr>
        <w:fldChar w:fldCharType="end"/>
      </w:r>
      <w:r>
        <w:rPr>
          <w:rFonts w:ascii="Arial" w:cs="Arial" w:eastAsia="Arial" w:hAnsi="Arial"/>
          <w:b/>
          <w:bCs/>
          <w:sz w:val="20"/>
          <w:szCs w:val="20"/>
        </w:rPr>
        <w:t xml:space="preserve"> – </w:t>
      </w:r>
      <w:r>
        <w:rPr>
          <w:rFonts w:ascii="Arial" w:cs="Arial" w:eastAsia="Arial" w:hAnsi="Arial"/>
          <w:sz w:val="20"/>
          <w:szCs w:val="20"/>
        </w:rPr>
        <w:t xml:space="preserve">Arquitetura do HWMDM</w:t>
      </w:r>
    </w:p>
    <w:p>
      <w:pPr>
        <w:keepNext/>
        <w:spacing w:line="240"/>
        <w:jc w:val="center"/>
      </w:pPr>
      <w:r>
        <w:drawing>
          <wp:inline distT="0" distB="0" distL="0" distR="0">
            <wp:extent cx="5762625" cy="2619375"/>
            <wp:effectExtent t="0" r="0" b="0" l="0"/>
            <wp:docPr id="1" name="arquitetura.png" descr="Arquitetura do HWMDM" title="Arquitetura do HWM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619375"/>
                    </a:xfrm>
                    <a:prstGeom prst="rect">
                      <a:avLst/>
                    </a:prstGeom>
                  </pic:spPr>
                </pic:pic>
              </a:graphicData>
            </a:graphic>
          </wp:inline>
        </w:drawing>
      </w:r>
    </w:p>
    <w:p>
      <w:pPr>
        <w:spacing w:after="240" w:before="60" w:line="240"/>
        <w:jc w:val="center"/>
      </w:pPr>
      <w:r>
        <w:rPr>
          <w:rFonts w:ascii="Arial" w:cs="Arial" w:eastAsia="Arial" w:hAnsi="Arial"/>
          <w:b/>
          <w:bCs/>
          <w:sz w:val="20"/>
          <w:szCs w:val="20"/>
        </w:rPr>
        <w:t xml:space="preserve">Fonte: </w:t>
      </w:r>
      <w:r>
        <w:rPr>
          <w:rFonts w:ascii="Arial" w:cs="Arial" w:eastAsia="Arial" w:hAnsi="Arial"/>
          <w:sz w:val="20"/>
          <w:szCs w:val="20"/>
        </w:rPr>
        <w:t xml:space="preserve">Elaborado pelo autor (2026).</w:t>
      </w:r>
    </w:p>
    <w:p>
      <w:pPr>
        <w:spacing w:after="0" w:before="0" w:line="360"/>
        <w:ind w:firstLine="709"/>
        <w:jc w:val="both"/>
      </w:pPr>
      <w:r>
        <w:rPr>
          <w:rFonts w:ascii="Arial" w:cs="Arial" w:eastAsia="Arial" w:hAnsi="Arial"/>
          <w:sz w:val="24"/>
          <w:szCs w:val="24"/>
        </w:rPr>
        <w:t xml:space="preserve">O Quadro 3 descreve cada componente e a tecnologia empregada.</w:t>
      </w:r>
    </w:p>
    <w:p>
      <w:pPr>
        <w:pStyle w:val="Caption"/>
        <w:keepNext/>
        <w:spacing w:after="60" w:before="240" w:line="240"/>
        <w:jc w:val="center"/>
      </w:pPr>
      <w:r>
        <w:rPr>
          <w:rFonts w:ascii="Arial" w:cs="Arial" w:eastAsia="Arial" w:hAnsi="Arial"/>
          <w:b/>
          <w:bCs/>
          <w:sz w:val="20"/>
          <w:szCs w:val="20"/>
        </w:rPr>
        <w:t xml:space="preserve">Quadro </w:t>
      </w:r>
      <w:r>
        <w:rPr>
          <w:rFonts w:ascii="Arial" w:cs="Arial" w:eastAsia="Arial" w:hAnsi="Arial"/>
          <w:b/>
          <w:bCs/>
          <w:sz w:val="20"/>
          <w:szCs w:val="20"/>
        </w:rPr>
        <w:fldChar w:fldCharType="begin"/>
      </w:r>
      <w:r>
        <w:rPr>
          <w:rFonts w:ascii="Arial" w:cs="Arial" w:eastAsia="Arial" w:hAnsi="Arial"/>
          <w:b/>
          <w:bCs/>
          <w:sz w:val="20"/>
          <w:szCs w:val="20"/>
        </w:rPr>
        <w:instrText xml:space="preserve"> SEQ Quadro \* ARABIC </w:instrText>
      </w:r>
      <w:r>
        <w:rPr>
          <w:rFonts w:ascii="Arial" w:cs="Arial" w:eastAsia="Arial" w:hAnsi="Arial"/>
          <w:b/>
          <w:bCs/>
          <w:sz w:val="20"/>
          <w:szCs w:val="20"/>
        </w:rPr>
        <w:fldChar w:fldCharType="separate"/>
      </w:r>
      <w:r>
        <w:rPr>
          <w:rFonts w:ascii="Arial" w:cs="Arial" w:eastAsia="Arial" w:hAnsi="Arial"/>
          <w:b/>
          <w:bCs/>
          <w:sz w:val="20"/>
          <w:szCs w:val="20"/>
        </w:rPr>
        <w:t>3</w:t>
      </w:r>
      <w:r>
        <w:rPr>
          <w:rFonts w:ascii="Arial" w:cs="Arial" w:eastAsia="Arial" w:hAnsi="Arial"/>
          <w:b/>
          <w:bCs/>
          <w:sz w:val="20"/>
          <w:szCs w:val="20"/>
        </w:rPr>
        <w:fldChar w:fldCharType="end"/>
      </w:r>
      <w:r>
        <w:rPr>
          <w:rFonts w:ascii="Arial" w:cs="Arial" w:eastAsia="Arial" w:hAnsi="Arial"/>
          <w:b/>
          <w:bCs/>
          <w:sz w:val="20"/>
          <w:szCs w:val="20"/>
        </w:rPr>
        <w:t xml:space="preserve"> – </w:t>
      </w:r>
      <w:r>
        <w:rPr>
          <w:rFonts w:ascii="Arial" w:cs="Arial" w:eastAsia="Arial" w:hAnsi="Arial"/>
          <w:sz w:val="20"/>
          <w:szCs w:val="20"/>
        </w:rPr>
        <w:t xml:space="preserve">Componentes do HWMDM</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438"/>
        <w:gridCol w:w="2948"/>
        <w:gridCol w:w="3686"/>
      </w:tblGrid>
      <w:tr>
        <w:trPr>
          <w:tblHeader/>
        </w:trPr>
        <w:tc>
          <w:tcPr>
            <w:tcW w:type="dxa" w:w="2438"/>
            <w:tcBorders>
              <w:top w:val="single" w:color="808080" w:sz="4"/>
              <w:left w:val="single" w:color="808080" w:sz="4"/>
              <w:bottom w:val="single" w:color="808080" w:sz="4"/>
              <w:right w:val="single" w:color="808080" w:sz="4"/>
            </w:tcBorders>
            <w:shd w:fill="D9E7E9" w:color="auto" w:val="clear"/>
            <w:tcMar>
              <w:top w:type="dxa" w:w="40"/>
              <w:left w:type="dxa" w:w="90"/>
              <w:bottom w:type="dxa" w:w="40"/>
              <w:right w:type="dxa" w:w="90"/>
            </w:tcMar>
            <w:vAlign w:val="center"/>
          </w:tcPr>
          <w:p>
            <w:pPr>
              <w:spacing w:line="240"/>
              <w:jc w:val="left"/>
            </w:pPr>
            <w:r>
              <w:rPr>
                <w:rFonts w:ascii="Arial" w:cs="Arial" w:eastAsia="Arial" w:hAnsi="Arial"/>
                <w:b/>
                <w:bCs/>
                <w:sz w:val="20"/>
                <w:szCs w:val="20"/>
              </w:rPr>
              <w:t xml:space="preserve">Componente</w:t>
            </w:r>
          </w:p>
        </w:tc>
        <w:tc>
          <w:tcPr>
            <w:tcW w:type="dxa" w:w="2948"/>
            <w:tcBorders>
              <w:top w:val="single" w:color="808080" w:sz="4"/>
              <w:left w:val="single" w:color="808080" w:sz="4"/>
              <w:bottom w:val="single" w:color="808080" w:sz="4"/>
              <w:right w:val="single" w:color="808080" w:sz="4"/>
            </w:tcBorders>
            <w:shd w:fill="D9E7E9" w:color="auto" w:val="clear"/>
            <w:tcMar>
              <w:top w:type="dxa" w:w="40"/>
              <w:left w:type="dxa" w:w="90"/>
              <w:bottom w:type="dxa" w:w="40"/>
              <w:right w:type="dxa" w:w="90"/>
            </w:tcMar>
            <w:vAlign w:val="center"/>
          </w:tcPr>
          <w:p>
            <w:pPr>
              <w:spacing w:line="240"/>
              <w:jc w:val="left"/>
            </w:pPr>
            <w:r>
              <w:rPr>
                <w:rFonts w:ascii="Arial" w:cs="Arial" w:eastAsia="Arial" w:hAnsi="Arial"/>
                <w:b/>
                <w:bCs/>
                <w:sz w:val="20"/>
                <w:szCs w:val="20"/>
              </w:rPr>
              <w:t xml:space="preserve">Tecnologia</w:t>
            </w:r>
          </w:p>
        </w:tc>
        <w:tc>
          <w:tcPr>
            <w:tcW w:type="dxa" w:w="3686"/>
            <w:tcBorders>
              <w:top w:val="single" w:color="808080" w:sz="4"/>
              <w:left w:val="single" w:color="808080" w:sz="4"/>
              <w:bottom w:val="single" w:color="808080" w:sz="4"/>
              <w:right w:val="single" w:color="808080" w:sz="4"/>
            </w:tcBorders>
            <w:shd w:fill="D9E7E9" w:color="auto" w:val="clear"/>
            <w:tcMar>
              <w:top w:type="dxa" w:w="40"/>
              <w:left w:type="dxa" w:w="90"/>
              <w:bottom w:type="dxa" w:w="40"/>
              <w:right w:type="dxa" w:w="90"/>
            </w:tcMar>
            <w:vAlign w:val="center"/>
          </w:tcPr>
          <w:p>
            <w:pPr>
              <w:spacing w:line="240"/>
              <w:jc w:val="left"/>
            </w:pPr>
            <w:r>
              <w:rPr>
                <w:rFonts w:ascii="Arial" w:cs="Arial" w:eastAsia="Arial" w:hAnsi="Arial"/>
                <w:b/>
                <w:bCs/>
                <w:sz w:val="20"/>
                <w:szCs w:val="20"/>
              </w:rPr>
              <w:t xml:space="preserve">Função</w:t>
            </w:r>
          </w:p>
        </w:tc>
      </w:tr>
      <w:tr>
        <w:trPr>
          <w:cantSplit/>
        </w:trPr>
        <w:tc>
          <w:tcPr>
            <w:tcW w:type="dxa" w:w="243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Servidor e painel web (hwmdm-mdm)</w:t>
            </w:r>
          </w:p>
        </w:tc>
        <w:tc>
          <w:tcPr>
            <w:tcW w:type="dxa" w:w="294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Java 17, Apache Tomcat, AngularJS</w:t>
            </w:r>
          </w:p>
        </w:tc>
        <w:tc>
          <w:tcPr>
            <w:tcW w:type="dxa" w:w="368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Painel de administração, API REST, plugins, acesso remoto e políticas</w:t>
            </w:r>
          </w:p>
        </w:tc>
      </w:tr>
      <w:tr>
        <w:trPr>
          <w:cantSplit/>
        </w:trPr>
        <w:tc>
          <w:tcPr>
            <w:tcW w:type="dxa" w:w="243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Banco de dados (hwmdm-postgres)</w:t>
            </w:r>
          </w:p>
        </w:tc>
        <w:tc>
          <w:tcPr>
            <w:tcW w:type="dxa" w:w="294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PostgreSQL 12</w:t>
            </w:r>
          </w:p>
        </w:tc>
        <w:tc>
          <w:tcPr>
            <w:tcW w:type="dxa" w:w="368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Dispositivos, perfis, aplicativos, histórico de localização, auditoria e eventos</w:t>
            </w:r>
          </w:p>
        </w:tc>
      </w:tr>
      <w:tr>
        <w:trPr>
          <w:cantSplit/>
        </w:trPr>
        <w:tc>
          <w:tcPr>
            <w:tcW w:type="dxa" w:w="243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Filtro DNS (hwmdm-webfilter)</w:t>
            </w:r>
          </w:p>
        </w:tc>
        <w:tc>
          <w:tcPr>
            <w:tcW w:type="dxa" w:w="294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Blocky</w:t>
            </w:r>
          </w:p>
        </w:tc>
        <w:tc>
          <w:tcPr>
            <w:tcW w:type="dxa" w:w="368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Resolução DNS com listas de bloqueio por categoria e por perfil</w:t>
            </w:r>
          </w:p>
        </w:tc>
      </w:tr>
      <w:tr>
        <w:trPr>
          <w:cantSplit/>
        </w:trPr>
        <w:tc>
          <w:tcPr>
            <w:tcW w:type="dxa" w:w="243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Console da pilha (hwmdm-admin)</w:t>
            </w:r>
          </w:p>
        </w:tc>
        <w:tc>
          <w:tcPr>
            <w:tcW w:type="dxa" w:w="294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Java 21</w:t>
            </w:r>
          </w:p>
        </w:tc>
        <w:tc>
          <w:tcPr>
            <w:tcW w:type="dxa" w:w="368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Configuração e manutenção dos serviços do servidor</w:t>
            </w:r>
          </w:p>
        </w:tc>
      </w:tr>
      <w:tr>
        <w:trPr>
          <w:cantSplit/>
        </w:trPr>
        <w:tc>
          <w:tcPr>
            <w:tcW w:type="dxa" w:w="243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Launcher HWMDM</w:t>
            </w:r>
          </w:p>
        </w:tc>
        <w:tc>
          <w:tcPr>
            <w:tcW w:type="dxa" w:w="294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Android SDK 34, Java</w:t>
            </w:r>
          </w:p>
        </w:tc>
        <w:tc>
          <w:tcPr>
            <w:tcW w:type="dxa" w:w="368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Agente principal: matrícula, perfis, quiosque, instalação de aplicativos, GPS</w:t>
            </w:r>
          </w:p>
        </w:tc>
      </w:tr>
      <w:tr>
        <w:trPr>
          <w:cantSplit/>
        </w:trPr>
        <w:tc>
          <w:tcPr>
            <w:tcW w:type="dxa" w:w="243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Agente de Suporte Remoto</w:t>
            </w:r>
          </w:p>
        </w:tc>
        <w:tc>
          <w:tcPr>
            <w:tcW w:type="dxa" w:w="294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Android SDK 34 (MediaProjection, MediaCodec, Acessibilidade)</w:t>
            </w:r>
          </w:p>
        </w:tc>
        <w:tc>
          <w:tcPr>
            <w:tcW w:type="dxa" w:w="368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Captura e transmissão da tela em H.264 e execução de toques e teclado remotos</w:t>
            </w:r>
          </w:p>
        </w:tc>
      </w:tr>
      <w:tr>
        <w:trPr>
          <w:cantSplit/>
        </w:trPr>
        <w:tc>
          <w:tcPr>
            <w:tcW w:type="dxa" w:w="243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sz w:val="20"/>
                <w:szCs w:val="20"/>
              </w:rPr>
              <w:t xml:space="preserve">Agente Web Filter</w:t>
            </w:r>
          </w:p>
        </w:tc>
        <w:tc>
          <w:tcPr>
            <w:tcW w:type="dxa" w:w="294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sz w:val="20"/>
                <w:szCs w:val="20"/>
              </w:rPr>
              <w:t xml:space="preserve">Android SDK 34, políticas gerenciadas do Chrome</w:t>
            </w:r>
          </w:p>
        </w:tc>
        <w:tc>
          <w:tcPr>
            <w:tcW w:type="dxa" w:w="368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sz w:val="20"/>
                <w:szCs w:val="20"/>
              </w:rPr>
              <w:t xml:space="preserve">Aplica a lista de sites bloqueados e permitidos e informa os bloqueios ao painel</w:t>
            </w:r>
          </w:p>
        </w:tc>
      </w:tr>
    </w:tbl>
    <w:p>
      <w:pPr>
        <w:spacing w:after="240" w:before="60" w:line="240"/>
        <w:jc w:val="center"/>
      </w:pPr>
      <w:r>
        <w:rPr>
          <w:rFonts w:ascii="Arial" w:cs="Arial" w:eastAsia="Arial" w:hAnsi="Arial"/>
          <w:b/>
          <w:bCs/>
          <w:sz w:val="20"/>
          <w:szCs w:val="20"/>
        </w:rPr>
        <w:t xml:space="preserve">Fonte: </w:t>
      </w:r>
      <w:r>
        <w:rPr>
          <w:rFonts w:ascii="Arial" w:cs="Arial" w:eastAsia="Arial" w:hAnsi="Arial"/>
          <w:sz w:val="20"/>
          <w:szCs w:val="20"/>
        </w:rPr>
        <w:t xml:space="preserve">Elaborado pelo autor (2026).</w:t>
      </w:r>
    </w:p>
    <w:p>
      <w:pPr>
        <w:pStyle w:val="Heading2"/>
      </w:pPr>
      <w:bookmarkStart w:name="_Toc8" w:id="8"/>
      <w:r>
        <w:rPr>
          <w:rFonts w:ascii="Arial" w:cs="Arial" w:eastAsia="Arial" w:hAnsi="Arial"/>
          <w:b/>
          <w:bCs/>
          <w:sz w:val="24"/>
          <w:szCs w:val="24"/>
        </w:rPr>
        <w:t xml:space="preserve">4.2 Melhorias implementadas</w:t>
      </w:r>
      <w:bookmarkEnd w:id="8"/>
    </w:p>
    <w:p>
      <w:pPr>
        <w:spacing w:after="0" w:before="0" w:line="360"/>
        <w:ind w:firstLine="709"/>
        <w:jc w:val="both"/>
      </w:pPr>
      <w:r>
        <w:rPr>
          <w:rFonts w:ascii="Arial" w:cs="Arial" w:eastAsia="Arial" w:hAnsi="Arial"/>
          <w:sz w:val="24"/>
          <w:szCs w:val="24"/>
        </w:rPr>
        <w:t xml:space="preserve">O Quadro 4 compara a plataforma original com a versão em uso. As subseções seguintes apresentam as telas correspondentes.</w:t>
      </w:r>
    </w:p>
    <w:p>
      <w:pPr>
        <w:pStyle w:val="Caption"/>
        <w:keepNext/>
        <w:spacing w:after="60" w:before="240" w:line="240"/>
        <w:jc w:val="center"/>
      </w:pPr>
      <w:r>
        <w:rPr>
          <w:rFonts w:ascii="Arial" w:cs="Arial" w:eastAsia="Arial" w:hAnsi="Arial"/>
          <w:b/>
          <w:bCs/>
          <w:sz w:val="20"/>
          <w:szCs w:val="20"/>
        </w:rPr>
        <w:t xml:space="preserve">Quadro </w:t>
      </w:r>
      <w:r>
        <w:rPr>
          <w:rFonts w:ascii="Arial" w:cs="Arial" w:eastAsia="Arial" w:hAnsi="Arial"/>
          <w:b/>
          <w:bCs/>
          <w:sz w:val="20"/>
          <w:szCs w:val="20"/>
        </w:rPr>
        <w:fldChar w:fldCharType="begin"/>
      </w:r>
      <w:r>
        <w:rPr>
          <w:rFonts w:ascii="Arial" w:cs="Arial" w:eastAsia="Arial" w:hAnsi="Arial"/>
          <w:b/>
          <w:bCs/>
          <w:sz w:val="20"/>
          <w:szCs w:val="20"/>
        </w:rPr>
        <w:instrText xml:space="preserve"> SEQ Quadro \* ARABIC </w:instrText>
      </w:r>
      <w:r>
        <w:rPr>
          <w:rFonts w:ascii="Arial" w:cs="Arial" w:eastAsia="Arial" w:hAnsi="Arial"/>
          <w:b/>
          <w:bCs/>
          <w:sz w:val="20"/>
          <w:szCs w:val="20"/>
        </w:rPr>
        <w:fldChar w:fldCharType="separate"/>
      </w:r>
      <w:r>
        <w:rPr>
          <w:rFonts w:ascii="Arial" w:cs="Arial" w:eastAsia="Arial" w:hAnsi="Arial"/>
          <w:b/>
          <w:bCs/>
          <w:sz w:val="20"/>
          <w:szCs w:val="20"/>
        </w:rPr>
        <w:t>4</w:t>
      </w:r>
      <w:r>
        <w:rPr>
          <w:rFonts w:ascii="Arial" w:cs="Arial" w:eastAsia="Arial" w:hAnsi="Arial"/>
          <w:b/>
          <w:bCs/>
          <w:sz w:val="20"/>
          <w:szCs w:val="20"/>
        </w:rPr>
        <w:fldChar w:fldCharType="end"/>
      </w:r>
      <w:r>
        <w:rPr>
          <w:rFonts w:ascii="Arial" w:cs="Arial" w:eastAsia="Arial" w:hAnsi="Arial"/>
          <w:b/>
          <w:bCs/>
          <w:sz w:val="20"/>
          <w:szCs w:val="20"/>
        </w:rPr>
        <w:t xml:space="preserve"> – </w:t>
      </w:r>
      <w:r>
        <w:rPr>
          <w:rFonts w:ascii="Arial" w:cs="Arial" w:eastAsia="Arial" w:hAnsi="Arial"/>
          <w:sz w:val="20"/>
          <w:szCs w:val="20"/>
        </w:rPr>
        <w:t xml:space="preserve">Comparação entre o Headwind MDM Community e o HWMDM</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928"/>
        <w:gridCol w:w="2835"/>
        <w:gridCol w:w="4309"/>
      </w:tblGrid>
      <w:tr>
        <w:trPr>
          <w:tblHeader/>
        </w:trPr>
        <w:tc>
          <w:tcPr>
            <w:tcW w:type="dxa" w:w="1928"/>
            <w:tcBorders>
              <w:top w:val="single" w:color="808080" w:sz="4"/>
              <w:left w:val="single" w:color="808080" w:sz="4"/>
              <w:bottom w:val="single" w:color="808080" w:sz="4"/>
              <w:right w:val="single" w:color="808080" w:sz="4"/>
            </w:tcBorders>
            <w:shd w:fill="D9E7E9" w:color="auto" w:val="clear"/>
            <w:tcMar>
              <w:top w:type="dxa" w:w="40"/>
              <w:left w:type="dxa" w:w="90"/>
              <w:bottom w:type="dxa" w:w="40"/>
              <w:right w:type="dxa" w:w="90"/>
            </w:tcMar>
            <w:vAlign w:val="center"/>
          </w:tcPr>
          <w:p>
            <w:pPr>
              <w:spacing w:line="240"/>
              <w:jc w:val="left"/>
            </w:pPr>
            <w:r>
              <w:rPr>
                <w:rFonts w:ascii="Arial" w:cs="Arial" w:eastAsia="Arial" w:hAnsi="Arial"/>
                <w:b/>
                <w:bCs/>
                <w:sz w:val="20"/>
                <w:szCs w:val="20"/>
              </w:rPr>
              <w:t xml:space="preserve">Recurso</w:t>
            </w:r>
          </w:p>
        </w:tc>
        <w:tc>
          <w:tcPr>
            <w:tcW w:type="dxa" w:w="2835"/>
            <w:tcBorders>
              <w:top w:val="single" w:color="808080" w:sz="4"/>
              <w:left w:val="single" w:color="808080" w:sz="4"/>
              <w:bottom w:val="single" w:color="808080" w:sz="4"/>
              <w:right w:val="single" w:color="808080" w:sz="4"/>
            </w:tcBorders>
            <w:shd w:fill="D9E7E9" w:color="auto" w:val="clear"/>
            <w:tcMar>
              <w:top w:type="dxa" w:w="40"/>
              <w:left w:type="dxa" w:w="90"/>
              <w:bottom w:type="dxa" w:w="40"/>
              <w:right w:type="dxa" w:w="90"/>
            </w:tcMar>
            <w:vAlign w:val="center"/>
          </w:tcPr>
          <w:p>
            <w:pPr>
              <w:spacing w:line="240"/>
              <w:jc w:val="left"/>
            </w:pPr>
            <w:r>
              <w:rPr>
                <w:rFonts w:ascii="Arial" w:cs="Arial" w:eastAsia="Arial" w:hAnsi="Arial"/>
                <w:b/>
                <w:bCs/>
                <w:sz w:val="20"/>
                <w:szCs w:val="20"/>
              </w:rPr>
              <w:t xml:space="preserve">Headwind MDM Community</w:t>
            </w:r>
          </w:p>
        </w:tc>
        <w:tc>
          <w:tcPr>
            <w:tcW w:type="dxa" w:w="4309"/>
            <w:tcBorders>
              <w:top w:val="single" w:color="808080" w:sz="4"/>
              <w:left w:val="single" w:color="808080" w:sz="4"/>
              <w:bottom w:val="single" w:color="808080" w:sz="4"/>
              <w:right w:val="single" w:color="808080" w:sz="4"/>
            </w:tcBorders>
            <w:shd w:fill="D9E7E9" w:color="auto" w:val="clear"/>
            <w:tcMar>
              <w:top w:type="dxa" w:w="40"/>
              <w:left w:type="dxa" w:w="90"/>
              <w:bottom w:type="dxa" w:w="40"/>
              <w:right w:type="dxa" w:w="90"/>
            </w:tcMar>
            <w:vAlign w:val="center"/>
          </w:tcPr>
          <w:p>
            <w:pPr>
              <w:spacing w:line="240"/>
              <w:jc w:val="left"/>
            </w:pPr>
            <w:r>
              <w:rPr>
                <w:rFonts w:ascii="Arial" w:cs="Arial" w:eastAsia="Arial" w:hAnsi="Arial"/>
                <w:b/>
                <w:bCs/>
                <w:sz w:val="20"/>
                <w:szCs w:val="20"/>
              </w:rPr>
              <w:t xml:space="preserve">HWMDM (Prefeitura)</w:t>
            </w:r>
          </w:p>
        </w:tc>
      </w:tr>
      <w:tr>
        <w:trPr>
          <w:cantSplit/>
        </w:trPr>
        <w:tc>
          <w:tcPr>
            <w:tcW w:type="dxa" w:w="192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Painel inicial</w:t>
            </w:r>
          </w:p>
        </w:tc>
        <w:tc>
          <w:tcPr>
            <w:tcW w:type="dxa" w:w="283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Lista de dispositivos</w:t>
            </w:r>
          </w:p>
        </w:tc>
        <w:tc>
          <w:tcPr>
            <w:tcW w:type="dxa" w:w="430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Painel com indicadores da frota, mapa, dispositivos recentes e alertas</w:t>
            </w:r>
          </w:p>
        </w:tc>
      </w:tr>
      <w:tr>
        <w:trPr>
          <w:cantSplit/>
        </w:trPr>
        <w:tc>
          <w:tcPr>
            <w:tcW w:type="dxa" w:w="192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Idioma da interface</w:t>
            </w:r>
          </w:p>
        </w:tc>
        <w:tc>
          <w:tcPr>
            <w:tcW w:type="dxa" w:w="283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Inglês, tradução parcial</w:t>
            </w:r>
          </w:p>
        </w:tc>
        <w:tc>
          <w:tcPr>
            <w:tcW w:type="dxa" w:w="430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Português em todas as telas e mensagens</w:t>
            </w:r>
          </w:p>
        </w:tc>
      </w:tr>
      <w:tr>
        <w:trPr>
          <w:cantSplit/>
        </w:trPr>
        <w:tc>
          <w:tcPr>
            <w:tcW w:type="dxa" w:w="192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Acesso remoto</w:t>
            </w:r>
          </w:p>
        </w:tc>
        <w:tc>
          <w:tcPr>
            <w:tcW w:type="dxa" w:w="283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Não incluso</w:t>
            </w:r>
          </w:p>
        </w:tc>
        <w:tc>
          <w:tcPr>
            <w:tcW w:type="dxa" w:w="430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Tela ao vivo no navegador, toque e teclado remotos, comandos de ciclo de vida, consentimento no aparelho</w:t>
            </w:r>
          </w:p>
        </w:tc>
      </w:tr>
      <w:tr>
        <w:trPr>
          <w:cantSplit/>
        </w:trPr>
        <w:tc>
          <w:tcPr>
            <w:tcW w:type="dxa" w:w="192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Localização</w:t>
            </w:r>
          </w:p>
        </w:tc>
        <w:tc>
          <w:tcPr>
            <w:tcW w:type="dxa" w:w="283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Última posição</w:t>
            </w:r>
          </w:p>
        </w:tc>
        <w:tc>
          <w:tcPr>
            <w:tcW w:type="dxa" w:w="430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Mapa em tempo real, histórico com reprodução da rota, paradas e exportação CSV/KML/GPX</w:t>
            </w:r>
          </w:p>
        </w:tc>
      </w:tr>
      <w:tr>
        <w:trPr>
          <w:cantSplit/>
        </w:trPr>
        <w:tc>
          <w:tcPr>
            <w:tcW w:type="dxa" w:w="192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Filtro de conteúdo</w:t>
            </w:r>
          </w:p>
        </w:tc>
        <w:tc>
          <w:tcPr>
            <w:tcW w:type="dxa" w:w="283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Não incluso</w:t>
            </w:r>
          </w:p>
        </w:tc>
        <w:tc>
          <w:tcPr>
            <w:tcW w:type="dxa" w:w="430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Web Filter por perfil: categorias, allowlist, blocklist, página de bloqueio e painel de eventos</w:t>
            </w:r>
          </w:p>
        </w:tc>
      </w:tr>
      <w:tr>
        <w:trPr>
          <w:cantSplit/>
        </w:trPr>
        <w:tc>
          <w:tcPr>
            <w:tcW w:type="dxa" w:w="192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Modo quiosque</w:t>
            </w:r>
          </w:p>
        </w:tc>
        <w:tc>
          <w:tcPr>
            <w:tcW w:type="dxa" w:w="283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Somente em edição paga</w:t>
            </w:r>
          </w:p>
        </w:tc>
        <w:tc>
          <w:tcPr>
            <w:tcW w:type="dxa" w:w="430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Bloqueio em aplicativo único ou lista de permitidos via DPM (lock task)</w:t>
            </w:r>
          </w:p>
        </w:tc>
      </w:tr>
      <w:tr>
        <w:trPr>
          <w:cantSplit/>
        </w:trPr>
        <w:tc>
          <w:tcPr>
            <w:tcW w:type="dxa" w:w="192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Mensagens</w:t>
            </w:r>
          </w:p>
        </w:tc>
        <w:tc>
          <w:tcPr>
            <w:tcW w:type="dxa" w:w="283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Push simples</w:t>
            </w:r>
          </w:p>
        </w:tc>
        <w:tc>
          <w:tcPr>
            <w:tcW w:type="dxa" w:w="430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Mensagens ao dispositivo com histórico em formato de conversa</w:t>
            </w:r>
          </w:p>
        </w:tc>
      </w:tr>
      <w:tr>
        <w:trPr>
          <w:cantSplit/>
        </w:trPr>
        <w:tc>
          <w:tcPr>
            <w:tcW w:type="dxa" w:w="192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Permissões</w:t>
            </w:r>
          </w:p>
        </w:tc>
        <w:tc>
          <w:tcPr>
            <w:tcW w:type="dxa" w:w="283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Papéis básicos</w:t>
            </w:r>
          </w:p>
        </w:tc>
        <w:tc>
          <w:tcPr>
            <w:tcW w:type="dxa" w:w="430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Sete papéis (Admin, User, Observer, Helpdesk 1 a 3, Guest) e permissões agrupadas por área</w:t>
            </w:r>
          </w:p>
        </w:tc>
      </w:tr>
      <w:tr>
        <w:trPr>
          <w:cantSplit/>
        </w:trPr>
        <w:tc>
          <w:tcPr>
            <w:tcW w:type="dxa" w:w="192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Auditoria</w:t>
            </w:r>
          </w:p>
        </w:tc>
        <w:tc>
          <w:tcPr>
            <w:tcW w:type="dxa" w:w="283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Plugin opcional</w:t>
            </w:r>
          </w:p>
        </w:tc>
        <w:tc>
          <w:tcPr>
            <w:tcW w:type="dxa" w:w="430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Registro de acesso com usuário, IP, data e ação, incluindo sessões remotas</w:t>
            </w:r>
          </w:p>
        </w:tc>
      </w:tr>
      <w:tr>
        <w:trPr>
          <w:cantSplit/>
        </w:trPr>
        <w:tc>
          <w:tcPr>
            <w:tcW w:type="dxa" w:w="192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Identidade visual</w:t>
            </w:r>
          </w:p>
        </w:tc>
        <w:tc>
          <w:tcPr>
            <w:tcW w:type="dxa" w:w="283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Marca do fabricante</w:t>
            </w:r>
          </w:p>
        </w:tc>
        <w:tc>
          <w:tcPr>
            <w:tcW w:type="dxa" w:w="430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Marca da Prefeitura, cores e logotipo configuráveis</w:t>
            </w:r>
          </w:p>
        </w:tc>
      </w:tr>
      <w:tr>
        <w:trPr>
          <w:cantSplit/>
        </w:trPr>
        <w:tc>
          <w:tcPr>
            <w:tcW w:type="dxa" w:w="192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Cópias de segurança</w:t>
            </w:r>
          </w:p>
        </w:tc>
        <w:tc>
          <w:tcPr>
            <w:tcW w:type="dxa" w:w="283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Manual, fora do painel</w:t>
            </w:r>
          </w:p>
        </w:tc>
        <w:tc>
          <w:tcPr>
            <w:tcW w:type="dxa" w:w="430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Backup e restauração pelo painel, com pontos de retorno</w:t>
            </w:r>
          </w:p>
        </w:tc>
      </w:tr>
      <w:tr>
        <w:trPr>
          <w:cantSplit/>
        </w:trPr>
        <w:tc>
          <w:tcPr>
            <w:tcW w:type="dxa" w:w="192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sz w:val="20"/>
                <w:szCs w:val="20"/>
              </w:rPr>
              <w:t xml:space="preserve">Integridade</w:t>
            </w:r>
          </w:p>
        </w:tc>
        <w:tc>
          <w:tcPr>
            <w:tcW w:type="dxa" w:w="283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sz w:val="20"/>
                <w:szCs w:val="20"/>
              </w:rPr>
              <w:t xml:space="preserve">Verificação de assinatura do APK sem efeito em APKs modernos</w:t>
            </w:r>
          </w:p>
        </w:tc>
        <w:tc>
          <w:tcPr>
            <w:tcW w:type="dxa" w:w="430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sz w:val="20"/>
                <w:szCs w:val="20"/>
              </w:rPr>
              <w:t xml:space="preserve">Verificação por SHA-256 do APK efetivamente baixado; políticas do Web Filter assinadas pelo servidor</w:t>
            </w:r>
          </w:p>
        </w:tc>
      </w:tr>
    </w:tbl>
    <w:p>
      <w:pPr>
        <w:spacing w:after="240" w:before="60" w:line="240"/>
        <w:jc w:val="center"/>
      </w:pPr>
      <w:r>
        <w:rPr>
          <w:rFonts w:ascii="Arial" w:cs="Arial" w:eastAsia="Arial" w:hAnsi="Arial"/>
          <w:b/>
          <w:bCs/>
          <w:sz w:val="20"/>
          <w:szCs w:val="20"/>
        </w:rPr>
        <w:t xml:space="preserve">Fonte: </w:t>
      </w:r>
      <w:r>
        <w:rPr>
          <w:rFonts w:ascii="Arial" w:cs="Arial" w:eastAsia="Arial" w:hAnsi="Arial"/>
          <w:sz w:val="20"/>
          <w:szCs w:val="20"/>
        </w:rPr>
        <w:t xml:space="preserve">Elaborado pelo autor (2026).</w:t>
      </w:r>
    </w:p>
    <w:p>
      <w:pPr>
        <w:pStyle w:val="Heading3"/>
      </w:pPr>
      <w:bookmarkStart w:name="_Toc9" w:id="9"/>
      <w:r>
        <w:rPr>
          <w:rFonts w:ascii="Arial" w:cs="Arial" w:eastAsia="Arial" w:hAnsi="Arial"/>
          <w:sz w:val="24"/>
          <w:szCs w:val="24"/>
        </w:rPr>
        <w:t xml:space="preserve">4.2.1 Painel e inventário</w:t>
      </w:r>
      <w:bookmarkEnd w:id="9"/>
    </w:p>
    <w:p>
      <w:pPr>
        <w:spacing w:after="0" w:before="0" w:line="360"/>
        <w:ind w:firstLine="709"/>
        <w:jc w:val="both"/>
      </w:pPr>
      <w:r>
        <w:rPr>
          <w:rFonts w:ascii="Arial" w:cs="Arial" w:eastAsia="Arial" w:hAnsi="Arial"/>
          <w:sz w:val="24"/>
          <w:szCs w:val="24"/>
        </w:rPr>
        <w:t xml:space="preserve">O painel inicial reúne, em uma tela, o total de dispositivos inscritos, ativos e sem comunicação, as últimas localizações no mapa e os alertas operacionais (Figura 2). A tela de dispositivos mostra, por aparelho, status de conexão, modelo, versão do launcher e do Android, nível de bateria, perfil e data de inscrição, e destaca os aparelhos sem contato há mais de sete dias (Figura 3).</w:t>
      </w:r>
    </w:p>
    <w:p>
      <w:pPr>
        <w:pStyle w:val="Caption"/>
        <w:keepNext/>
        <w:spacing w:after="60" w:before="240" w:line="240"/>
        <w:jc w:val="center"/>
      </w:pPr>
      <w:r>
        <w:rPr>
          <w:rFonts w:ascii="Arial" w:cs="Arial" w:eastAsia="Arial" w:hAnsi="Arial"/>
          <w:b/>
          <w:bCs/>
          <w:sz w:val="20"/>
          <w:szCs w:val="20"/>
        </w:rPr>
        <w:t xml:space="preserve">Figura </w:t>
      </w:r>
      <w:r>
        <w:rPr>
          <w:rFonts w:ascii="Arial" w:cs="Arial" w:eastAsia="Arial" w:hAnsi="Arial"/>
          <w:b/>
          <w:bCs/>
          <w:sz w:val="20"/>
          <w:szCs w:val="20"/>
        </w:rPr>
        <w:fldChar w:fldCharType="begin"/>
      </w:r>
      <w:r>
        <w:rPr>
          <w:rFonts w:ascii="Arial" w:cs="Arial" w:eastAsia="Arial" w:hAnsi="Arial"/>
          <w:b/>
          <w:bCs/>
          <w:sz w:val="20"/>
          <w:szCs w:val="20"/>
        </w:rPr>
        <w:instrText xml:space="preserve"> SEQ Figura \* ARABIC </w:instrText>
      </w:r>
      <w:r>
        <w:rPr>
          <w:rFonts w:ascii="Arial" w:cs="Arial" w:eastAsia="Arial" w:hAnsi="Arial"/>
          <w:b/>
          <w:bCs/>
          <w:sz w:val="20"/>
          <w:szCs w:val="20"/>
        </w:rPr>
        <w:fldChar w:fldCharType="separate"/>
      </w:r>
      <w:r>
        <w:rPr>
          <w:rFonts w:ascii="Arial" w:cs="Arial" w:eastAsia="Arial" w:hAnsi="Arial"/>
          <w:b/>
          <w:bCs/>
          <w:sz w:val="20"/>
          <w:szCs w:val="20"/>
        </w:rPr>
        <w:t>2</w:t>
      </w:r>
      <w:r>
        <w:rPr>
          <w:rFonts w:ascii="Arial" w:cs="Arial" w:eastAsia="Arial" w:hAnsi="Arial"/>
          <w:b/>
          <w:bCs/>
          <w:sz w:val="20"/>
          <w:szCs w:val="20"/>
        </w:rPr>
        <w:fldChar w:fldCharType="end"/>
      </w:r>
      <w:r>
        <w:rPr>
          <w:rFonts w:ascii="Arial" w:cs="Arial" w:eastAsia="Arial" w:hAnsi="Arial"/>
          <w:b/>
          <w:bCs/>
          <w:sz w:val="20"/>
          <w:szCs w:val="20"/>
        </w:rPr>
        <w:t xml:space="preserve"> – </w:t>
      </w:r>
      <w:r>
        <w:rPr>
          <w:rFonts w:ascii="Arial" w:cs="Arial" w:eastAsia="Arial" w:hAnsi="Arial"/>
          <w:sz w:val="20"/>
          <w:szCs w:val="20"/>
        </w:rPr>
        <w:t xml:space="preserve">Painel inicial do HWMDM</w:t>
      </w:r>
    </w:p>
    <w:p>
      <w:pPr>
        <w:keepNext/>
        <w:spacing w:line="240"/>
        <w:jc w:val="center"/>
      </w:pPr>
      <w:r>
        <w:drawing>
          <wp:inline distT="0" distB="0" distL="0" distR="0">
            <wp:extent cx="5762625" cy="3600450"/>
            <wp:effectExtent t="0" r="0" b="0" l="0"/>
            <wp:docPr id="2" name="painel.png" descr="Painel inicial do HWMDM" title="Painel inicial do HWM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600450"/>
                    </a:xfrm>
                    <a:prstGeom prst="rect">
                      <a:avLst/>
                    </a:prstGeom>
                  </pic:spPr>
                </pic:pic>
              </a:graphicData>
            </a:graphic>
          </wp:inline>
        </w:drawing>
      </w:r>
    </w:p>
    <w:p>
      <w:pPr>
        <w:spacing w:after="240" w:before="60" w:line="240"/>
        <w:jc w:val="center"/>
      </w:pPr>
      <w:r>
        <w:rPr>
          <w:rFonts w:ascii="Arial" w:cs="Arial" w:eastAsia="Arial" w:hAnsi="Arial"/>
          <w:b/>
          <w:bCs/>
          <w:sz w:val="20"/>
          <w:szCs w:val="20"/>
        </w:rPr>
        <w:t xml:space="preserve">Fonte: </w:t>
      </w:r>
      <w:r>
        <w:rPr>
          <w:rFonts w:ascii="Arial" w:cs="Arial" w:eastAsia="Arial" w:hAnsi="Arial"/>
          <w:sz w:val="20"/>
          <w:szCs w:val="20"/>
        </w:rPr>
        <w:t xml:space="preserve">Captura de tela do HWMDM (2026).</w:t>
      </w:r>
    </w:p>
    <w:p>
      <w:pPr>
        <w:pStyle w:val="Caption"/>
        <w:keepNext/>
        <w:spacing w:after="60" w:before="240" w:line="240"/>
        <w:jc w:val="center"/>
      </w:pPr>
      <w:r>
        <w:rPr>
          <w:rFonts w:ascii="Arial" w:cs="Arial" w:eastAsia="Arial" w:hAnsi="Arial"/>
          <w:b/>
          <w:bCs/>
          <w:sz w:val="20"/>
          <w:szCs w:val="20"/>
        </w:rPr>
        <w:t xml:space="preserve">Figura </w:t>
      </w:r>
      <w:r>
        <w:rPr>
          <w:rFonts w:ascii="Arial" w:cs="Arial" w:eastAsia="Arial" w:hAnsi="Arial"/>
          <w:b/>
          <w:bCs/>
          <w:sz w:val="20"/>
          <w:szCs w:val="20"/>
        </w:rPr>
        <w:fldChar w:fldCharType="begin"/>
      </w:r>
      <w:r>
        <w:rPr>
          <w:rFonts w:ascii="Arial" w:cs="Arial" w:eastAsia="Arial" w:hAnsi="Arial"/>
          <w:b/>
          <w:bCs/>
          <w:sz w:val="20"/>
          <w:szCs w:val="20"/>
        </w:rPr>
        <w:instrText xml:space="preserve"> SEQ Figura \* ARABIC </w:instrText>
      </w:r>
      <w:r>
        <w:rPr>
          <w:rFonts w:ascii="Arial" w:cs="Arial" w:eastAsia="Arial" w:hAnsi="Arial"/>
          <w:b/>
          <w:bCs/>
          <w:sz w:val="20"/>
          <w:szCs w:val="20"/>
        </w:rPr>
        <w:fldChar w:fldCharType="separate"/>
      </w:r>
      <w:r>
        <w:rPr>
          <w:rFonts w:ascii="Arial" w:cs="Arial" w:eastAsia="Arial" w:hAnsi="Arial"/>
          <w:b/>
          <w:bCs/>
          <w:sz w:val="20"/>
          <w:szCs w:val="20"/>
        </w:rPr>
        <w:t>3</w:t>
      </w:r>
      <w:r>
        <w:rPr>
          <w:rFonts w:ascii="Arial" w:cs="Arial" w:eastAsia="Arial" w:hAnsi="Arial"/>
          <w:b/>
          <w:bCs/>
          <w:sz w:val="20"/>
          <w:szCs w:val="20"/>
        </w:rPr>
        <w:fldChar w:fldCharType="end"/>
      </w:r>
      <w:r>
        <w:rPr>
          <w:rFonts w:ascii="Arial" w:cs="Arial" w:eastAsia="Arial" w:hAnsi="Arial"/>
          <w:b/>
          <w:bCs/>
          <w:sz w:val="20"/>
          <w:szCs w:val="20"/>
        </w:rPr>
        <w:t xml:space="preserve"> – </w:t>
      </w:r>
      <w:r>
        <w:rPr>
          <w:rFonts w:ascii="Arial" w:cs="Arial" w:eastAsia="Arial" w:hAnsi="Arial"/>
          <w:sz w:val="20"/>
          <w:szCs w:val="20"/>
        </w:rPr>
        <w:t xml:space="preserve">Inventário de dispositivos</w:t>
      </w:r>
    </w:p>
    <w:p>
      <w:pPr>
        <w:keepNext/>
        <w:spacing w:line="240"/>
        <w:jc w:val="center"/>
      </w:pPr>
      <w:r>
        <w:drawing>
          <wp:inline distT="0" distB="0" distL="0" distR="0">
            <wp:extent cx="5762625" cy="3600450"/>
            <wp:effectExtent t="0" r="0" b="0" l="0"/>
            <wp:docPr id="3" name="dispositivos.png" descr="Inventário de dispositivos" title="Inventário de disposi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600450"/>
                    </a:xfrm>
                    <a:prstGeom prst="rect">
                      <a:avLst/>
                    </a:prstGeom>
                  </pic:spPr>
                </pic:pic>
              </a:graphicData>
            </a:graphic>
          </wp:inline>
        </w:drawing>
      </w:r>
    </w:p>
    <w:p>
      <w:pPr>
        <w:spacing w:after="240" w:before="60" w:line="240"/>
        <w:jc w:val="center"/>
      </w:pPr>
      <w:r>
        <w:rPr>
          <w:rFonts w:ascii="Arial" w:cs="Arial" w:eastAsia="Arial" w:hAnsi="Arial"/>
          <w:b/>
          <w:bCs/>
          <w:sz w:val="20"/>
          <w:szCs w:val="20"/>
        </w:rPr>
        <w:t xml:space="preserve">Fonte: </w:t>
      </w:r>
      <w:r>
        <w:rPr>
          <w:rFonts w:ascii="Arial" w:cs="Arial" w:eastAsia="Arial" w:hAnsi="Arial"/>
          <w:sz w:val="20"/>
          <w:szCs w:val="20"/>
        </w:rPr>
        <w:t xml:space="preserve">Captura de tela do HWMDM (2026). IMEIs ocultados.</w:t>
      </w:r>
    </w:p>
    <w:p>
      <w:pPr>
        <w:pStyle w:val="Heading3"/>
      </w:pPr>
      <w:bookmarkStart w:name="_Toc10" w:id="10"/>
      <w:r>
        <w:rPr>
          <w:rFonts w:ascii="Arial" w:cs="Arial" w:eastAsia="Arial" w:hAnsi="Arial"/>
          <w:sz w:val="24"/>
          <w:szCs w:val="24"/>
        </w:rPr>
        <w:t xml:space="preserve">4.2.2 Acesso remoto</w:t>
      </w:r>
      <w:bookmarkEnd w:id="10"/>
    </w:p>
    <w:p>
      <w:pPr>
        <w:spacing w:after="0" w:before="0" w:line="360"/>
        <w:ind w:firstLine="709"/>
        <w:jc w:val="both"/>
      </w:pPr>
      <w:r>
        <w:rPr>
          <w:rFonts w:ascii="Arial" w:cs="Arial" w:eastAsia="Arial" w:hAnsi="Arial"/>
          <w:sz w:val="24"/>
          <w:szCs w:val="24"/>
        </w:rPr>
        <w:t xml:space="preserve">O módulo de acesso remoto, inexistente na edição original, permite ao técnico ver a tela do tablet no navegador e operá-lo a distância. O agente Android captura a tela, codifica o vídeo em H.264 e o transmite por WebSocket; o navegador o decodifica com Media Source Extensions, sem plug-in. Em Android 14, cada sessão exige o consentimento do usuário no aparelho, o que preserva a privacidade. Os comandos (bloquear, reiniciar, atualizar configuração, abrir ou desinstalar aplicativo, exibir mensagem) funcionam mesmo sem a transmissão de tela (Figura 4).</w:t>
      </w:r>
    </w:p>
    <w:p>
      <w:pPr>
        <w:pStyle w:val="Caption"/>
        <w:keepNext/>
        <w:spacing w:after="60" w:before="240" w:line="240"/>
        <w:jc w:val="center"/>
      </w:pPr>
      <w:r>
        <w:rPr>
          <w:rFonts w:ascii="Arial" w:cs="Arial" w:eastAsia="Arial" w:hAnsi="Arial"/>
          <w:b/>
          <w:bCs/>
          <w:sz w:val="20"/>
          <w:szCs w:val="20"/>
        </w:rPr>
        <w:t xml:space="preserve">Figura </w:t>
      </w:r>
      <w:r>
        <w:rPr>
          <w:rFonts w:ascii="Arial" w:cs="Arial" w:eastAsia="Arial" w:hAnsi="Arial"/>
          <w:b/>
          <w:bCs/>
          <w:sz w:val="20"/>
          <w:szCs w:val="20"/>
        </w:rPr>
        <w:fldChar w:fldCharType="begin"/>
      </w:r>
      <w:r>
        <w:rPr>
          <w:rFonts w:ascii="Arial" w:cs="Arial" w:eastAsia="Arial" w:hAnsi="Arial"/>
          <w:b/>
          <w:bCs/>
          <w:sz w:val="20"/>
          <w:szCs w:val="20"/>
        </w:rPr>
        <w:instrText xml:space="preserve"> SEQ Figura \* ARABIC </w:instrText>
      </w:r>
      <w:r>
        <w:rPr>
          <w:rFonts w:ascii="Arial" w:cs="Arial" w:eastAsia="Arial" w:hAnsi="Arial"/>
          <w:b/>
          <w:bCs/>
          <w:sz w:val="20"/>
          <w:szCs w:val="20"/>
        </w:rPr>
        <w:fldChar w:fldCharType="separate"/>
      </w:r>
      <w:r>
        <w:rPr>
          <w:rFonts w:ascii="Arial" w:cs="Arial" w:eastAsia="Arial" w:hAnsi="Arial"/>
          <w:b/>
          <w:bCs/>
          <w:sz w:val="20"/>
          <w:szCs w:val="20"/>
        </w:rPr>
        <w:t>4</w:t>
      </w:r>
      <w:r>
        <w:rPr>
          <w:rFonts w:ascii="Arial" w:cs="Arial" w:eastAsia="Arial" w:hAnsi="Arial"/>
          <w:b/>
          <w:bCs/>
          <w:sz w:val="20"/>
          <w:szCs w:val="20"/>
        </w:rPr>
        <w:fldChar w:fldCharType="end"/>
      </w:r>
      <w:r>
        <w:rPr>
          <w:rFonts w:ascii="Arial" w:cs="Arial" w:eastAsia="Arial" w:hAnsi="Arial"/>
          <w:b/>
          <w:bCs/>
          <w:sz w:val="20"/>
          <w:szCs w:val="20"/>
        </w:rPr>
        <w:t xml:space="preserve"> – </w:t>
      </w:r>
      <w:r>
        <w:rPr>
          <w:rFonts w:ascii="Arial" w:cs="Arial" w:eastAsia="Arial" w:hAnsi="Arial"/>
          <w:sz w:val="20"/>
          <w:szCs w:val="20"/>
        </w:rPr>
        <w:t xml:space="preserve">Acesso remoto: lista de dispositivos, área da tela e ações</w:t>
      </w:r>
    </w:p>
    <w:p>
      <w:pPr>
        <w:keepNext/>
        <w:spacing w:line="240"/>
        <w:jc w:val="center"/>
      </w:pPr>
      <w:r>
        <w:drawing>
          <wp:inline distT="0" distB="0" distL="0" distR="0">
            <wp:extent cx="5762625" cy="3676650"/>
            <wp:effectExtent t="0" r="0" b="0" l="0"/>
            <wp:docPr id="4" name="remoto.png" descr="Acesso remoto: lista de dispositivos, área da tela e ações" title="Acesso remoto: lista de dispositivos, área da tela e a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676650"/>
                    </a:xfrm>
                    <a:prstGeom prst="rect">
                      <a:avLst/>
                    </a:prstGeom>
                  </pic:spPr>
                </pic:pic>
              </a:graphicData>
            </a:graphic>
          </wp:inline>
        </w:drawing>
      </w:r>
    </w:p>
    <w:p>
      <w:pPr>
        <w:spacing w:after="240" w:before="60" w:line="240"/>
        <w:jc w:val="center"/>
      </w:pPr>
      <w:r>
        <w:rPr>
          <w:rFonts w:ascii="Arial" w:cs="Arial" w:eastAsia="Arial" w:hAnsi="Arial"/>
          <w:b/>
          <w:bCs/>
          <w:sz w:val="20"/>
          <w:szCs w:val="20"/>
        </w:rPr>
        <w:t xml:space="preserve">Fonte: </w:t>
      </w:r>
      <w:r>
        <w:rPr>
          <w:rFonts w:ascii="Arial" w:cs="Arial" w:eastAsia="Arial" w:hAnsi="Arial"/>
          <w:sz w:val="20"/>
          <w:szCs w:val="20"/>
        </w:rPr>
        <w:t xml:space="preserve">Captura de tela do HWMDM (2026).</w:t>
      </w:r>
    </w:p>
    <w:p>
      <w:pPr>
        <w:pStyle w:val="Heading3"/>
      </w:pPr>
      <w:bookmarkStart w:name="_Toc11" w:id="11"/>
      <w:r>
        <w:rPr>
          <w:rFonts w:ascii="Arial" w:cs="Arial" w:eastAsia="Arial" w:hAnsi="Arial"/>
          <w:sz w:val="24"/>
          <w:szCs w:val="24"/>
        </w:rPr>
        <w:t xml:space="preserve">4.2.3 Localização</w:t>
      </w:r>
      <w:bookmarkEnd w:id="11"/>
    </w:p>
    <w:p>
      <w:pPr>
        <w:spacing w:after="0" w:before="0" w:line="360"/>
        <w:ind w:firstLine="709"/>
        <w:jc w:val="both"/>
      </w:pPr>
      <w:r>
        <w:rPr>
          <w:rFonts w:ascii="Arial" w:cs="Arial" w:eastAsia="Arial" w:hAnsi="Arial"/>
          <w:sz w:val="24"/>
          <w:szCs w:val="24"/>
        </w:rPr>
        <w:t xml:space="preserve">O mapa de localização, baseado em OpenStreetMap, exibe cada dispositivo com status, coordenadas, IP e horário da última atualização, com atualização automática a cada 30 segundos (Figura 5). O histórico armazena as posições em banco, permite reproduzir o trajeto, identifica paradas e exporta os dados em CSV, KML e GPX.</w:t>
      </w:r>
    </w:p>
    <w:p>
      <w:pPr>
        <w:pStyle w:val="Caption"/>
        <w:keepNext/>
        <w:spacing w:after="60" w:before="240" w:line="240"/>
        <w:jc w:val="center"/>
      </w:pPr>
      <w:r>
        <w:rPr>
          <w:rFonts w:ascii="Arial" w:cs="Arial" w:eastAsia="Arial" w:hAnsi="Arial"/>
          <w:b/>
          <w:bCs/>
          <w:sz w:val="20"/>
          <w:szCs w:val="20"/>
        </w:rPr>
        <w:t xml:space="preserve">Figura </w:t>
      </w:r>
      <w:r>
        <w:rPr>
          <w:rFonts w:ascii="Arial" w:cs="Arial" w:eastAsia="Arial" w:hAnsi="Arial"/>
          <w:b/>
          <w:bCs/>
          <w:sz w:val="20"/>
          <w:szCs w:val="20"/>
        </w:rPr>
        <w:fldChar w:fldCharType="begin"/>
      </w:r>
      <w:r>
        <w:rPr>
          <w:rFonts w:ascii="Arial" w:cs="Arial" w:eastAsia="Arial" w:hAnsi="Arial"/>
          <w:b/>
          <w:bCs/>
          <w:sz w:val="20"/>
          <w:szCs w:val="20"/>
        </w:rPr>
        <w:instrText xml:space="preserve"> SEQ Figura \* ARABIC </w:instrText>
      </w:r>
      <w:r>
        <w:rPr>
          <w:rFonts w:ascii="Arial" w:cs="Arial" w:eastAsia="Arial" w:hAnsi="Arial"/>
          <w:b/>
          <w:bCs/>
          <w:sz w:val="20"/>
          <w:szCs w:val="20"/>
        </w:rPr>
        <w:fldChar w:fldCharType="separate"/>
      </w:r>
      <w:r>
        <w:rPr>
          <w:rFonts w:ascii="Arial" w:cs="Arial" w:eastAsia="Arial" w:hAnsi="Arial"/>
          <w:b/>
          <w:bCs/>
          <w:sz w:val="20"/>
          <w:szCs w:val="20"/>
        </w:rPr>
        <w:t>5</w:t>
      </w:r>
      <w:r>
        <w:rPr>
          <w:rFonts w:ascii="Arial" w:cs="Arial" w:eastAsia="Arial" w:hAnsi="Arial"/>
          <w:b/>
          <w:bCs/>
          <w:sz w:val="20"/>
          <w:szCs w:val="20"/>
        </w:rPr>
        <w:fldChar w:fldCharType="end"/>
      </w:r>
      <w:r>
        <w:rPr>
          <w:rFonts w:ascii="Arial" w:cs="Arial" w:eastAsia="Arial" w:hAnsi="Arial"/>
          <w:b/>
          <w:bCs/>
          <w:sz w:val="20"/>
          <w:szCs w:val="20"/>
        </w:rPr>
        <w:t xml:space="preserve"> – </w:t>
      </w:r>
      <w:r>
        <w:rPr>
          <w:rFonts w:ascii="Arial" w:cs="Arial" w:eastAsia="Arial" w:hAnsi="Arial"/>
          <w:sz w:val="20"/>
          <w:szCs w:val="20"/>
        </w:rPr>
        <w:t xml:space="preserve">Mapa de localização com detalhe do dispositivo</w:t>
      </w:r>
    </w:p>
    <w:p>
      <w:pPr>
        <w:keepNext/>
        <w:spacing w:line="240"/>
        <w:jc w:val="center"/>
      </w:pPr>
      <w:r>
        <w:drawing>
          <wp:inline distT="0" distB="0" distL="0" distR="0">
            <wp:extent cx="5762625" cy="3781425"/>
            <wp:effectExtent t="0" r="0" b="0" l="0"/>
            <wp:docPr id="5" name="mapa.png" descr="Mapa de localização com detalhe do dispositivo" title="Mapa de localização com detalhe do dispos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781425"/>
                    </a:xfrm>
                    <a:prstGeom prst="rect">
                      <a:avLst/>
                    </a:prstGeom>
                  </pic:spPr>
                </pic:pic>
              </a:graphicData>
            </a:graphic>
          </wp:inline>
        </w:drawing>
      </w:r>
    </w:p>
    <w:p>
      <w:pPr>
        <w:spacing w:after="240" w:before="60" w:line="240"/>
        <w:jc w:val="center"/>
      </w:pPr>
      <w:r>
        <w:rPr>
          <w:rFonts w:ascii="Arial" w:cs="Arial" w:eastAsia="Arial" w:hAnsi="Arial"/>
          <w:b/>
          <w:bCs/>
          <w:sz w:val="20"/>
          <w:szCs w:val="20"/>
        </w:rPr>
        <w:t xml:space="preserve">Fonte: </w:t>
      </w:r>
      <w:r>
        <w:rPr>
          <w:rFonts w:ascii="Arial" w:cs="Arial" w:eastAsia="Arial" w:hAnsi="Arial"/>
          <w:sz w:val="20"/>
          <w:szCs w:val="20"/>
        </w:rPr>
        <w:t xml:space="preserve">Captura de tela do HWMDM (2026).</w:t>
      </w:r>
    </w:p>
    <w:p>
      <w:pPr>
        <w:pStyle w:val="Heading3"/>
      </w:pPr>
      <w:bookmarkStart w:name="_Toc12" w:id="12"/>
      <w:r>
        <w:rPr>
          <w:rFonts w:ascii="Arial" w:cs="Arial" w:eastAsia="Arial" w:hAnsi="Arial"/>
          <w:sz w:val="24"/>
          <w:szCs w:val="24"/>
        </w:rPr>
        <w:t xml:space="preserve">4.2.4 Web Filter</w:t>
      </w:r>
      <w:bookmarkEnd w:id="12"/>
    </w:p>
    <w:p>
      <w:pPr>
        <w:spacing w:after="0" w:before="0" w:line="360"/>
        <w:ind w:firstLine="709"/>
        <w:jc w:val="both"/>
      </w:pPr>
      <w:r>
        <w:rPr>
          <w:rFonts w:ascii="Arial" w:cs="Arial" w:eastAsia="Arial" w:hAnsi="Arial"/>
          <w:sz w:val="24"/>
          <w:szCs w:val="24"/>
        </w:rPr>
        <w:t xml:space="preserve">O Web Filter bloqueia sites por categoria (redes sociais, jogos, conteúdo adulto e outras) e permite listas de sites permitidos e proibidos em cada perfil. No tablet, o bloqueio é aplicado por política gerenciada do navegador Chrome; a política é assinada pelo servidor, e o aparelho recusa política adulterada. Cada tentativa bloqueada é registrada com data, dispositivo, IP, site e categoria, com busca e paginação (Figura 6).</w:t>
      </w:r>
    </w:p>
    <w:p>
      <w:pPr>
        <w:pStyle w:val="Caption"/>
        <w:keepNext/>
        <w:spacing w:after="60" w:before="240" w:line="240"/>
        <w:jc w:val="center"/>
      </w:pPr>
      <w:r>
        <w:rPr>
          <w:rFonts w:ascii="Arial" w:cs="Arial" w:eastAsia="Arial" w:hAnsi="Arial"/>
          <w:b/>
          <w:bCs/>
          <w:sz w:val="20"/>
          <w:szCs w:val="20"/>
        </w:rPr>
        <w:t xml:space="preserve">Figura </w:t>
      </w:r>
      <w:r>
        <w:rPr>
          <w:rFonts w:ascii="Arial" w:cs="Arial" w:eastAsia="Arial" w:hAnsi="Arial"/>
          <w:b/>
          <w:bCs/>
          <w:sz w:val="20"/>
          <w:szCs w:val="20"/>
        </w:rPr>
        <w:fldChar w:fldCharType="begin"/>
      </w:r>
      <w:r>
        <w:rPr>
          <w:rFonts w:ascii="Arial" w:cs="Arial" w:eastAsia="Arial" w:hAnsi="Arial"/>
          <w:b/>
          <w:bCs/>
          <w:sz w:val="20"/>
          <w:szCs w:val="20"/>
        </w:rPr>
        <w:instrText xml:space="preserve"> SEQ Figura \* ARABIC </w:instrText>
      </w:r>
      <w:r>
        <w:rPr>
          <w:rFonts w:ascii="Arial" w:cs="Arial" w:eastAsia="Arial" w:hAnsi="Arial"/>
          <w:b/>
          <w:bCs/>
          <w:sz w:val="20"/>
          <w:szCs w:val="20"/>
        </w:rPr>
        <w:fldChar w:fldCharType="separate"/>
      </w:r>
      <w:r>
        <w:rPr>
          <w:rFonts w:ascii="Arial" w:cs="Arial" w:eastAsia="Arial" w:hAnsi="Arial"/>
          <w:b/>
          <w:bCs/>
          <w:sz w:val="20"/>
          <w:szCs w:val="20"/>
        </w:rPr>
        <w:t>6</w:t>
      </w:r>
      <w:r>
        <w:rPr>
          <w:rFonts w:ascii="Arial" w:cs="Arial" w:eastAsia="Arial" w:hAnsi="Arial"/>
          <w:b/>
          <w:bCs/>
          <w:sz w:val="20"/>
          <w:szCs w:val="20"/>
        </w:rPr>
        <w:fldChar w:fldCharType="end"/>
      </w:r>
      <w:r>
        <w:rPr>
          <w:rFonts w:ascii="Arial" w:cs="Arial" w:eastAsia="Arial" w:hAnsi="Arial"/>
          <w:b/>
          <w:bCs/>
          <w:sz w:val="20"/>
          <w:szCs w:val="20"/>
        </w:rPr>
        <w:t xml:space="preserve"> – </w:t>
      </w:r>
      <w:r>
        <w:rPr>
          <w:rFonts w:ascii="Arial" w:cs="Arial" w:eastAsia="Arial" w:hAnsi="Arial"/>
          <w:sz w:val="20"/>
          <w:szCs w:val="20"/>
        </w:rPr>
        <w:t xml:space="preserve">Web Filter: entrega de políticas e tráfego bloqueado</w:t>
      </w:r>
    </w:p>
    <w:p>
      <w:pPr>
        <w:keepNext/>
        <w:spacing w:line="240"/>
        <w:jc w:val="center"/>
      </w:pPr>
      <w:r>
        <w:drawing>
          <wp:inline distT="0" distB="0" distL="0" distR="0">
            <wp:extent cx="5762625" cy="3819525"/>
            <wp:effectExtent t="0" r="0" b="0" l="0"/>
            <wp:docPr id="6" name="webfilter.png" descr="Web Filter: entrega de políticas e tráfego bloqueado" title="Web Filter: entrega de políticas e tráfego bloqu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819525"/>
                    </a:xfrm>
                    <a:prstGeom prst="rect">
                      <a:avLst/>
                    </a:prstGeom>
                  </pic:spPr>
                </pic:pic>
              </a:graphicData>
            </a:graphic>
          </wp:inline>
        </w:drawing>
      </w:r>
    </w:p>
    <w:p>
      <w:pPr>
        <w:spacing w:after="240" w:before="60" w:line="240"/>
        <w:jc w:val="center"/>
      </w:pPr>
      <w:r>
        <w:rPr>
          <w:rFonts w:ascii="Arial" w:cs="Arial" w:eastAsia="Arial" w:hAnsi="Arial"/>
          <w:b/>
          <w:bCs/>
          <w:sz w:val="20"/>
          <w:szCs w:val="20"/>
        </w:rPr>
        <w:t xml:space="preserve">Fonte: </w:t>
      </w:r>
      <w:r>
        <w:rPr>
          <w:rFonts w:ascii="Arial" w:cs="Arial" w:eastAsia="Arial" w:hAnsi="Arial"/>
          <w:sz w:val="20"/>
          <w:szCs w:val="20"/>
        </w:rPr>
        <w:t xml:space="preserve">Captura de tela do HWMDM (2026).</w:t>
      </w:r>
    </w:p>
    <w:p>
      <w:pPr>
        <w:pStyle w:val="Heading3"/>
      </w:pPr>
      <w:bookmarkStart w:name="_Toc13" w:id="13"/>
      <w:r>
        <w:rPr>
          <w:rFonts w:ascii="Arial" w:cs="Arial" w:eastAsia="Arial" w:hAnsi="Arial"/>
          <w:sz w:val="24"/>
          <w:szCs w:val="24"/>
        </w:rPr>
        <w:t xml:space="preserve">4.2.5 Modo quiosque e perfis</w:t>
      </w:r>
      <w:bookmarkEnd w:id="13"/>
    </w:p>
    <w:p>
      <w:pPr>
        <w:spacing w:after="0" w:before="0" w:line="360"/>
        <w:ind w:firstLine="709"/>
        <w:jc w:val="both"/>
      </w:pPr>
      <w:r>
        <w:rPr>
          <w:rFonts w:ascii="Arial" w:cs="Arial" w:eastAsia="Arial" w:hAnsi="Arial"/>
          <w:sz w:val="24"/>
          <w:szCs w:val="24"/>
        </w:rPr>
        <w:t xml:space="preserve">O modo quiosque restringe o tablet a um aplicativo ou a uma lista de aplicativos permitidos, oculta a barra de status, os botões de início e de recentes e impede a saída do modo pelo usuário (Figura 7). Os perfis de dispositivo agrupam essas regras, os aplicativos e as configurações de rede, e geram o código QR usado na matrícula (Figura 8): basta ler o código em um aparelho restaurado para que ele seja configurado sem intervenção manual.</w:t>
      </w:r>
    </w:p>
    <w:p>
      <w:pPr>
        <w:pStyle w:val="Caption"/>
        <w:keepNext/>
        <w:spacing w:after="60" w:before="240" w:line="240"/>
        <w:jc w:val="center"/>
      </w:pPr>
      <w:r>
        <w:rPr>
          <w:rFonts w:ascii="Arial" w:cs="Arial" w:eastAsia="Arial" w:hAnsi="Arial"/>
          <w:b/>
          <w:bCs/>
          <w:sz w:val="20"/>
          <w:szCs w:val="20"/>
        </w:rPr>
        <w:t xml:space="preserve">Figura </w:t>
      </w:r>
      <w:r>
        <w:rPr>
          <w:rFonts w:ascii="Arial" w:cs="Arial" w:eastAsia="Arial" w:hAnsi="Arial"/>
          <w:b/>
          <w:bCs/>
          <w:sz w:val="20"/>
          <w:szCs w:val="20"/>
        </w:rPr>
        <w:fldChar w:fldCharType="begin"/>
      </w:r>
      <w:r>
        <w:rPr>
          <w:rFonts w:ascii="Arial" w:cs="Arial" w:eastAsia="Arial" w:hAnsi="Arial"/>
          <w:b/>
          <w:bCs/>
          <w:sz w:val="20"/>
          <w:szCs w:val="20"/>
        </w:rPr>
        <w:instrText xml:space="preserve"> SEQ Figura \* ARABIC </w:instrText>
      </w:r>
      <w:r>
        <w:rPr>
          <w:rFonts w:ascii="Arial" w:cs="Arial" w:eastAsia="Arial" w:hAnsi="Arial"/>
          <w:b/>
          <w:bCs/>
          <w:sz w:val="20"/>
          <w:szCs w:val="20"/>
        </w:rPr>
        <w:fldChar w:fldCharType="separate"/>
      </w:r>
      <w:r>
        <w:rPr>
          <w:rFonts w:ascii="Arial" w:cs="Arial" w:eastAsia="Arial" w:hAnsi="Arial"/>
          <w:b/>
          <w:bCs/>
          <w:sz w:val="20"/>
          <w:szCs w:val="20"/>
        </w:rPr>
        <w:t>7</w:t>
      </w:r>
      <w:r>
        <w:rPr>
          <w:rFonts w:ascii="Arial" w:cs="Arial" w:eastAsia="Arial" w:hAnsi="Arial"/>
          <w:b/>
          <w:bCs/>
          <w:sz w:val="20"/>
          <w:szCs w:val="20"/>
        </w:rPr>
        <w:fldChar w:fldCharType="end"/>
      </w:r>
      <w:r>
        <w:rPr>
          <w:rFonts w:ascii="Arial" w:cs="Arial" w:eastAsia="Arial" w:hAnsi="Arial"/>
          <w:b/>
          <w:bCs/>
          <w:sz w:val="20"/>
          <w:szCs w:val="20"/>
        </w:rPr>
        <w:t xml:space="preserve"> – </w:t>
      </w:r>
      <w:r>
        <w:rPr>
          <w:rFonts w:ascii="Arial" w:cs="Arial" w:eastAsia="Arial" w:hAnsi="Arial"/>
          <w:sz w:val="20"/>
          <w:szCs w:val="20"/>
        </w:rPr>
        <w:t xml:space="preserve">Configuração do modo quiosque</w:t>
      </w:r>
    </w:p>
    <w:p>
      <w:pPr>
        <w:keepNext/>
        <w:spacing w:line="240"/>
        <w:jc w:val="center"/>
      </w:pPr>
      <w:r>
        <w:drawing>
          <wp:inline distT="0" distB="0" distL="0" distR="0">
            <wp:extent cx="5762625" cy="2228850"/>
            <wp:effectExtent t="0" r="0" b="0" l="0"/>
            <wp:docPr id="7" name="quiosque.png" descr="Configuração do modo quiosque" title="Configuração do modo quios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228850"/>
                    </a:xfrm>
                    <a:prstGeom prst="rect">
                      <a:avLst/>
                    </a:prstGeom>
                  </pic:spPr>
                </pic:pic>
              </a:graphicData>
            </a:graphic>
          </wp:inline>
        </w:drawing>
      </w:r>
    </w:p>
    <w:p>
      <w:pPr>
        <w:spacing w:after="240" w:before="60" w:line="240"/>
        <w:jc w:val="center"/>
      </w:pPr>
      <w:r>
        <w:rPr>
          <w:rFonts w:ascii="Arial" w:cs="Arial" w:eastAsia="Arial" w:hAnsi="Arial"/>
          <w:b/>
          <w:bCs/>
          <w:sz w:val="20"/>
          <w:szCs w:val="20"/>
        </w:rPr>
        <w:t xml:space="preserve">Fonte: </w:t>
      </w:r>
      <w:r>
        <w:rPr>
          <w:rFonts w:ascii="Arial" w:cs="Arial" w:eastAsia="Arial" w:hAnsi="Arial"/>
          <w:sz w:val="20"/>
          <w:szCs w:val="20"/>
        </w:rPr>
        <w:t xml:space="preserve">Captura de tela do HWMDM (2026).</w:t>
      </w:r>
    </w:p>
    <w:p>
      <w:pPr>
        <w:pStyle w:val="Caption"/>
        <w:keepNext/>
        <w:spacing w:after="60" w:before="240" w:line="240"/>
        <w:jc w:val="center"/>
      </w:pPr>
      <w:r>
        <w:rPr>
          <w:rFonts w:ascii="Arial" w:cs="Arial" w:eastAsia="Arial" w:hAnsi="Arial"/>
          <w:b/>
          <w:bCs/>
          <w:sz w:val="20"/>
          <w:szCs w:val="20"/>
        </w:rPr>
        <w:t xml:space="preserve">Figura </w:t>
      </w:r>
      <w:r>
        <w:rPr>
          <w:rFonts w:ascii="Arial" w:cs="Arial" w:eastAsia="Arial" w:hAnsi="Arial"/>
          <w:b/>
          <w:bCs/>
          <w:sz w:val="20"/>
          <w:szCs w:val="20"/>
        </w:rPr>
        <w:fldChar w:fldCharType="begin"/>
      </w:r>
      <w:r>
        <w:rPr>
          <w:rFonts w:ascii="Arial" w:cs="Arial" w:eastAsia="Arial" w:hAnsi="Arial"/>
          <w:b/>
          <w:bCs/>
          <w:sz w:val="20"/>
          <w:szCs w:val="20"/>
        </w:rPr>
        <w:instrText xml:space="preserve"> SEQ Figura \* ARABIC </w:instrText>
      </w:r>
      <w:r>
        <w:rPr>
          <w:rFonts w:ascii="Arial" w:cs="Arial" w:eastAsia="Arial" w:hAnsi="Arial"/>
          <w:b/>
          <w:bCs/>
          <w:sz w:val="20"/>
          <w:szCs w:val="20"/>
        </w:rPr>
        <w:fldChar w:fldCharType="separate"/>
      </w:r>
      <w:r>
        <w:rPr>
          <w:rFonts w:ascii="Arial" w:cs="Arial" w:eastAsia="Arial" w:hAnsi="Arial"/>
          <w:b/>
          <w:bCs/>
          <w:sz w:val="20"/>
          <w:szCs w:val="20"/>
        </w:rPr>
        <w:t>8</w:t>
      </w:r>
      <w:r>
        <w:rPr>
          <w:rFonts w:ascii="Arial" w:cs="Arial" w:eastAsia="Arial" w:hAnsi="Arial"/>
          <w:b/>
          <w:bCs/>
          <w:sz w:val="20"/>
          <w:szCs w:val="20"/>
        </w:rPr>
        <w:fldChar w:fldCharType="end"/>
      </w:r>
      <w:r>
        <w:rPr>
          <w:rFonts w:ascii="Arial" w:cs="Arial" w:eastAsia="Arial" w:hAnsi="Arial"/>
          <w:b/>
          <w:bCs/>
          <w:sz w:val="20"/>
          <w:szCs w:val="20"/>
        </w:rPr>
        <w:t xml:space="preserve"> – </w:t>
      </w:r>
      <w:r>
        <w:rPr>
          <w:rFonts w:ascii="Arial" w:cs="Arial" w:eastAsia="Arial" w:hAnsi="Arial"/>
          <w:sz w:val="20"/>
          <w:szCs w:val="20"/>
        </w:rPr>
        <w:t xml:space="preserve">Perfis de dispositivo com geração de código QR</w:t>
      </w:r>
    </w:p>
    <w:p>
      <w:pPr>
        <w:keepNext/>
        <w:spacing w:line="240"/>
        <w:jc w:val="center"/>
      </w:pPr>
      <w:r>
        <w:drawing>
          <wp:inline distT="0" distB="0" distL="0" distR="0">
            <wp:extent cx="5762625" cy="1733550"/>
            <wp:effectExtent t="0" r="0" b="0" l="0"/>
            <wp:docPr id="8" name="perfis.png" descr="Perfis de dispositivo com geração de código QR" title="Perfis de dispositivo com geração de código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1733550"/>
                    </a:xfrm>
                    <a:prstGeom prst="rect">
                      <a:avLst/>
                    </a:prstGeom>
                  </pic:spPr>
                </pic:pic>
              </a:graphicData>
            </a:graphic>
          </wp:inline>
        </w:drawing>
      </w:r>
    </w:p>
    <w:p>
      <w:pPr>
        <w:spacing w:after="240" w:before="60" w:line="240"/>
        <w:jc w:val="center"/>
      </w:pPr>
      <w:r>
        <w:rPr>
          <w:rFonts w:ascii="Arial" w:cs="Arial" w:eastAsia="Arial" w:hAnsi="Arial"/>
          <w:b/>
          <w:bCs/>
          <w:sz w:val="20"/>
          <w:szCs w:val="20"/>
        </w:rPr>
        <w:t xml:space="preserve">Fonte: </w:t>
      </w:r>
      <w:r>
        <w:rPr>
          <w:rFonts w:ascii="Arial" w:cs="Arial" w:eastAsia="Arial" w:hAnsi="Arial"/>
          <w:sz w:val="20"/>
          <w:szCs w:val="20"/>
        </w:rPr>
        <w:t xml:space="preserve">Captura de tela do HWMDM (2026).</w:t>
      </w:r>
    </w:p>
    <w:p>
      <w:pPr>
        <w:pStyle w:val="Heading3"/>
      </w:pPr>
      <w:bookmarkStart w:name="_Toc14" w:id="14"/>
      <w:r>
        <w:rPr>
          <w:rFonts w:ascii="Arial" w:cs="Arial" w:eastAsia="Arial" w:hAnsi="Arial"/>
          <w:sz w:val="24"/>
          <w:szCs w:val="24"/>
        </w:rPr>
        <w:t xml:space="preserve">4.2.6 Permissões e auditoria</w:t>
      </w:r>
      <w:bookmarkEnd w:id="14"/>
    </w:p>
    <w:p>
      <w:pPr>
        <w:spacing w:after="0" w:before="0" w:line="360"/>
        <w:ind w:firstLine="709"/>
        <w:jc w:val="both"/>
      </w:pPr>
      <w:r>
        <w:rPr>
          <w:rFonts w:ascii="Arial" w:cs="Arial" w:eastAsia="Arial" w:hAnsi="Arial"/>
          <w:sz w:val="24"/>
          <w:szCs w:val="24"/>
        </w:rPr>
        <w:t xml:space="preserve">O acesso ao painel segue o princípio do menor privilégio: cada usuário recebe um papel com o conjunto de permissões necessário à sua função (Figura 9). Toda ação relevante, como login, início de sessão remota, envio de comando e alteração de configuração, é registrada com usuário, IP e horário (Figura 10), o que dá rastreabilidade às operações sobre os dispositivos.</w:t>
      </w:r>
    </w:p>
    <w:p>
      <w:pPr>
        <w:pStyle w:val="Caption"/>
        <w:keepNext/>
        <w:spacing w:after="60" w:before="240" w:line="240"/>
        <w:jc w:val="center"/>
      </w:pPr>
      <w:r>
        <w:rPr>
          <w:rFonts w:ascii="Arial" w:cs="Arial" w:eastAsia="Arial" w:hAnsi="Arial"/>
          <w:b/>
          <w:bCs/>
          <w:sz w:val="20"/>
          <w:szCs w:val="20"/>
        </w:rPr>
        <w:t xml:space="preserve">Figura </w:t>
      </w:r>
      <w:r>
        <w:rPr>
          <w:rFonts w:ascii="Arial" w:cs="Arial" w:eastAsia="Arial" w:hAnsi="Arial"/>
          <w:b/>
          <w:bCs/>
          <w:sz w:val="20"/>
          <w:szCs w:val="20"/>
        </w:rPr>
        <w:fldChar w:fldCharType="begin"/>
      </w:r>
      <w:r>
        <w:rPr>
          <w:rFonts w:ascii="Arial" w:cs="Arial" w:eastAsia="Arial" w:hAnsi="Arial"/>
          <w:b/>
          <w:bCs/>
          <w:sz w:val="20"/>
          <w:szCs w:val="20"/>
        </w:rPr>
        <w:instrText xml:space="preserve"> SEQ Figura \* ARABIC </w:instrText>
      </w:r>
      <w:r>
        <w:rPr>
          <w:rFonts w:ascii="Arial" w:cs="Arial" w:eastAsia="Arial" w:hAnsi="Arial"/>
          <w:b/>
          <w:bCs/>
          <w:sz w:val="20"/>
          <w:szCs w:val="20"/>
        </w:rPr>
        <w:fldChar w:fldCharType="separate"/>
      </w:r>
      <w:r>
        <w:rPr>
          <w:rFonts w:ascii="Arial" w:cs="Arial" w:eastAsia="Arial" w:hAnsi="Arial"/>
          <w:b/>
          <w:bCs/>
          <w:sz w:val="20"/>
          <w:szCs w:val="20"/>
        </w:rPr>
        <w:t>9</w:t>
      </w:r>
      <w:r>
        <w:rPr>
          <w:rFonts w:ascii="Arial" w:cs="Arial" w:eastAsia="Arial" w:hAnsi="Arial"/>
          <w:b/>
          <w:bCs/>
          <w:sz w:val="20"/>
          <w:szCs w:val="20"/>
        </w:rPr>
        <w:fldChar w:fldCharType="end"/>
      </w:r>
      <w:r>
        <w:rPr>
          <w:rFonts w:ascii="Arial" w:cs="Arial" w:eastAsia="Arial" w:hAnsi="Arial"/>
          <w:b/>
          <w:bCs/>
          <w:sz w:val="20"/>
          <w:szCs w:val="20"/>
        </w:rPr>
        <w:t xml:space="preserve"> – </w:t>
      </w:r>
      <w:r>
        <w:rPr>
          <w:rFonts w:ascii="Arial" w:cs="Arial" w:eastAsia="Arial" w:hAnsi="Arial"/>
          <w:sz w:val="20"/>
          <w:szCs w:val="20"/>
        </w:rPr>
        <w:t xml:space="preserve">Papéis de acesso ao painel</w:t>
      </w:r>
    </w:p>
    <w:p>
      <w:pPr>
        <w:keepNext/>
        <w:spacing w:line="240"/>
        <w:jc w:val="center"/>
      </w:pPr>
      <w:r>
        <w:drawing>
          <wp:inline distT="0" distB="0" distL="0" distR="0">
            <wp:extent cx="5762625" cy="2228850"/>
            <wp:effectExtent t="0" r="0" b="0" l="0"/>
            <wp:docPr id="9" name="permissoes.png" descr="Papéis de acesso ao painel" title="Papéis de acesso ao pai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228850"/>
                    </a:xfrm>
                    <a:prstGeom prst="rect">
                      <a:avLst/>
                    </a:prstGeom>
                  </pic:spPr>
                </pic:pic>
              </a:graphicData>
            </a:graphic>
          </wp:inline>
        </w:drawing>
      </w:r>
    </w:p>
    <w:p>
      <w:pPr>
        <w:spacing w:after="240" w:before="60" w:line="240"/>
        <w:jc w:val="center"/>
      </w:pPr>
      <w:r>
        <w:rPr>
          <w:rFonts w:ascii="Arial" w:cs="Arial" w:eastAsia="Arial" w:hAnsi="Arial"/>
          <w:b/>
          <w:bCs/>
          <w:sz w:val="20"/>
          <w:szCs w:val="20"/>
        </w:rPr>
        <w:t xml:space="preserve">Fonte: </w:t>
      </w:r>
      <w:r>
        <w:rPr>
          <w:rFonts w:ascii="Arial" w:cs="Arial" w:eastAsia="Arial" w:hAnsi="Arial"/>
          <w:sz w:val="20"/>
          <w:szCs w:val="20"/>
        </w:rPr>
        <w:t xml:space="preserve">Captura de tela do HWMDM (2026).</w:t>
      </w:r>
    </w:p>
    <w:p>
      <w:pPr>
        <w:pStyle w:val="Caption"/>
        <w:keepNext/>
        <w:spacing w:after="60" w:before="240" w:line="240"/>
        <w:jc w:val="center"/>
      </w:pPr>
      <w:r>
        <w:rPr>
          <w:rFonts w:ascii="Arial" w:cs="Arial" w:eastAsia="Arial" w:hAnsi="Arial"/>
          <w:b/>
          <w:bCs/>
          <w:sz w:val="20"/>
          <w:szCs w:val="20"/>
        </w:rPr>
        <w:t xml:space="preserve">Figura </w:t>
      </w:r>
      <w:r>
        <w:rPr>
          <w:rFonts w:ascii="Arial" w:cs="Arial" w:eastAsia="Arial" w:hAnsi="Arial"/>
          <w:b/>
          <w:bCs/>
          <w:sz w:val="20"/>
          <w:szCs w:val="20"/>
        </w:rPr>
        <w:fldChar w:fldCharType="begin"/>
      </w:r>
      <w:r>
        <w:rPr>
          <w:rFonts w:ascii="Arial" w:cs="Arial" w:eastAsia="Arial" w:hAnsi="Arial"/>
          <w:b/>
          <w:bCs/>
          <w:sz w:val="20"/>
          <w:szCs w:val="20"/>
        </w:rPr>
        <w:instrText xml:space="preserve"> SEQ Figura \* ARABIC </w:instrText>
      </w:r>
      <w:r>
        <w:rPr>
          <w:rFonts w:ascii="Arial" w:cs="Arial" w:eastAsia="Arial" w:hAnsi="Arial"/>
          <w:b/>
          <w:bCs/>
          <w:sz w:val="20"/>
          <w:szCs w:val="20"/>
        </w:rPr>
        <w:fldChar w:fldCharType="separate"/>
      </w:r>
      <w:r>
        <w:rPr>
          <w:rFonts w:ascii="Arial" w:cs="Arial" w:eastAsia="Arial" w:hAnsi="Arial"/>
          <w:b/>
          <w:bCs/>
          <w:sz w:val="20"/>
          <w:szCs w:val="20"/>
        </w:rPr>
        <w:t>10</w:t>
      </w:r>
      <w:r>
        <w:rPr>
          <w:rFonts w:ascii="Arial" w:cs="Arial" w:eastAsia="Arial" w:hAnsi="Arial"/>
          <w:b/>
          <w:bCs/>
          <w:sz w:val="20"/>
          <w:szCs w:val="20"/>
        </w:rPr>
        <w:fldChar w:fldCharType="end"/>
      </w:r>
      <w:r>
        <w:rPr>
          <w:rFonts w:ascii="Arial" w:cs="Arial" w:eastAsia="Arial" w:hAnsi="Arial"/>
          <w:b/>
          <w:bCs/>
          <w:sz w:val="20"/>
          <w:szCs w:val="20"/>
        </w:rPr>
        <w:t xml:space="preserve"> – </w:t>
      </w:r>
      <w:r>
        <w:rPr>
          <w:rFonts w:ascii="Arial" w:cs="Arial" w:eastAsia="Arial" w:hAnsi="Arial"/>
          <w:sz w:val="20"/>
          <w:szCs w:val="20"/>
        </w:rPr>
        <w:t xml:space="preserve">Registro de acesso e auditoria</w:t>
      </w:r>
    </w:p>
    <w:p>
      <w:pPr>
        <w:keepNext/>
        <w:spacing w:line="240"/>
        <w:jc w:val="center"/>
      </w:pPr>
      <w:r>
        <w:drawing>
          <wp:inline distT="0" distB="0" distL="0" distR="0">
            <wp:extent cx="5762625" cy="3600450"/>
            <wp:effectExtent t="0" r="0" b="0" l="0"/>
            <wp:docPr id="10" name="acessos.png" descr="Registro de acesso e auditoria" title="Registro de acesso e audi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600450"/>
                    </a:xfrm>
                    <a:prstGeom prst="rect">
                      <a:avLst/>
                    </a:prstGeom>
                  </pic:spPr>
                </pic:pic>
              </a:graphicData>
            </a:graphic>
          </wp:inline>
        </w:drawing>
      </w:r>
    </w:p>
    <w:p>
      <w:pPr>
        <w:spacing w:after="240" w:before="60" w:line="240"/>
        <w:jc w:val="center"/>
      </w:pPr>
      <w:r>
        <w:rPr>
          <w:rFonts w:ascii="Arial" w:cs="Arial" w:eastAsia="Arial" w:hAnsi="Arial"/>
          <w:b/>
          <w:bCs/>
          <w:sz w:val="20"/>
          <w:szCs w:val="20"/>
        </w:rPr>
        <w:t xml:space="preserve">Fonte: </w:t>
      </w:r>
      <w:r>
        <w:rPr>
          <w:rFonts w:ascii="Arial" w:cs="Arial" w:eastAsia="Arial" w:hAnsi="Arial"/>
          <w:sz w:val="20"/>
          <w:szCs w:val="20"/>
        </w:rPr>
        <w:t xml:space="preserve">Captura de tela do HWMDM (2026).</w:t>
      </w:r>
    </w:p>
    <w:p>
      <w:pPr>
        <w:pStyle w:val="Heading2"/>
      </w:pPr>
      <w:bookmarkStart w:name="_Toc15" w:id="15"/>
      <w:r>
        <w:rPr>
          <w:rFonts w:ascii="Arial" w:cs="Arial" w:eastAsia="Arial" w:hAnsi="Arial"/>
          <w:b/>
          <w:bCs/>
          <w:sz w:val="24"/>
          <w:szCs w:val="24"/>
        </w:rPr>
        <w:t xml:space="preserve">4.3 Segurança e proteção de dados</w:t>
      </w:r>
      <w:bookmarkEnd w:id="15"/>
    </w:p>
    <w:p>
      <w:pPr>
        <w:pStyle w:val="ListParagraph"/>
        <w:numPr>
          <w:ilvl w:val="0"/>
          <w:numId w:val="2"/>
        </w:numPr>
        <w:spacing w:line="360"/>
        <w:jc w:val="both"/>
      </w:pPr>
      <w:r>
        <w:rPr>
          <w:rFonts w:ascii="Arial" w:cs="Arial" w:eastAsia="Arial" w:hAnsi="Arial"/>
          <w:b/>
          <w:bCs/>
          <w:sz w:val="24"/>
          <w:szCs w:val="24"/>
        </w:rPr>
        <w:t xml:space="preserve">Soberania dos dados: </w:t>
      </w:r>
      <w:r>
        <w:rPr>
          <w:rFonts w:ascii="Arial" w:cs="Arial" w:eastAsia="Arial" w:hAnsi="Arial"/>
          <w:sz w:val="24"/>
          <w:szCs w:val="24"/>
        </w:rPr>
        <w:t xml:space="preserve">servidor, banco e arquivos permanecem na infraestrutura da Prefeitura; nenhum dado de localização ou de uso é enviado a terceiros.</w:t>
      </w:r>
    </w:p>
    <w:p>
      <w:pPr>
        <w:pStyle w:val="ListParagraph"/>
        <w:numPr>
          <w:ilvl w:val="0"/>
          <w:numId w:val="2"/>
        </w:numPr>
        <w:spacing w:line="360"/>
        <w:jc w:val="both"/>
      </w:pPr>
      <w:r>
        <w:rPr>
          <w:rFonts w:ascii="Arial" w:cs="Arial" w:eastAsia="Arial" w:hAnsi="Arial"/>
          <w:b/>
          <w:bCs/>
          <w:sz w:val="24"/>
          <w:szCs w:val="24"/>
        </w:rPr>
        <w:t xml:space="preserve">Consentimento: </w:t>
      </w:r>
      <w:r>
        <w:rPr>
          <w:rFonts w:ascii="Arial" w:cs="Arial" w:eastAsia="Arial" w:hAnsi="Arial"/>
          <w:sz w:val="24"/>
          <w:szCs w:val="24"/>
        </w:rPr>
        <w:t xml:space="preserve">a transmissão de tela depende de autorização no aparelho, exigida pelo Android 14.</w:t>
      </w:r>
    </w:p>
    <w:p>
      <w:pPr>
        <w:pStyle w:val="ListParagraph"/>
        <w:numPr>
          <w:ilvl w:val="0"/>
          <w:numId w:val="2"/>
        </w:numPr>
        <w:spacing w:line="360"/>
        <w:jc w:val="both"/>
      </w:pPr>
      <w:r>
        <w:rPr>
          <w:rFonts w:ascii="Arial" w:cs="Arial" w:eastAsia="Arial" w:hAnsi="Arial"/>
          <w:b/>
          <w:bCs/>
          <w:sz w:val="24"/>
          <w:szCs w:val="24"/>
        </w:rPr>
        <w:t xml:space="preserve">Integridade: </w:t>
      </w:r>
      <w:r>
        <w:rPr>
          <w:rFonts w:ascii="Arial" w:cs="Arial" w:eastAsia="Arial" w:hAnsi="Arial"/>
          <w:sz w:val="24"/>
          <w:szCs w:val="24"/>
        </w:rPr>
        <w:t xml:space="preserve">aplicativos instalados são conferidos por SHA-256; políticas do Web Filter são assinadas com segredo compartilhado entre servidor e agente.</w:t>
      </w:r>
    </w:p>
    <w:p>
      <w:pPr>
        <w:pStyle w:val="ListParagraph"/>
        <w:numPr>
          <w:ilvl w:val="0"/>
          <w:numId w:val="2"/>
        </w:numPr>
        <w:spacing w:line="360"/>
        <w:jc w:val="both"/>
      </w:pPr>
      <w:r>
        <w:rPr>
          <w:rFonts w:ascii="Arial" w:cs="Arial" w:eastAsia="Arial" w:hAnsi="Arial"/>
          <w:b/>
          <w:bCs/>
          <w:sz w:val="24"/>
          <w:szCs w:val="24"/>
        </w:rPr>
        <w:t xml:space="preserve">Controle de acesso: </w:t>
      </w:r>
      <w:r>
        <w:rPr>
          <w:rFonts w:ascii="Arial" w:cs="Arial" w:eastAsia="Arial" w:hAnsi="Arial"/>
          <w:sz w:val="24"/>
          <w:szCs w:val="24"/>
        </w:rPr>
        <w:t xml:space="preserve">papéis e permissões por área, com senhas armazenadas em hash.</w:t>
      </w:r>
    </w:p>
    <w:p>
      <w:pPr>
        <w:pStyle w:val="ListParagraph"/>
        <w:numPr>
          <w:ilvl w:val="0"/>
          <w:numId w:val="2"/>
        </w:numPr>
        <w:spacing w:line="360"/>
        <w:jc w:val="both"/>
      </w:pPr>
      <w:r>
        <w:rPr>
          <w:rFonts w:ascii="Arial" w:cs="Arial" w:eastAsia="Arial" w:hAnsi="Arial"/>
          <w:b/>
          <w:bCs/>
          <w:sz w:val="24"/>
          <w:szCs w:val="24"/>
        </w:rPr>
        <w:t xml:space="preserve">Rastreabilidade: </w:t>
      </w:r>
      <w:r>
        <w:rPr>
          <w:rFonts w:ascii="Arial" w:cs="Arial" w:eastAsia="Arial" w:hAnsi="Arial"/>
          <w:sz w:val="24"/>
          <w:szCs w:val="24"/>
        </w:rPr>
        <w:t xml:space="preserve">auditoria das ações administrativas e registro dos eventos de bloqueio.</w:t>
      </w:r>
    </w:p>
    <w:p>
      <w:pPr>
        <w:pStyle w:val="ListParagraph"/>
        <w:numPr>
          <w:ilvl w:val="0"/>
          <w:numId w:val="2"/>
        </w:numPr>
        <w:spacing w:line="360"/>
        <w:jc w:val="both"/>
      </w:pPr>
      <w:r>
        <w:rPr>
          <w:rFonts w:ascii="Arial" w:cs="Arial" w:eastAsia="Arial" w:hAnsi="Arial"/>
          <w:b/>
          <w:bCs/>
          <w:sz w:val="24"/>
          <w:szCs w:val="24"/>
        </w:rPr>
        <w:t xml:space="preserve">Continuidade: </w:t>
      </w:r>
      <w:r>
        <w:rPr>
          <w:rFonts w:ascii="Arial" w:cs="Arial" w:eastAsia="Arial" w:hAnsi="Arial"/>
          <w:sz w:val="24"/>
          <w:szCs w:val="24"/>
        </w:rPr>
        <w:t xml:space="preserve">backup e restauração pelo painel, com pontos de retorno do banco e da aplicação.</w:t>
      </w:r>
    </w:p>
    <w:p>
      <w:pPr>
        <w:pStyle w:val="Heading1"/>
        <w:pageBreakBefore/>
      </w:pPr>
      <w:bookmarkStart w:name="_Toc16" w:id="16"/>
      <w:r>
        <w:rPr>
          <w:rFonts w:ascii="Arial" w:cs="Arial" w:eastAsia="Arial" w:hAnsi="Arial"/>
          <w:b/>
          <w:bCs/>
          <w:sz w:val="24"/>
          <w:szCs w:val="24"/>
        </w:rPr>
        <w:t xml:space="preserve">5 ANÁLISE ECONÔMICA</w:t>
      </w:r>
      <w:bookmarkEnd w:id="16"/>
    </w:p>
    <w:p>
      <w:pPr>
        <w:spacing w:after="0" w:before="0" w:line="360"/>
        <w:ind w:firstLine="709"/>
        <w:jc w:val="both"/>
      </w:pPr>
      <w:r>
        <w:rPr>
          <w:rFonts w:ascii="Arial" w:cs="Arial" w:eastAsia="Arial" w:hAnsi="Arial"/>
          <w:sz w:val="24"/>
          <w:szCs w:val="24"/>
        </w:rPr>
        <w:t xml:space="preserve">O HWMDM não tem custo de licença: o Headwind MDM Community é distribuído sob a licença Apache 2.0, que permite uso, modificação e redistribuição sem pagamento (APACHE SOFTWARE FOUNDATION, 2004), e as melhorias foram desenvolvidas pela própria equipe. A solução roda em servidor já existente na Prefeitura, de modo que não há despesa adicional de hospedagem.</w:t>
      </w:r>
    </w:p>
    <w:p>
      <w:pPr>
        <w:spacing w:after="0" w:before="0" w:line="360"/>
        <w:ind w:firstLine="709"/>
        <w:jc w:val="both"/>
      </w:pPr>
      <w:r>
        <w:rPr>
          <w:rFonts w:ascii="Arial" w:cs="Arial" w:eastAsia="Arial" w:hAnsi="Arial"/>
          <w:sz w:val="24"/>
          <w:szCs w:val="24"/>
        </w:rPr>
        <w:t xml:space="preserve">Para dimensionar a economia, adotou-se o preço público de lista de cinco soluções comerciais de referência, convertido pela mediana do Relatório Focus do Banco Central para o câmbio do fim de 2026, R$ 5,20 por dólar (BANCO CENTRAL DO BRASIL, 2026). A Tabela 1 apresenta os preços por dispositivo; no caso do Microsoft Intune, licenciado por usuário, considerou-se um dispositivo por usuário.</w:t>
      </w:r>
    </w:p>
    <w:p>
      <w:pPr>
        <w:pStyle w:val="Caption"/>
        <w:keepNext/>
        <w:spacing w:after="60" w:before="240" w:line="240"/>
        <w:jc w:val="center"/>
      </w:pPr>
      <w:r>
        <w:rPr>
          <w:rFonts w:ascii="Arial" w:cs="Arial" w:eastAsia="Arial" w:hAnsi="Arial"/>
          <w:b/>
          <w:bCs/>
          <w:sz w:val="20"/>
          <w:szCs w:val="20"/>
        </w:rPr>
        <w:t xml:space="preserve">Tabela </w:t>
      </w:r>
      <w:r>
        <w:rPr>
          <w:rFonts w:ascii="Arial" w:cs="Arial" w:eastAsia="Arial" w:hAnsi="Arial"/>
          <w:b/>
          <w:bCs/>
          <w:sz w:val="20"/>
          <w:szCs w:val="20"/>
        </w:rPr>
        <w:fldChar w:fldCharType="begin"/>
      </w:r>
      <w:r>
        <w:rPr>
          <w:rFonts w:ascii="Arial" w:cs="Arial" w:eastAsia="Arial" w:hAnsi="Arial"/>
          <w:b/>
          <w:bCs/>
          <w:sz w:val="20"/>
          <w:szCs w:val="20"/>
        </w:rPr>
        <w:instrText xml:space="preserve"> SEQ Tabela \* ARABIC </w:instrText>
      </w:r>
      <w:r>
        <w:rPr>
          <w:rFonts w:ascii="Arial" w:cs="Arial" w:eastAsia="Arial" w:hAnsi="Arial"/>
          <w:b/>
          <w:bCs/>
          <w:sz w:val="20"/>
          <w:szCs w:val="20"/>
        </w:rPr>
        <w:fldChar w:fldCharType="separate"/>
      </w:r>
      <w:r>
        <w:rPr>
          <w:rFonts w:ascii="Arial" w:cs="Arial" w:eastAsia="Arial" w:hAnsi="Arial"/>
          <w:b/>
          <w:bCs/>
          <w:sz w:val="20"/>
          <w:szCs w:val="20"/>
        </w:rPr>
        <w:t>1</w:t>
      </w:r>
      <w:r>
        <w:rPr>
          <w:rFonts w:ascii="Arial" w:cs="Arial" w:eastAsia="Arial" w:hAnsi="Arial"/>
          <w:b/>
          <w:bCs/>
          <w:sz w:val="20"/>
          <w:szCs w:val="20"/>
        </w:rPr>
        <w:fldChar w:fldCharType="end"/>
      </w:r>
      <w:r>
        <w:rPr>
          <w:rFonts w:ascii="Arial" w:cs="Arial" w:eastAsia="Arial" w:hAnsi="Arial"/>
          <w:b/>
          <w:bCs/>
          <w:sz w:val="20"/>
          <w:szCs w:val="20"/>
        </w:rPr>
        <w:t xml:space="preserve"> – </w:t>
      </w:r>
      <w:r>
        <w:rPr>
          <w:rFonts w:ascii="Arial" w:cs="Arial" w:eastAsia="Arial" w:hAnsi="Arial"/>
          <w:sz w:val="20"/>
          <w:szCs w:val="20"/>
        </w:rPr>
        <w:t xml:space="preserve">Preço anual de licença por dispositivo em soluções comerciais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3402"/>
        <w:gridCol w:w="2608"/>
        <w:gridCol w:w="1474"/>
        <w:gridCol w:w="1588"/>
      </w:tblGrid>
      <w:tr>
        <w:trPr>
          <w:tblHeader/>
        </w:trPr>
        <w:tc>
          <w:tcPr>
            <w:tcW w:type="dxa" w:w="3402"/>
            <w:tcBorders>
              <w:top w:val="single" w:color="808080" w:sz="4"/>
              <w:left w:val="single" w:color="808080" w:sz="4"/>
              <w:bottom w:val="single" w:color="808080" w:sz="4"/>
              <w:right w:val="single" w:color="808080" w:sz="4"/>
            </w:tcBorders>
            <w:shd w:fill="D9E7E9" w:color="auto" w:val="clear"/>
            <w:tcMar>
              <w:top w:type="dxa" w:w="40"/>
              <w:left w:type="dxa" w:w="90"/>
              <w:bottom w:type="dxa" w:w="40"/>
              <w:right w:type="dxa" w:w="90"/>
            </w:tcMar>
            <w:vAlign w:val="center"/>
          </w:tcPr>
          <w:p>
            <w:pPr>
              <w:spacing w:line="240"/>
              <w:jc w:val="left"/>
            </w:pPr>
            <w:r>
              <w:rPr>
                <w:rFonts w:ascii="Arial" w:cs="Arial" w:eastAsia="Arial" w:hAnsi="Arial"/>
                <w:b/>
                <w:bCs/>
                <w:sz w:val="20"/>
                <w:szCs w:val="20"/>
              </w:rPr>
              <w:t xml:space="preserve">Solução</w:t>
            </w:r>
          </w:p>
        </w:tc>
        <w:tc>
          <w:tcPr>
            <w:tcW w:type="dxa" w:w="2608"/>
            <w:tcBorders>
              <w:top w:val="single" w:color="808080" w:sz="4"/>
              <w:left w:val="single" w:color="808080" w:sz="4"/>
              <w:bottom w:val="single" w:color="808080" w:sz="4"/>
              <w:right w:val="single" w:color="808080" w:sz="4"/>
            </w:tcBorders>
            <w:shd w:fill="D9E7E9" w:color="auto" w:val="clear"/>
            <w:tcMar>
              <w:top w:type="dxa" w:w="40"/>
              <w:left w:type="dxa" w:w="90"/>
              <w:bottom w:type="dxa" w:w="40"/>
              <w:right w:type="dxa" w:w="90"/>
            </w:tcMar>
            <w:vAlign w:val="center"/>
          </w:tcPr>
          <w:p>
            <w:pPr>
              <w:spacing w:line="240"/>
              <w:jc w:val="left"/>
            </w:pPr>
            <w:r>
              <w:rPr>
                <w:rFonts w:ascii="Arial" w:cs="Arial" w:eastAsia="Arial" w:hAnsi="Arial"/>
                <w:b/>
                <w:bCs/>
                <w:sz w:val="20"/>
                <w:szCs w:val="20"/>
              </w:rPr>
              <w:t xml:space="preserve">Preço de referência</w:t>
            </w:r>
          </w:p>
        </w:tc>
        <w:tc>
          <w:tcPr>
            <w:tcW w:type="dxa" w:w="1474"/>
            <w:tcBorders>
              <w:top w:val="single" w:color="808080" w:sz="4"/>
              <w:left w:val="single" w:color="808080" w:sz="4"/>
              <w:bottom w:val="single" w:color="808080" w:sz="4"/>
              <w:right w:val="single" w:color="808080" w:sz="4"/>
            </w:tcBorders>
            <w:shd w:fill="D9E7E9" w:color="auto" w:val="clear"/>
            <w:tcMar>
              <w:top w:type="dxa" w:w="40"/>
              <w:left w:type="dxa" w:w="90"/>
              <w:bottom w:type="dxa" w:w="40"/>
              <w:right w:type="dxa" w:w="90"/>
            </w:tcMar>
            <w:vAlign w:val="center"/>
          </w:tcPr>
          <w:p>
            <w:pPr>
              <w:spacing w:line="240"/>
              <w:jc w:val="left"/>
            </w:pPr>
            <w:r>
              <w:rPr>
                <w:rFonts w:ascii="Arial" w:cs="Arial" w:eastAsia="Arial" w:hAnsi="Arial"/>
                <w:b/>
                <w:bCs/>
                <w:sz w:val="20"/>
                <w:szCs w:val="20"/>
              </w:rPr>
              <w:t xml:space="preserve">Anual (US$)</w:t>
            </w:r>
          </w:p>
        </w:tc>
        <w:tc>
          <w:tcPr>
            <w:tcW w:type="dxa" w:w="1588"/>
            <w:tcBorders>
              <w:top w:val="single" w:color="808080" w:sz="4"/>
              <w:left w:val="single" w:color="808080" w:sz="4"/>
              <w:bottom w:val="single" w:color="808080" w:sz="4"/>
              <w:right w:val="single" w:color="808080" w:sz="4"/>
            </w:tcBorders>
            <w:shd w:fill="D9E7E9" w:color="auto" w:val="clear"/>
            <w:tcMar>
              <w:top w:type="dxa" w:w="40"/>
              <w:left w:type="dxa" w:w="90"/>
              <w:bottom w:type="dxa" w:w="40"/>
              <w:right w:type="dxa" w:w="90"/>
            </w:tcMar>
            <w:vAlign w:val="center"/>
          </w:tcPr>
          <w:p>
            <w:pPr>
              <w:spacing w:line="240"/>
              <w:jc w:val="left"/>
            </w:pPr>
            <w:r>
              <w:rPr>
                <w:rFonts w:ascii="Arial" w:cs="Arial" w:eastAsia="Arial" w:hAnsi="Arial"/>
                <w:b/>
                <w:bCs/>
                <w:sz w:val="20"/>
                <w:szCs w:val="20"/>
              </w:rPr>
              <w:t xml:space="preserve">Anual (R$)</w:t>
            </w:r>
          </w:p>
        </w:tc>
      </w:tr>
      <w:tr>
        <w:trPr>
          <w:cantSplit/>
        </w:trPr>
        <w:tc>
          <w:tcPr>
            <w:tcW w:type="dxa" w:w="340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Microsoft Intune – Plano 1</w:t>
            </w:r>
          </w:p>
        </w:tc>
        <w:tc>
          <w:tcPr>
            <w:tcW w:type="dxa" w:w="260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US$ 8,00 por usuário/mês</w:t>
            </w:r>
          </w:p>
        </w:tc>
        <w:tc>
          <w:tcPr>
            <w:tcW w:type="dxa" w:w="147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US$ 96,00</w:t>
            </w:r>
          </w:p>
        </w:tc>
        <w:tc>
          <w:tcPr>
            <w:tcW w:type="dxa" w:w="158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R$ 499,20</w:t>
            </w:r>
          </w:p>
        </w:tc>
      </w:tr>
      <w:tr>
        <w:trPr>
          <w:cantSplit/>
        </w:trPr>
        <w:tc>
          <w:tcPr>
            <w:tcW w:type="dxa" w:w="340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Scalefusion – Enterprise</w:t>
            </w:r>
          </w:p>
        </w:tc>
        <w:tc>
          <w:tcPr>
            <w:tcW w:type="dxa" w:w="260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US$ 6,00 por dispositivo/mês</w:t>
            </w:r>
          </w:p>
        </w:tc>
        <w:tc>
          <w:tcPr>
            <w:tcW w:type="dxa" w:w="147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US$ 72,00</w:t>
            </w:r>
          </w:p>
        </w:tc>
        <w:tc>
          <w:tcPr>
            <w:tcW w:type="dxa" w:w="158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R$ 374,40</w:t>
            </w:r>
          </w:p>
        </w:tc>
      </w:tr>
      <w:tr>
        <w:trPr>
          <w:cantSplit/>
        </w:trPr>
        <w:tc>
          <w:tcPr>
            <w:tcW w:type="dxa" w:w="340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Samsung Knox Suite – Enterprise</w:t>
            </w:r>
          </w:p>
        </w:tc>
        <w:tc>
          <w:tcPr>
            <w:tcW w:type="dxa" w:w="260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US$ 52,50 por dispositivo/ano</w:t>
            </w:r>
          </w:p>
        </w:tc>
        <w:tc>
          <w:tcPr>
            <w:tcW w:type="dxa" w:w="147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US$ 52,50</w:t>
            </w:r>
          </w:p>
        </w:tc>
        <w:tc>
          <w:tcPr>
            <w:tcW w:type="dxa" w:w="158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R$ 273,00</w:t>
            </w:r>
          </w:p>
        </w:tc>
      </w:tr>
      <w:tr>
        <w:trPr>
          <w:cantSplit/>
        </w:trPr>
        <w:tc>
          <w:tcPr>
            <w:tcW w:type="dxa" w:w="340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Samsung Knox Manage</w:t>
            </w:r>
          </w:p>
        </w:tc>
        <w:tc>
          <w:tcPr>
            <w:tcW w:type="dxa" w:w="260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US$ 30,00 por dispositivo/ano</w:t>
            </w:r>
          </w:p>
        </w:tc>
        <w:tc>
          <w:tcPr>
            <w:tcW w:type="dxa" w:w="147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US$ 30,00</w:t>
            </w:r>
          </w:p>
        </w:tc>
        <w:tc>
          <w:tcPr>
            <w:tcW w:type="dxa" w:w="158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R$ 156,00</w:t>
            </w:r>
          </w:p>
        </w:tc>
      </w:tr>
      <w:tr>
        <w:trPr>
          <w:cantSplit/>
        </w:trPr>
        <w:tc>
          <w:tcPr>
            <w:tcW w:type="dxa" w:w="340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sz w:val="20"/>
                <w:szCs w:val="20"/>
              </w:rPr>
              <w:t xml:space="preserve">ManageEngine MDM Plus (nuvem) – Professional</w:t>
            </w:r>
          </w:p>
        </w:tc>
        <w:tc>
          <w:tcPr>
            <w:tcW w:type="dxa" w:w="260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sz w:val="20"/>
                <w:szCs w:val="20"/>
              </w:rPr>
              <w:t xml:space="preserve">US$ 2,38 por dispositivo/mês</w:t>
            </w:r>
          </w:p>
        </w:tc>
        <w:tc>
          <w:tcPr>
            <w:tcW w:type="dxa" w:w="147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sz w:val="20"/>
                <w:szCs w:val="20"/>
              </w:rPr>
              <w:t xml:space="preserve">US$ 28,56</w:t>
            </w:r>
          </w:p>
        </w:tc>
        <w:tc>
          <w:tcPr>
            <w:tcW w:type="dxa" w:w="158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sz w:val="20"/>
                <w:szCs w:val="20"/>
              </w:rPr>
              <w:t xml:space="preserve">R$ 148,51</w:t>
            </w:r>
          </w:p>
        </w:tc>
      </w:tr>
    </w:tbl>
    <w:p>
      <w:pPr>
        <w:spacing w:after="240" w:before="60" w:line="240"/>
        <w:jc w:val="center"/>
      </w:pPr>
      <w:r>
        <w:rPr>
          <w:rFonts w:ascii="Arial" w:cs="Arial" w:eastAsia="Arial" w:hAnsi="Arial"/>
          <w:b/>
          <w:bCs/>
          <w:sz w:val="20"/>
          <w:szCs w:val="20"/>
        </w:rPr>
        <w:t xml:space="preserve">Fonte: </w:t>
      </w:r>
      <w:r>
        <w:rPr>
          <w:rFonts w:ascii="Arial" w:cs="Arial" w:eastAsia="Arial" w:hAnsi="Arial"/>
          <w:sz w:val="20"/>
          <w:szCs w:val="20"/>
        </w:rPr>
        <w:t xml:space="preserve">Microsoft (2026), Scalefusion (2026), Samsung (2026b), SHI (2026) e ManageEngine (2026). Conversão a R$ 5,20/US$.</w:t>
      </w:r>
    </w:p>
    <w:p>
      <w:pPr>
        <w:spacing w:after="0" w:before="0" w:line="360"/>
        <w:ind w:firstLine="709"/>
        <w:jc w:val="both"/>
      </w:pPr>
      <w:r>
        <w:rPr>
          <w:rFonts w:ascii="Arial" w:cs="Arial" w:eastAsia="Arial" w:hAnsi="Arial"/>
          <w:sz w:val="24"/>
          <w:szCs w:val="24"/>
        </w:rPr>
        <w:t xml:space="preserve">A Tabela 2 projeta a economia anual para três tamanhos de frota e a economia acumulada em cinco anos para uma frota de 300 dispositivos. Como o custo de licença do HWMDM é zero, a economia corresponde ao valor que seria pago ao fornecedor.</w:t>
      </w:r>
    </w:p>
    <w:p>
      <w:pPr>
        <w:pStyle w:val="Caption"/>
        <w:keepNext/>
        <w:spacing w:after="60" w:before="240" w:line="240"/>
        <w:jc w:val="center"/>
      </w:pPr>
      <w:r>
        <w:rPr>
          <w:rFonts w:ascii="Arial" w:cs="Arial" w:eastAsia="Arial" w:hAnsi="Arial"/>
          <w:b/>
          <w:bCs/>
          <w:sz w:val="20"/>
          <w:szCs w:val="20"/>
        </w:rPr>
        <w:t xml:space="preserve">Tabela </w:t>
      </w:r>
      <w:r>
        <w:rPr>
          <w:rFonts w:ascii="Arial" w:cs="Arial" w:eastAsia="Arial" w:hAnsi="Arial"/>
          <w:b/>
          <w:bCs/>
          <w:sz w:val="20"/>
          <w:szCs w:val="20"/>
        </w:rPr>
        <w:fldChar w:fldCharType="begin"/>
      </w:r>
      <w:r>
        <w:rPr>
          <w:rFonts w:ascii="Arial" w:cs="Arial" w:eastAsia="Arial" w:hAnsi="Arial"/>
          <w:b/>
          <w:bCs/>
          <w:sz w:val="20"/>
          <w:szCs w:val="20"/>
        </w:rPr>
        <w:instrText xml:space="preserve"> SEQ Tabela \* ARABIC </w:instrText>
      </w:r>
      <w:r>
        <w:rPr>
          <w:rFonts w:ascii="Arial" w:cs="Arial" w:eastAsia="Arial" w:hAnsi="Arial"/>
          <w:b/>
          <w:bCs/>
          <w:sz w:val="20"/>
          <w:szCs w:val="20"/>
        </w:rPr>
        <w:fldChar w:fldCharType="separate"/>
      </w:r>
      <w:r>
        <w:rPr>
          <w:rFonts w:ascii="Arial" w:cs="Arial" w:eastAsia="Arial" w:hAnsi="Arial"/>
          <w:b/>
          <w:bCs/>
          <w:sz w:val="20"/>
          <w:szCs w:val="20"/>
        </w:rPr>
        <w:t>2</w:t>
      </w:r>
      <w:r>
        <w:rPr>
          <w:rFonts w:ascii="Arial" w:cs="Arial" w:eastAsia="Arial" w:hAnsi="Arial"/>
          <w:b/>
          <w:bCs/>
          <w:sz w:val="20"/>
          <w:szCs w:val="20"/>
        </w:rPr>
        <w:fldChar w:fldCharType="end"/>
      </w:r>
      <w:r>
        <w:rPr>
          <w:rFonts w:ascii="Arial" w:cs="Arial" w:eastAsia="Arial" w:hAnsi="Arial"/>
          <w:b/>
          <w:bCs/>
          <w:sz w:val="20"/>
          <w:szCs w:val="20"/>
        </w:rPr>
        <w:t xml:space="preserve"> – </w:t>
      </w:r>
      <w:r>
        <w:rPr>
          <w:rFonts w:ascii="Arial" w:cs="Arial" w:eastAsia="Arial" w:hAnsi="Arial"/>
          <w:sz w:val="20"/>
          <w:szCs w:val="20"/>
        </w:rPr>
        <w:t xml:space="preserve">Economia anual estimada por tamanho de frota e acumulada em cinco anos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948"/>
        <w:gridCol w:w="1474"/>
        <w:gridCol w:w="1531"/>
        <w:gridCol w:w="1531"/>
        <w:gridCol w:w="1588"/>
      </w:tblGrid>
      <w:tr>
        <w:trPr>
          <w:tblHeader/>
        </w:trPr>
        <w:tc>
          <w:tcPr>
            <w:tcW w:type="dxa" w:w="2948"/>
            <w:tcBorders>
              <w:top w:val="single" w:color="808080" w:sz="4"/>
              <w:left w:val="single" w:color="808080" w:sz="4"/>
              <w:bottom w:val="single" w:color="808080" w:sz="4"/>
              <w:right w:val="single" w:color="808080" w:sz="4"/>
            </w:tcBorders>
            <w:shd w:fill="D9E7E9" w:color="auto" w:val="clear"/>
            <w:tcMar>
              <w:top w:type="dxa" w:w="40"/>
              <w:left w:type="dxa" w:w="90"/>
              <w:bottom w:type="dxa" w:w="40"/>
              <w:right w:type="dxa" w:w="90"/>
            </w:tcMar>
            <w:vAlign w:val="center"/>
          </w:tcPr>
          <w:p>
            <w:pPr>
              <w:spacing w:line="240"/>
              <w:jc w:val="left"/>
            </w:pPr>
            <w:r>
              <w:rPr>
                <w:rFonts w:ascii="Arial" w:cs="Arial" w:eastAsia="Arial" w:hAnsi="Arial"/>
                <w:b/>
                <w:bCs/>
                <w:sz w:val="20"/>
                <w:szCs w:val="20"/>
              </w:rPr>
              <w:t xml:space="preserve">Solução substituída</w:t>
            </w:r>
          </w:p>
        </w:tc>
        <w:tc>
          <w:tcPr>
            <w:tcW w:type="dxa" w:w="1474"/>
            <w:tcBorders>
              <w:top w:val="single" w:color="808080" w:sz="4"/>
              <w:left w:val="single" w:color="808080" w:sz="4"/>
              <w:bottom w:val="single" w:color="808080" w:sz="4"/>
              <w:right w:val="single" w:color="808080" w:sz="4"/>
            </w:tcBorders>
            <w:shd w:fill="D9E7E9" w:color="auto" w:val="clear"/>
            <w:tcMar>
              <w:top w:type="dxa" w:w="40"/>
              <w:left w:type="dxa" w:w="90"/>
              <w:bottom w:type="dxa" w:w="40"/>
              <w:right w:type="dxa" w:w="90"/>
            </w:tcMar>
            <w:vAlign w:val="center"/>
          </w:tcPr>
          <w:p>
            <w:pPr>
              <w:spacing w:line="240"/>
              <w:jc w:val="left"/>
            </w:pPr>
            <w:r>
              <w:rPr>
                <w:rFonts w:ascii="Arial" w:cs="Arial" w:eastAsia="Arial" w:hAnsi="Arial"/>
                <w:b/>
                <w:bCs/>
                <w:sz w:val="20"/>
                <w:szCs w:val="20"/>
              </w:rPr>
              <w:t xml:space="preserve">100 disp./ano</w:t>
            </w:r>
          </w:p>
        </w:tc>
        <w:tc>
          <w:tcPr>
            <w:tcW w:type="dxa" w:w="1531"/>
            <w:tcBorders>
              <w:top w:val="single" w:color="808080" w:sz="4"/>
              <w:left w:val="single" w:color="808080" w:sz="4"/>
              <w:bottom w:val="single" w:color="808080" w:sz="4"/>
              <w:right w:val="single" w:color="808080" w:sz="4"/>
            </w:tcBorders>
            <w:shd w:fill="D9E7E9" w:color="auto" w:val="clear"/>
            <w:tcMar>
              <w:top w:type="dxa" w:w="40"/>
              <w:left w:type="dxa" w:w="90"/>
              <w:bottom w:type="dxa" w:w="40"/>
              <w:right w:type="dxa" w:w="90"/>
            </w:tcMar>
            <w:vAlign w:val="center"/>
          </w:tcPr>
          <w:p>
            <w:pPr>
              <w:spacing w:line="240"/>
              <w:jc w:val="left"/>
            </w:pPr>
            <w:r>
              <w:rPr>
                <w:rFonts w:ascii="Arial" w:cs="Arial" w:eastAsia="Arial" w:hAnsi="Arial"/>
                <w:b/>
                <w:bCs/>
                <w:sz w:val="20"/>
                <w:szCs w:val="20"/>
              </w:rPr>
              <w:t xml:space="preserve">300 disp./ano</w:t>
            </w:r>
          </w:p>
        </w:tc>
        <w:tc>
          <w:tcPr>
            <w:tcW w:type="dxa" w:w="1531"/>
            <w:tcBorders>
              <w:top w:val="single" w:color="808080" w:sz="4"/>
              <w:left w:val="single" w:color="808080" w:sz="4"/>
              <w:bottom w:val="single" w:color="808080" w:sz="4"/>
              <w:right w:val="single" w:color="808080" w:sz="4"/>
            </w:tcBorders>
            <w:shd w:fill="D9E7E9" w:color="auto" w:val="clear"/>
            <w:tcMar>
              <w:top w:type="dxa" w:w="40"/>
              <w:left w:type="dxa" w:w="90"/>
              <w:bottom w:type="dxa" w:w="40"/>
              <w:right w:type="dxa" w:w="90"/>
            </w:tcMar>
            <w:vAlign w:val="center"/>
          </w:tcPr>
          <w:p>
            <w:pPr>
              <w:spacing w:line="240"/>
              <w:jc w:val="left"/>
            </w:pPr>
            <w:r>
              <w:rPr>
                <w:rFonts w:ascii="Arial" w:cs="Arial" w:eastAsia="Arial" w:hAnsi="Arial"/>
                <w:b/>
                <w:bCs/>
                <w:sz w:val="20"/>
                <w:szCs w:val="20"/>
              </w:rPr>
              <w:t xml:space="preserve">500 disp./ano</w:t>
            </w:r>
          </w:p>
        </w:tc>
        <w:tc>
          <w:tcPr>
            <w:tcW w:type="dxa" w:w="1588"/>
            <w:tcBorders>
              <w:top w:val="single" w:color="808080" w:sz="4"/>
              <w:left w:val="single" w:color="808080" w:sz="4"/>
              <w:bottom w:val="single" w:color="808080" w:sz="4"/>
              <w:right w:val="single" w:color="808080" w:sz="4"/>
            </w:tcBorders>
            <w:shd w:fill="D9E7E9" w:color="auto" w:val="clear"/>
            <w:tcMar>
              <w:top w:type="dxa" w:w="40"/>
              <w:left w:type="dxa" w:w="90"/>
              <w:bottom w:type="dxa" w:w="40"/>
              <w:right w:type="dxa" w:w="90"/>
            </w:tcMar>
            <w:vAlign w:val="center"/>
          </w:tcPr>
          <w:p>
            <w:pPr>
              <w:spacing w:line="240"/>
              <w:jc w:val="left"/>
            </w:pPr>
            <w:r>
              <w:rPr>
                <w:rFonts w:ascii="Arial" w:cs="Arial" w:eastAsia="Arial" w:hAnsi="Arial"/>
                <w:b/>
                <w:bCs/>
                <w:sz w:val="20"/>
                <w:szCs w:val="20"/>
              </w:rPr>
              <w:t xml:space="preserve">300 disp. em 5 anos</w:t>
            </w:r>
          </w:p>
        </w:tc>
      </w:tr>
      <w:tr>
        <w:trPr>
          <w:cantSplit/>
        </w:trPr>
        <w:tc>
          <w:tcPr>
            <w:tcW w:type="dxa" w:w="294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Microsoft Intune – Plano 1</w:t>
            </w:r>
          </w:p>
        </w:tc>
        <w:tc>
          <w:tcPr>
            <w:tcW w:type="dxa" w:w="147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R$ 49.920,00</w:t>
            </w:r>
          </w:p>
        </w:tc>
        <w:tc>
          <w:tcPr>
            <w:tcW w:type="dxa" w:w="153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R$ 149.760,00</w:t>
            </w:r>
          </w:p>
        </w:tc>
        <w:tc>
          <w:tcPr>
            <w:tcW w:type="dxa" w:w="153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R$ 249.600,00</w:t>
            </w:r>
          </w:p>
        </w:tc>
        <w:tc>
          <w:tcPr>
            <w:tcW w:type="dxa" w:w="158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R$ 748.800,00</w:t>
            </w:r>
          </w:p>
        </w:tc>
      </w:tr>
      <w:tr>
        <w:trPr>
          <w:cantSplit/>
        </w:trPr>
        <w:tc>
          <w:tcPr>
            <w:tcW w:type="dxa" w:w="294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Scalefusion – Enterprise</w:t>
            </w:r>
          </w:p>
        </w:tc>
        <w:tc>
          <w:tcPr>
            <w:tcW w:type="dxa" w:w="147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R$ 37.440,00</w:t>
            </w:r>
          </w:p>
        </w:tc>
        <w:tc>
          <w:tcPr>
            <w:tcW w:type="dxa" w:w="153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R$ 112.320,00</w:t>
            </w:r>
          </w:p>
        </w:tc>
        <w:tc>
          <w:tcPr>
            <w:tcW w:type="dxa" w:w="153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R$ 187.200,00</w:t>
            </w:r>
          </w:p>
        </w:tc>
        <w:tc>
          <w:tcPr>
            <w:tcW w:type="dxa" w:w="158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R$ 561.600,00</w:t>
            </w:r>
          </w:p>
        </w:tc>
      </w:tr>
      <w:tr>
        <w:trPr>
          <w:cantSplit/>
        </w:trPr>
        <w:tc>
          <w:tcPr>
            <w:tcW w:type="dxa" w:w="294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Samsung Knox Suite – Enterprise</w:t>
            </w:r>
          </w:p>
        </w:tc>
        <w:tc>
          <w:tcPr>
            <w:tcW w:type="dxa" w:w="147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R$ 27.300,00</w:t>
            </w:r>
          </w:p>
        </w:tc>
        <w:tc>
          <w:tcPr>
            <w:tcW w:type="dxa" w:w="153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R$ 81.900,00</w:t>
            </w:r>
          </w:p>
        </w:tc>
        <w:tc>
          <w:tcPr>
            <w:tcW w:type="dxa" w:w="153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R$ 136.500,00</w:t>
            </w:r>
          </w:p>
        </w:tc>
        <w:tc>
          <w:tcPr>
            <w:tcW w:type="dxa" w:w="158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R$ 409.500,00</w:t>
            </w:r>
          </w:p>
        </w:tc>
      </w:tr>
      <w:tr>
        <w:trPr>
          <w:cantSplit/>
        </w:trPr>
        <w:tc>
          <w:tcPr>
            <w:tcW w:type="dxa" w:w="294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b w:val="false"/>
                <w:bCs w:val="false"/>
                <w:sz w:val="20"/>
                <w:szCs w:val="20"/>
              </w:rPr>
              <w:t xml:space="preserve">Samsung Knox Manage</w:t>
            </w:r>
          </w:p>
        </w:tc>
        <w:tc>
          <w:tcPr>
            <w:tcW w:type="dxa" w:w="147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R$ 15.600,00</w:t>
            </w:r>
          </w:p>
        </w:tc>
        <w:tc>
          <w:tcPr>
            <w:tcW w:type="dxa" w:w="153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R$ 46.800,00</w:t>
            </w:r>
          </w:p>
        </w:tc>
        <w:tc>
          <w:tcPr>
            <w:tcW w:type="dxa" w:w="153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R$ 78.000,00</w:t>
            </w:r>
          </w:p>
        </w:tc>
        <w:tc>
          <w:tcPr>
            <w:tcW w:type="dxa" w:w="158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b w:val="false"/>
                <w:bCs w:val="false"/>
                <w:sz w:val="20"/>
                <w:szCs w:val="20"/>
              </w:rPr>
              <w:t xml:space="preserve">R$ 234.000,00</w:t>
            </w:r>
          </w:p>
        </w:tc>
      </w:tr>
      <w:tr>
        <w:trPr>
          <w:cantSplit/>
        </w:trPr>
        <w:tc>
          <w:tcPr>
            <w:tcW w:type="dxa" w:w="294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left"/>
            </w:pPr>
            <w:r>
              <w:rPr>
                <w:rFonts w:ascii="Arial" w:cs="Arial" w:eastAsia="Arial" w:hAnsi="Arial"/>
                <w:sz w:val="20"/>
                <w:szCs w:val="20"/>
              </w:rPr>
              <w:t xml:space="preserve">ManageEngine MDM Plus (nuvem) – Professional</w:t>
            </w:r>
          </w:p>
        </w:tc>
        <w:tc>
          <w:tcPr>
            <w:tcW w:type="dxa" w:w="147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sz w:val="20"/>
                <w:szCs w:val="20"/>
              </w:rPr>
              <w:t xml:space="preserve">R$ 14.851,20</w:t>
            </w:r>
          </w:p>
        </w:tc>
        <w:tc>
          <w:tcPr>
            <w:tcW w:type="dxa" w:w="153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sz w:val="20"/>
                <w:szCs w:val="20"/>
              </w:rPr>
              <w:t xml:space="preserve">R$ 44.553,60</w:t>
            </w:r>
          </w:p>
        </w:tc>
        <w:tc>
          <w:tcPr>
            <w:tcW w:type="dxa" w:w="153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sz w:val="20"/>
                <w:szCs w:val="20"/>
              </w:rPr>
              <w:t xml:space="preserve">R$ 74.256,00</w:t>
            </w:r>
          </w:p>
        </w:tc>
        <w:tc>
          <w:tcPr>
            <w:tcW w:type="dxa" w:w="158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line="240"/>
              <w:jc w:val="right"/>
            </w:pPr>
            <w:r>
              <w:rPr>
                <w:rFonts w:ascii="Arial" w:cs="Arial" w:eastAsia="Arial" w:hAnsi="Arial"/>
                <w:sz w:val="20"/>
                <w:szCs w:val="20"/>
              </w:rPr>
              <w:t xml:space="preserve">R$ 222.768,00</w:t>
            </w:r>
          </w:p>
        </w:tc>
      </w:tr>
    </w:tbl>
    <w:p>
      <w:pPr>
        <w:spacing w:after="240" w:before="60" w:line="240"/>
        <w:jc w:val="center"/>
      </w:pPr>
      <w:r>
        <w:rPr>
          <w:rFonts w:ascii="Arial" w:cs="Arial" w:eastAsia="Arial" w:hAnsi="Arial"/>
          <w:b/>
          <w:bCs/>
          <w:sz w:val="20"/>
          <w:szCs w:val="20"/>
        </w:rPr>
        <w:t xml:space="preserve">Fonte: </w:t>
      </w:r>
      <w:r>
        <w:rPr>
          <w:rFonts w:ascii="Arial" w:cs="Arial" w:eastAsia="Arial" w:hAnsi="Arial"/>
          <w:sz w:val="20"/>
          <w:szCs w:val="20"/>
        </w:rPr>
        <w:t xml:space="preserve">Elaborado pelo autor (2026), a partir da Tabela 1.</w:t>
      </w:r>
    </w:p>
    <w:p>
      <w:pPr>
        <w:spacing w:after="0" w:before="0" w:line="360"/>
        <w:ind w:firstLine="709"/>
        <w:jc w:val="both"/>
      </w:pPr>
      <w:r>
        <w:rPr>
          <w:rFonts w:ascii="Arial" w:cs="Arial" w:eastAsia="Arial" w:hAnsi="Arial"/>
          <w:sz w:val="24"/>
          <w:szCs w:val="24"/>
        </w:rPr>
        <w:t xml:space="preserve">Para 300 dispositivos, a economia anual vai de R$ 44.553,60, frente à opção comercial mais barata, a R$ 149.760,00, frente ao Microsoft Intune. Em cinco anos, o intervalo é de R$ 222.768,00 a R$ 748.800,00.</w:t>
      </w:r>
    </w:p>
    <w:p>
      <w:pPr>
        <w:spacing w:after="0" w:before="0" w:line="360"/>
        <w:ind w:firstLine="709"/>
        <w:jc w:val="both"/>
      </w:pPr>
      <w:r>
        <w:rPr>
          <w:rFonts w:ascii="Arial" w:cs="Arial" w:eastAsia="Arial" w:hAnsi="Arial"/>
          <w:sz w:val="24"/>
          <w:szCs w:val="24"/>
        </w:rPr>
        <w:t xml:space="preserve">Os valores são conservadores, por três razões: (a) os preços são de lista em dólar, sujeitos a variação cambial e a tributos de importação de serviço não incluídos; (b) várias soluções cobram à parte recursos que o HWMDM já oferece, como controle remoto e filtro de conteúdo; e (c) a contratação exigiria processo licitatório nos termos da Lei nº 14.133/2021, com custo administrativo próprio (BRASIL, 2021). O tamanho real da frota deve substituir os cenários da Tabela 2 quando o inventário completo estiver matriculado.</w:t>
      </w:r>
    </w:p>
    <w:p>
      <w:pPr>
        <w:spacing w:after="0" w:before="0" w:line="360"/>
        <w:ind w:firstLine="709"/>
        <w:jc w:val="both"/>
      </w:pPr>
      <w:r>
        <w:rPr>
          <w:rFonts w:ascii="Arial" w:cs="Arial" w:eastAsia="Arial" w:hAnsi="Arial"/>
          <w:sz w:val="24"/>
          <w:szCs w:val="24"/>
        </w:rPr>
        <w:t xml:space="preserve">Além da economia direta, a solução própria elimina a dependência de fornecedor: não há risco de reajuste unilateral, descontinuação do produto ou bloqueio do serviço por inadimplência, e o código pode ser adaptado a qualquer nova demanda da administração.</w:t>
      </w:r>
    </w:p>
    <w:p>
      <w:pPr>
        <w:pStyle w:val="Heading1"/>
        <w:pageBreakBefore/>
      </w:pPr>
      <w:bookmarkStart w:name="_Toc17" w:id="17"/>
      <w:r>
        <w:rPr>
          <w:rFonts w:ascii="Arial" w:cs="Arial" w:eastAsia="Arial" w:hAnsi="Arial"/>
          <w:b/>
          <w:bCs/>
          <w:sz w:val="24"/>
          <w:szCs w:val="24"/>
        </w:rPr>
        <w:t xml:space="preserve">6 USO E SERVIÇOS OFERECIDOS</w:t>
      </w:r>
      <w:bookmarkEnd w:id="17"/>
    </w:p>
    <w:p>
      <w:pPr>
        <w:spacing w:after="0" w:before="0" w:line="360"/>
        <w:ind w:firstLine="709"/>
        <w:jc w:val="both"/>
      </w:pPr>
      <w:r>
        <w:rPr>
          <w:rFonts w:ascii="Arial" w:cs="Arial" w:eastAsia="Arial" w:hAnsi="Arial"/>
          <w:sz w:val="24"/>
          <w:szCs w:val="24"/>
        </w:rPr>
        <w:t xml:space="preserve">Com o HWMDM, a Prefeitura passa a dispor dos seguintes serviços de gestão de dispositivos móveis, disponíveis a todas as secretarias:</w:t>
      </w:r>
    </w:p>
    <w:p>
      <w:pPr>
        <w:pStyle w:val="ListParagraph"/>
        <w:numPr>
          <w:ilvl w:val="0"/>
          <w:numId w:val="2"/>
        </w:numPr>
        <w:spacing w:line="360"/>
        <w:jc w:val="both"/>
      </w:pPr>
      <w:r>
        <w:rPr>
          <w:rFonts w:ascii="Arial" w:cs="Arial" w:eastAsia="Arial" w:hAnsi="Arial"/>
          <w:b/>
          <w:bCs/>
          <w:sz w:val="24"/>
          <w:szCs w:val="24"/>
        </w:rPr>
        <w:t xml:space="preserve">Matrícula padronizada: </w:t>
      </w:r>
      <w:r>
        <w:rPr>
          <w:rFonts w:ascii="Arial" w:cs="Arial" w:eastAsia="Arial" w:hAnsi="Arial"/>
          <w:sz w:val="24"/>
          <w:szCs w:val="24"/>
        </w:rPr>
        <w:t xml:space="preserve">configuração de tablets novos ou restaurados pela leitura de um código QR, com aplicativos e restrições aplicados automaticamente.</w:t>
      </w:r>
    </w:p>
    <w:p>
      <w:pPr>
        <w:pStyle w:val="ListParagraph"/>
        <w:numPr>
          <w:ilvl w:val="0"/>
          <w:numId w:val="2"/>
        </w:numPr>
        <w:spacing w:line="360"/>
        <w:jc w:val="both"/>
      </w:pPr>
      <w:r>
        <w:rPr>
          <w:rFonts w:ascii="Arial" w:cs="Arial" w:eastAsia="Arial" w:hAnsi="Arial"/>
          <w:b/>
          <w:bCs/>
          <w:sz w:val="24"/>
          <w:szCs w:val="24"/>
        </w:rPr>
        <w:t xml:space="preserve">Equipamentos de uso dedicado: </w:t>
      </w:r>
      <w:r>
        <w:rPr>
          <w:rFonts w:ascii="Arial" w:cs="Arial" w:eastAsia="Arial" w:hAnsi="Arial"/>
          <w:sz w:val="24"/>
          <w:szCs w:val="24"/>
        </w:rPr>
        <w:t xml:space="preserve">tablets em modo quiosque para atendimento ao público, totens, agentes de saúde e escolas.</w:t>
      </w:r>
    </w:p>
    <w:p>
      <w:pPr>
        <w:pStyle w:val="ListParagraph"/>
        <w:numPr>
          <w:ilvl w:val="0"/>
          <w:numId w:val="2"/>
        </w:numPr>
        <w:spacing w:line="360"/>
        <w:jc w:val="both"/>
      </w:pPr>
      <w:r>
        <w:rPr>
          <w:rFonts w:ascii="Arial" w:cs="Arial" w:eastAsia="Arial" w:hAnsi="Arial"/>
          <w:b/>
          <w:bCs/>
          <w:sz w:val="24"/>
          <w:szCs w:val="24"/>
        </w:rPr>
        <w:t xml:space="preserve">Suporte remoto: </w:t>
      </w:r>
      <w:r>
        <w:rPr>
          <w:rFonts w:ascii="Arial" w:cs="Arial" w:eastAsia="Arial" w:hAnsi="Arial"/>
          <w:sz w:val="24"/>
          <w:szCs w:val="24"/>
        </w:rPr>
        <w:t xml:space="preserve">atendimento a distância pela equipe de TI, com visualização da tela, comandos e mensagens, sem deslocamento.</w:t>
      </w:r>
    </w:p>
    <w:p>
      <w:pPr>
        <w:pStyle w:val="ListParagraph"/>
        <w:numPr>
          <w:ilvl w:val="0"/>
          <w:numId w:val="2"/>
        </w:numPr>
        <w:spacing w:line="360"/>
        <w:jc w:val="both"/>
      </w:pPr>
      <w:r>
        <w:rPr>
          <w:rFonts w:ascii="Arial" w:cs="Arial" w:eastAsia="Arial" w:hAnsi="Arial"/>
          <w:b/>
          <w:bCs/>
          <w:sz w:val="24"/>
          <w:szCs w:val="24"/>
        </w:rPr>
        <w:t xml:space="preserve">Proteção de patrimônio: </w:t>
      </w:r>
      <w:r>
        <w:rPr>
          <w:rFonts w:ascii="Arial" w:cs="Arial" w:eastAsia="Arial" w:hAnsi="Arial"/>
          <w:sz w:val="24"/>
          <w:szCs w:val="24"/>
        </w:rPr>
        <w:t xml:space="preserve">localização em mapa, histórico de trajetos, bloqueio e restauração remota em caso de perda ou furto.</w:t>
      </w:r>
    </w:p>
    <w:p>
      <w:pPr>
        <w:pStyle w:val="ListParagraph"/>
        <w:numPr>
          <w:ilvl w:val="0"/>
          <w:numId w:val="2"/>
        </w:numPr>
        <w:spacing w:line="360"/>
        <w:jc w:val="both"/>
      </w:pPr>
      <w:r>
        <w:rPr>
          <w:rFonts w:ascii="Arial" w:cs="Arial" w:eastAsia="Arial" w:hAnsi="Arial"/>
          <w:b/>
          <w:bCs/>
          <w:sz w:val="24"/>
          <w:szCs w:val="24"/>
        </w:rPr>
        <w:t xml:space="preserve">Uso adequado da internet: </w:t>
      </w:r>
      <w:r>
        <w:rPr>
          <w:rFonts w:ascii="Arial" w:cs="Arial" w:eastAsia="Arial" w:hAnsi="Arial"/>
          <w:sz w:val="24"/>
          <w:szCs w:val="24"/>
        </w:rPr>
        <w:t xml:space="preserve">filtro de sites por categoria e por perfil, com relatório de tentativas de acesso bloqueadas.</w:t>
      </w:r>
    </w:p>
    <w:p>
      <w:pPr>
        <w:pStyle w:val="ListParagraph"/>
        <w:numPr>
          <w:ilvl w:val="0"/>
          <w:numId w:val="2"/>
        </w:numPr>
        <w:spacing w:line="360"/>
        <w:jc w:val="both"/>
      </w:pPr>
      <w:r>
        <w:rPr>
          <w:rFonts w:ascii="Arial" w:cs="Arial" w:eastAsia="Arial" w:hAnsi="Arial"/>
          <w:b/>
          <w:bCs/>
          <w:sz w:val="24"/>
          <w:szCs w:val="24"/>
        </w:rPr>
        <w:t xml:space="preserve">Distribuição de aplicativos: </w:t>
      </w:r>
      <w:r>
        <w:rPr>
          <w:rFonts w:ascii="Arial" w:cs="Arial" w:eastAsia="Arial" w:hAnsi="Arial"/>
          <w:sz w:val="24"/>
          <w:szCs w:val="24"/>
        </w:rPr>
        <w:t xml:space="preserve">publicação e atualização de aplicativos institucionais em toda a frota a partir do painel.</w:t>
      </w:r>
    </w:p>
    <w:p>
      <w:pPr>
        <w:pStyle w:val="ListParagraph"/>
        <w:numPr>
          <w:ilvl w:val="0"/>
          <w:numId w:val="2"/>
        </w:numPr>
        <w:spacing w:line="360"/>
        <w:jc w:val="both"/>
      </w:pPr>
      <w:r>
        <w:rPr>
          <w:rFonts w:ascii="Arial" w:cs="Arial" w:eastAsia="Arial" w:hAnsi="Arial"/>
          <w:b/>
          <w:bCs/>
          <w:sz w:val="24"/>
          <w:szCs w:val="24"/>
        </w:rPr>
        <w:t xml:space="preserve">Inventário e conformidade: </w:t>
      </w:r>
      <w:r>
        <w:rPr>
          <w:rFonts w:ascii="Arial" w:cs="Arial" w:eastAsia="Arial" w:hAnsi="Arial"/>
          <w:sz w:val="24"/>
          <w:szCs w:val="24"/>
        </w:rPr>
        <w:t xml:space="preserve">situação de cada aparelho em tempo real e trilha de auditoria das ações administrativas.</w:t>
      </w:r>
    </w:p>
    <w:p>
      <w:pPr>
        <w:spacing w:after="0" w:before="0" w:line="360"/>
        <w:ind w:firstLine="709"/>
        <w:jc w:val="both"/>
      </w:pPr>
      <w:r>
        <w:rPr>
          <w:rFonts w:ascii="Arial" w:cs="Arial" w:eastAsia="Arial" w:hAnsi="Arial"/>
          <w:sz w:val="24"/>
          <w:szCs w:val="24"/>
        </w:rPr>
        <w:t xml:space="preserve">A evolução prevista inclui cercas geográficas (alerta quando o dispositivo sai de uma área definida), fila de comandos para aparelhos sem conexão, publicação do painel com certificado HTTPS no domínio institucional e integração com o Knox Mobile Enrollment para matrícula automática de aparelhos Samsung adquiridos pela Prefeitura.</w:t>
      </w:r>
    </w:p>
    <w:p>
      <w:pPr>
        <w:pStyle w:val="Heading1"/>
        <w:pageBreakBefore/>
      </w:pPr>
      <w:bookmarkStart w:name="_Toc18" w:id="18"/>
      <w:r>
        <w:rPr>
          <w:rFonts w:ascii="Arial" w:cs="Arial" w:eastAsia="Arial" w:hAnsi="Arial"/>
          <w:b/>
          <w:bCs/>
          <w:sz w:val="24"/>
          <w:szCs w:val="24"/>
        </w:rPr>
        <w:t xml:space="preserve">7 CONSIDERAÇÕES FINAIS</w:t>
      </w:r>
      <w:bookmarkEnd w:id="18"/>
    </w:p>
    <w:p>
      <w:pPr>
        <w:spacing w:after="0" w:before="0" w:line="360"/>
        <w:ind w:firstLine="709"/>
        <w:jc w:val="both"/>
      </w:pPr>
      <w:r>
        <w:rPr>
          <w:rFonts w:ascii="Arial" w:cs="Arial" w:eastAsia="Arial" w:hAnsi="Arial"/>
          <w:sz w:val="24"/>
          <w:szCs w:val="24"/>
        </w:rPr>
        <w:t xml:space="preserve">O gerenciamento de dispositivos móveis é requisito para que tablets e smartphones públicos sejam usados com segurança, padronização e conformidade à LGPD. O HWMDM atende a esse requisito a partir de uma base reconhecida no mercado, o Headwind MDM, listado como parceiro pela Samsung Knox, e acrescenta recursos que, em soluções comerciais, são vendidos separadamente ou reservados a edições pagas: acesso remoto, filtro de conteúdo, modo quiosque, histórico de localização, auditoria e interface integralmente em português.</w:t>
      </w:r>
    </w:p>
    <w:p>
      <w:pPr>
        <w:spacing w:after="0" w:before="0" w:line="360"/>
        <w:ind w:firstLine="709"/>
        <w:jc w:val="both"/>
      </w:pPr>
      <w:r>
        <w:rPr>
          <w:rFonts w:ascii="Arial" w:cs="Arial" w:eastAsia="Arial" w:hAnsi="Arial"/>
          <w:sz w:val="24"/>
          <w:szCs w:val="24"/>
        </w:rPr>
        <w:t xml:space="preserve">O resultado é uma plataforma operada inteiramente pela Prefeitura, com dados sob seu controle, custo de licença nulo e economia estimada entre R$ 44,5 mil e R$ 149,8 mil por ano para uma frota de 300 dispositivos, valor que cresce proporcionalmente com a expansão da frota.</w:t>
      </w:r>
    </w:p>
    <w:p>
      <w:pPr>
        <w:pStyle w:val="Heading1"/>
        <w:pageBreakBefore/>
        <w:jc w:val="center"/>
      </w:pPr>
      <w:bookmarkStart w:name="_Toc19" w:id="19"/>
      <w:r>
        <w:rPr>
          <w:rFonts w:ascii="Arial" w:cs="Arial" w:eastAsia="Arial" w:hAnsi="Arial"/>
          <w:b/>
          <w:bCs/>
          <w:sz w:val="24"/>
          <w:szCs w:val="24"/>
        </w:rPr>
        <w:t xml:space="preserve">REFERÊNCIAS</w:t>
      </w:r>
      <w:bookmarkEnd w:id="19"/>
    </w:p>
    <w:p>
      <w:pPr>
        <w:spacing w:after="240" w:line="240"/>
        <w:jc w:val="left"/>
      </w:pPr>
      <w:r>
        <w:rPr>
          <w:rFonts w:ascii="Arial" w:cs="Arial" w:eastAsia="Arial" w:hAnsi="Arial"/>
          <w:sz w:val="24"/>
          <w:szCs w:val="24"/>
        </w:rPr>
        <w:t xml:space="preserve">APACHE SOFTWARE FOUNDATION. </w:t>
      </w:r>
      <w:r>
        <w:rPr>
          <w:rFonts w:ascii="Arial" w:cs="Arial" w:eastAsia="Arial" w:hAnsi="Arial"/>
          <w:b/>
          <w:bCs/>
          <w:sz w:val="24"/>
          <w:szCs w:val="24"/>
        </w:rPr>
        <w:t xml:space="preserve">Apache License, Version 2.0</w:t>
      </w:r>
      <w:r>
        <w:rPr>
          <w:rFonts w:ascii="Arial" w:cs="Arial" w:eastAsia="Arial" w:hAnsi="Arial"/>
          <w:sz w:val="24"/>
          <w:szCs w:val="24"/>
        </w:rPr>
        <w:t xml:space="preserve">. [S. l.], 2004. Disponível em: https://www.apache.org/licenses/LICENSE-2.0. Acesso em: 13 out. 2026.</w:t>
      </w:r>
    </w:p>
    <w:p>
      <w:pPr>
        <w:spacing w:after="240" w:line="240"/>
        <w:jc w:val="left"/>
      </w:pPr>
      <w:r>
        <w:rPr>
          <w:rFonts w:ascii="Arial" w:cs="Arial" w:eastAsia="Arial" w:hAnsi="Arial"/>
          <w:sz w:val="24"/>
          <w:szCs w:val="24"/>
        </w:rPr>
        <w:t xml:space="preserve">ASSOCIAÇÃO BRASILEIRA DE NORMAS TÉCNICAS. </w:t>
      </w:r>
      <w:r>
        <w:rPr>
          <w:rFonts w:ascii="Arial" w:cs="Arial" w:eastAsia="Arial" w:hAnsi="Arial"/>
          <w:b/>
          <w:bCs/>
          <w:sz w:val="24"/>
          <w:szCs w:val="24"/>
        </w:rPr>
        <w:t xml:space="preserve">NBR 6023</w:t>
      </w:r>
      <w:r>
        <w:rPr>
          <w:rFonts w:ascii="Arial" w:cs="Arial" w:eastAsia="Arial" w:hAnsi="Arial"/>
          <w:sz w:val="24"/>
          <w:szCs w:val="24"/>
        </w:rPr>
        <w:t xml:space="preserve">: informação e documentação: referências: elaboração. Rio de Janeiro: ABNT, 2018.</w:t>
      </w:r>
    </w:p>
    <w:p>
      <w:pPr>
        <w:spacing w:after="240" w:line="240"/>
        <w:jc w:val="left"/>
      </w:pPr>
      <w:r>
        <w:rPr>
          <w:rFonts w:ascii="Arial" w:cs="Arial" w:eastAsia="Arial" w:hAnsi="Arial"/>
          <w:sz w:val="24"/>
          <w:szCs w:val="24"/>
        </w:rPr>
        <w:t xml:space="preserve">ASSOCIAÇÃO BRASILEIRA DE NORMAS TÉCNICAS. </w:t>
      </w:r>
      <w:r>
        <w:rPr>
          <w:rFonts w:ascii="Arial" w:cs="Arial" w:eastAsia="Arial" w:hAnsi="Arial"/>
          <w:b/>
          <w:bCs/>
          <w:sz w:val="24"/>
          <w:szCs w:val="24"/>
        </w:rPr>
        <w:t xml:space="preserve">NBR 10520</w:t>
      </w:r>
      <w:r>
        <w:rPr>
          <w:rFonts w:ascii="Arial" w:cs="Arial" w:eastAsia="Arial" w:hAnsi="Arial"/>
          <w:sz w:val="24"/>
          <w:szCs w:val="24"/>
        </w:rPr>
        <w:t xml:space="preserve">: informação e documentação: citações em documentos: apresentação. Rio de Janeiro: ABNT, 2023.</w:t>
      </w:r>
    </w:p>
    <w:p>
      <w:pPr>
        <w:spacing w:after="240" w:line="240"/>
        <w:jc w:val="left"/>
      </w:pPr>
      <w:r>
        <w:rPr>
          <w:rFonts w:ascii="Arial" w:cs="Arial" w:eastAsia="Arial" w:hAnsi="Arial"/>
          <w:sz w:val="24"/>
          <w:szCs w:val="24"/>
        </w:rPr>
        <w:t xml:space="preserve">ASSOCIAÇÃO BRASILEIRA DE NORMAS TÉCNICAS. </w:t>
      </w:r>
      <w:r>
        <w:rPr>
          <w:rFonts w:ascii="Arial" w:cs="Arial" w:eastAsia="Arial" w:hAnsi="Arial"/>
          <w:b/>
          <w:bCs/>
          <w:sz w:val="24"/>
          <w:szCs w:val="24"/>
        </w:rPr>
        <w:t xml:space="preserve">NBR 14724</w:t>
      </w:r>
      <w:r>
        <w:rPr>
          <w:rFonts w:ascii="Arial" w:cs="Arial" w:eastAsia="Arial" w:hAnsi="Arial"/>
          <w:sz w:val="24"/>
          <w:szCs w:val="24"/>
        </w:rPr>
        <w:t xml:space="preserve">: informação e documentação: trabalhos acadêmicos: apresentação. Rio de Janeiro: ABNT, 2011.</w:t>
      </w:r>
    </w:p>
    <w:p>
      <w:pPr>
        <w:spacing w:after="240" w:line="240"/>
        <w:jc w:val="left"/>
      </w:pPr>
      <w:r>
        <w:rPr>
          <w:rFonts w:ascii="Arial" w:cs="Arial" w:eastAsia="Arial" w:hAnsi="Arial"/>
          <w:sz w:val="24"/>
          <w:szCs w:val="24"/>
        </w:rPr>
        <w:t xml:space="preserve">BANCO CENTRAL DO BRASIL. </w:t>
      </w:r>
      <w:r>
        <w:rPr>
          <w:rFonts w:ascii="Arial" w:cs="Arial" w:eastAsia="Arial" w:hAnsi="Arial"/>
          <w:b/>
          <w:bCs/>
          <w:sz w:val="24"/>
          <w:szCs w:val="24"/>
        </w:rPr>
        <w:t xml:space="preserve">Focus</w:t>
      </w:r>
      <w:r>
        <w:rPr>
          <w:rFonts w:ascii="Arial" w:cs="Arial" w:eastAsia="Arial" w:hAnsi="Arial"/>
          <w:sz w:val="24"/>
          <w:szCs w:val="24"/>
        </w:rPr>
        <w:t xml:space="preserve">: relatório de mercado. Brasília, DF: BCB, 2026. Disponível em: https://www.bcb.gov.br/publicacoes/focus. Acesso em: 13 out. 2026.</w:t>
      </w:r>
    </w:p>
    <w:p>
      <w:pPr>
        <w:spacing w:after="240" w:line="240"/>
        <w:jc w:val="left"/>
      </w:pPr>
      <w:r>
        <w:rPr>
          <w:rFonts w:ascii="Arial" w:cs="Arial" w:eastAsia="Arial" w:hAnsi="Arial"/>
          <w:sz w:val="24"/>
          <w:szCs w:val="24"/>
        </w:rPr>
        <w:t xml:space="preserve">BRASIL. Lei nº 13.709, de 14 de agosto de 2018. Lei Geral de Proteção de Dados Pessoais (LGPD). </w:t>
      </w:r>
      <w:r>
        <w:rPr>
          <w:rFonts w:ascii="Arial" w:cs="Arial" w:eastAsia="Arial" w:hAnsi="Arial"/>
          <w:b/>
          <w:bCs/>
          <w:sz w:val="24"/>
          <w:szCs w:val="24"/>
        </w:rPr>
        <w:t xml:space="preserve">Diário Oficial da União</w:t>
      </w:r>
      <w:r>
        <w:rPr>
          <w:rFonts w:ascii="Arial" w:cs="Arial" w:eastAsia="Arial" w:hAnsi="Arial"/>
          <w:sz w:val="24"/>
          <w:szCs w:val="24"/>
        </w:rPr>
        <w:t xml:space="preserve">: seção 1, Brasília, DF, 15 ago. 2018. Disponível em: https://www.planalto.gov.br/ccivil_03/_ato2015-2018/2018/lei/l13709.htm. Acesso em: 13 out. 2026.</w:t>
      </w:r>
    </w:p>
    <w:p>
      <w:pPr>
        <w:spacing w:after="240" w:line="240"/>
        <w:jc w:val="left"/>
      </w:pPr>
      <w:r>
        <w:rPr>
          <w:rFonts w:ascii="Arial" w:cs="Arial" w:eastAsia="Arial" w:hAnsi="Arial"/>
          <w:sz w:val="24"/>
          <w:szCs w:val="24"/>
        </w:rPr>
        <w:t xml:space="preserve">BRASIL. Lei nº 14.133, de 1º de abril de 2021. Lei de Licitações e Contratos Administrativos. </w:t>
      </w:r>
      <w:r>
        <w:rPr>
          <w:rFonts w:ascii="Arial" w:cs="Arial" w:eastAsia="Arial" w:hAnsi="Arial"/>
          <w:b/>
          <w:bCs/>
          <w:sz w:val="24"/>
          <w:szCs w:val="24"/>
        </w:rPr>
        <w:t xml:space="preserve">Diário Oficial da União</w:t>
      </w:r>
      <w:r>
        <w:rPr>
          <w:rFonts w:ascii="Arial" w:cs="Arial" w:eastAsia="Arial" w:hAnsi="Arial"/>
          <w:sz w:val="24"/>
          <w:szCs w:val="24"/>
        </w:rPr>
        <w:t xml:space="preserve">: seção 1, Brasília, DF, 1 abr. 2021. Disponível em: https://www.planalto.gov.br/ccivil_03/_ato2019-2022/2021/lei/l14133.htm. Acesso em: 13 out. 2026.</w:t>
      </w:r>
    </w:p>
    <w:p>
      <w:pPr>
        <w:spacing w:after="240" w:line="240"/>
        <w:jc w:val="left"/>
      </w:pPr>
      <w:r>
        <w:rPr>
          <w:rFonts w:ascii="Arial" w:cs="Arial" w:eastAsia="Arial" w:hAnsi="Arial"/>
          <w:sz w:val="24"/>
          <w:szCs w:val="24"/>
        </w:rPr>
        <w:t xml:space="preserve">EIN PRESSWIRE. </w:t>
      </w:r>
      <w:r>
        <w:rPr>
          <w:rFonts w:ascii="Arial" w:cs="Arial" w:eastAsia="Arial" w:hAnsi="Arial"/>
          <w:b/>
          <w:bCs/>
          <w:sz w:val="24"/>
          <w:szCs w:val="24"/>
        </w:rPr>
        <w:t xml:space="preserve">Headwind MDM, an open-source mobile device management system, has become a certified Samsung Knox partner</w:t>
      </w:r>
      <w:r>
        <w:rPr>
          <w:rFonts w:ascii="Arial" w:cs="Arial" w:eastAsia="Arial" w:hAnsi="Arial"/>
          <w:sz w:val="24"/>
          <w:szCs w:val="24"/>
        </w:rPr>
        <w:t xml:space="preserve">. [S. l.], 1 jul. 2021. Disponível em: https://www.einpresswire.com/article/545234997/headwind-mdm-an-open-source-mobile-device-management-system-has-become-a-certified-samsung-knox-partner. Acesso em: 13 out. 2026.</w:t>
      </w:r>
    </w:p>
    <w:p>
      <w:pPr>
        <w:spacing w:after="240" w:line="240"/>
        <w:jc w:val="left"/>
      </w:pPr>
      <w:r>
        <w:rPr>
          <w:rFonts w:ascii="Arial" w:cs="Arial" w:eastAsia="Arial" w:hAnsi="Arial"/>
          <w:sz w:val="24"/>
          <w:szCs w:val="24"/>
        </w:rPr>
        <w:t xml:space="preserve">GOOGLE. </w:t>
      </w:r>
      <w:r>
        <w:rPr>
          <w:rFonts w:ascii="Arial" w:cs="Arial" w:eastAsia="Arial" w:hAnsi="Arial"/>
          <w:b/>
          <w:bCs/>
          <w:sz w:val="24"/>
          <w:szCs w:val="24"/>
        </w:rPr>
        <w:t xml:space="preserve">Chrome Enterprise policy list</w:t>
      </w:r>
      <w:r>
        <w:rPr>
          <w:rFonts w:ascii="Arial" w:cs="Arial" w:eastAsia="Arial" w:hAnsi="Arial"/>
          <w:sz w:val="24"/>
          <w:szCs w:val="24"/>
        </w:rPr>
        <w:t xml:space="preserve">: URLBlocklist. [S. l.], 2026. Disponível em: https://chromeenterprise.google/policies/#URLBlocklist. Acesso em: 13 out. 2026.</w:t>
      </w:r>
    </w:p>
    <w:p>
      <w:pPr>
        <w:spacing w:after="240" w:line="240"/>
        <w:jc w:val="left"/>
      </w:pPr>
      <w:r>
        <w:rPr>
          <w:rFonts w:ascii="Arial" w:cs="Arial" w:eastAsia="Arial" w:hAnsi="Arial"/>
          <w:sz w:val="24"/>
          <w:szCs w:val="24"/>
        </w:rPr>
        <w:t xml:space="preserve">HEADWIND SOLUTIONS. </w:t>
      </w:r>
      <w:r>
        <w:rPr>
          <w:rFonts w:ascii="Arial" w:cs="Arial" w:eastAsia="Arial" w:hAnsi="Arial"/>
          <w:b/>
          <w:bCs/>
          <w:sz w:val="24"/>
          <w:szCs w:val="24"/>
        </w:rPr>
        <w:t xml:space="preserve">Headwind MDM</w:t>
      </w:r>
      <w:r>
        <w:rPr>
          <w:rFonts w:ascii="Arial" w:cs="Arial" w:eastAsia="Arial" w:hAnsi="Arial"/>
          <w:sz w:val="24"/>
          <w:szCs w:val="24"/>
        </w:rPr>
        <w:t xml:space="preserve">: open source mobile device management for Android. [S. l.], 2026. Disponível em: https://h-mdm.com. Acesso em: 13 out. 2026.</w:t>
      </w:r>
    </w:p>
    <w:p>
      <w:pPr>
        <w:spacing w:after="240" w:line="240"/>
        <w:jc w:val="left"/>
      </w:pPr>
      <w:r>
        <w:rPr>
          <w:rFonts w:ascii="Arial" w:cs="Arial" w:eastAsia="Arial" w:hAnsi="Arial"/>
          <w:sz w:val="24"/>
          <w:szCs w:val="24"/>
        </w:rPr>
        <w:t xml:space="preserve">MANAGEENGINE. </w:t>
      </w:r>
      <w:r>
        <w:rPr>
          <w:rFonts w:ascii="Arial" w:cs="Arial" w:eastAsia="Arial" w:hAnsi="Arial"/>
          <w:b/>
          <w:bCs/>
          <w:sz w:val="24"/>
          <w:szCs w:val="24"/>
        </w:rPr>
        <w:t xml:space="preserve">Mobile Device Manager Plus</w:t>
      </w:r>
      <w:r>
        <w:rPr>
          <w:rFonts w:ascii="Arial" w:cs="Arial" w:eastAsia="Arial" w:hAnsi="Arial"/>
          <w:sz w:val="24"/>
          <w:szCs w:val="24"/>
        </w:rPr>
        <w:t xml:space="preserve">: pricing. [S. l.], 2026. Disponível em: https://www.manageengine.com/mobile-device-management/pricing.html. Acesso em: 13 out. 2026.</w:t>
      </w:r>
    </w:p>
    <w:p>
      <w:pPr>
        <w:spacing w:after="240" w:line="240"/>
        <w:jc w:val="left"/>
      </w:pPr>
      <w:r>
        <w:rPr>
          <w:rFonts w:ascii="Arial" w:cs="Arial" w:eastAsia="Arial" w:hAnsi="Arial"/>
          <w:sz w:val="24"/>
          <w:szCs w:val="24"/>
        </w:rPr>
        <w:t xml:space="preserve">MICROSOFT. </w:t>
      </w:r>
      <w:r>
        <w:rPr>
          <w:rFonts w:ascii="Arial" w:cs="Arial" w:eastAsia="Arial" w:hAnsi="Arial"/>
          <w:b/>
          <w:bCs/>
          <w:sz w:val="24"/>
          <w:szCs w:val="24"/>
        </w:rPr>
        <w:t xml:space="preserve">Microsoft Intune plans and pricing</w:t>
      </w:r>
      <w:r>
        <w:rPr>
          <w:rFonts w:ascii="Arial" w:cs="Arial" w:eastAsia="Arial" w:hAnsi="Arial"/>
          <w:sz w:val="24"/>
          <w:szCs w:val="24"/>
        </w:rPr>
        <w:t xml:space="preserve">. [S. l.], 2026. Disponível em: https://www.microsoft.com/en-us/security/business/microsoft-intune-pricing. Acesso em: 13 out. 2026.</w:t>
      </w:r>
    </w:p>
    <w:p>
      <w:pPr>
        <w:spacing w:after="240" w:line="240"/>
        <w:jc w:val="left"/>
      </w:pPr>
      <w:r>
        <w:rPr>
          <w:rFonts w:ascii="Arial" w:cs="Arial" w:eastAsia="Arial" w:hAnsi="Arial"/>
          <w:sz w:val="24"/>
          <w:szCs w:val="24"/>
        </w:rPr>
        <w:t xml:space="preserve">SAMSUNG. </w:t>
      </w:r>
      <w:r>
        <w:rPr>
          <w:rFonts w:ascii="Arial" w:cs="Arial" w:eastAsia="Arial" w:hAnsi="Arial"/>
          <w:b/>
          <w:bCs/>
          <w:sz w:val="24"/>
          <w:szCs w:val="24"/>
        </w:rPr>
        <w:t xml:space="preserve">Headwind MDM</w:t>
      </w:r>
      <w:r>
        <w:rPr>
          <w:rFonts w:ascii="Arial" w:cs="Arial" w:eastAsia="Arial" w:hAnsi="Arial"/>
          <w:sz w:val="24"/>
          <w:szCs w:val="24"/>
        </w:rPr>
        <w:t xml:space="preserve">: partner solution. Samsung Knox, [S. l.], 2026a. Disponível em: https://www.samsungknox.com/en/partner-solutions/headwind-mdm. Acesso em: 13 out. 2026.</w:t>
      </w:r>
    </w:p>
    <w:p>
      <w:pPr>
        <w:spacing w:after="240" w:line="240"/>
        <w:jc w:val="left"/>
      </w:pPr>
      <w:r>
        <w:rPr>
          <w:rFonts w:ascii="Arial" w:cs="Arial" w:eastAsia="Arial" w:hAnsi="Arial"/>
          <w:sz w:val="24"/>
          <w:szCs w:val="24"/>
        </w:rPr>
        <w:t xml:space="preserve">SAMSUNG. </w:t>
      </w:r>
      <w:r>
        <w:rPr>
          <w:rFonts w:ascii="Arial" w:cs="Arial" w:eastAsia="Arial" w:hAnsi="Arial"/>
          <w:b/>
          <w:bCs/>
          <w:sz w:val="24"/>
          <w:szCs w:val="24"/>
        </w:rPr>
        <w:t xml:space="preserve">Knox Suite Enterprise Plan (1 year)</w:t>
      </w:r>
      <w:r>
        <w:rPr>
          <w:rFonts w:ascii="Arial" w:cs="Arial" w:eastAsia="Arial" w:hAnsi="Arial"/>
          <w:sz w:val="24"/>
          <w:szCs w:val="24"/>
        </w:rPr>
        <w:t xml:space="preserve">. [S. l.], 2026b. Disponível em: https://www.samsung.com/us/business/software/knox/knox-suite-enterprise-plan-1-year-sku-mi-kxksswwc211/. Acesso em: 13 out. 2026.</w:t>
      </w:r>
    </w:p>
    <w:p>
      <w:pPr>
        <w:spacing w:after="240" w:line="240"/>
        <w:jc w:val="left"/>
      </w:pPr>
      <w:r>
        <w:rPr>
          <w:rFonts w:ascii="Arial" w:cs="Arial" w:eastAsia="Arial" w:hAnsi="Arial"/>
          <w:sz w:val="24"/>
          <w:szCs w:val="24"/>
        </w:rPr>
        <w:t xml:space="preserve">SCALEFUSION. </w:t>
      </w:r>
      <w:r>
        <w:rPr>
          <w:rFonts w:ascii="Arial" w:cs="Arial" w:eastAsia="Arial" w:hAnsi="Arial"/>
          <w:b/>
          <w:bCs/>
          <w:sz w:val="24"/>
          <w:szCs w:val="24"/>
        </w:rPr>
        <w:t xml:space="preserve">Pricing</w:t>
      </w:r>
      <w:r>
        <w:rPr>
          <w:rFonts w:ascii="Arial" w:cs="Arial" w:eastAsia="Arial" w:hAnsi="Arial"/>
          <w:sz w:val="24"/>
          <w:szCs w:val="24"/>
        </w:rPr>
        <w:t xml:space="preserve">. [S. l.], 2026. Disponível em: https://scalefusion.com/pricing. Acesso em: 13 out. 2026.</w:t>
      </w:r>
    </w:p>
    <w:p>
      <w:pPr>
        <w:spacing w:after="240" w:line="240"/>
        <w:jc w:val="left"/>
      </w:pPr>
      <w:r>
        <w:rPr>
          <w:rFonts w:ascii="Arial" w:cs="Arial" w:eastAsia="Arial" w:hAnsi="Arial"/>
          <w:sz w:val="24"/>
          <w:szCs w:val="24"/>
        </w:rPr>
        <w:t xml:space="preserve">SHI. </w:t>
      </w:r>
      <w:r>
        <w:rPr>
          <w:rFonts w:ascii="Arial" w:cs="Arial" w:eastAsia="Arial" w:hAnsi="Arial"/>
          <w:b/>
          <w:bCs/>
          <w:sz w:val="24"/>
          <w:szCs w:val="24"/>
        </w:rPr>
        <w:t xml:space="preserve">Knox Manage subscription license (1 year)</w:t>
      </w:r>
      <w:r>
        <w:rPr>
          <w:rFonts w:ascii="Arial" w:cs="Arial" w:eastAsia="Arial" w:hAnsi="Arial"/>
          <w:sz w:val="24"/>
          <w:szCs w:val="24"/>
        </w:rPr>
        <w:t xml:space="preserve">. [S. l.], 2026. Disponível em: https://www.publicsector.shidirect.com/product/34496425/Knox-Manage-Subscription-license-(1-year). Acesso em: 13 out. 2026.</w:t>
      </w:r>
    </w:p>
    <w:sectPr>
      <w:headerReference w:type="default" r:id="rId8"/>
      <w:pgSz w:w="11906" w:h="16838" w:orient="portrait"/>
      <w:pgMar w:top="1701" w:right="1134" w:bottom="1134" w:left="1701" w:header="1134"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09"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60" w:before="0" w:line="360"/>
      <w:outlineLvl w:val="0"/>
    </w:pPr>
    <w:rPr>
      <w:rFonts w:ascii="Arial" w:cs="Arial" w:eastAsia="Arial" w:hAnsi="Arial"/>
      <w:b/>
      <w:bCs/>
      <w:caps/>
      <w:color w:val="000000"/>
      <w:sz w:val="24"/>
      <w:szCs w:val="24"/>
    </w:rPr>
  </w:style>
  <w:style w:type="paragraph" w:styleId="Heading2">
    <w:name w:val="Heading 2"/>
    <w:basedOn w:val="Normal"/>
    <w:next w:val="Normal"/>
    <w:qFormat/>
    <w:pPr>
      <w:keepNext/>
      <w:spacing w:after="240" w:before="360" w:line="360"/>
      <w:outlineLvl w:val="1"/>
    </w:pPr>
    <w:rPr>
      <w:rFonts w:ascii="Arial" w:cs="Arial" w:eastAsia="Arial" w:hAnsi="Arial"/>
      <w:b/>
      <w:bCs/>
      <w:color w:val="000000"/>
      <w:sz w:val="24"/>
      <w:szCs w:val="24"/>
    </w:rPr>
  </w:style>
  <w:style w:type="paragraph" w:styleId="Heading3">
    <w:name w:val="Heading 3"/>
    <w:basedOn w:val="Normal"/>
    <w:next w:val="Normal"/>
    <w:qFormat/>
    <w:pPr>
      <w:keepNext/>
      <w:spacing w:after="240" w:before="240" w:line="360"/>
      <w:outlineLvl w:val="2"/>
    </w:pPr>
    <w:rPr>
      <w:rFonts w:ascii="Arial" w:cs="Arial" w:eastAsia="Arial" w:hAnsi="Arial"/>
      <w:b w:val="false"/>
      <w:bCs w:val="false"/>
      <w:color w:val="000000"/>
      <w:sz w:val="24"/>
      <w:szCs w:val="24"/>
    </w:rPr>
  </w:style>
  <w:style w:type="paragraph" w:styleId="Caption">
    <w:name w:val="Caption"/>
    <w:basedOn w:val="Normal"/>
    <w:next w:val="Normal"/>
    <w:rPr>
      <w:rFonts w:ascii="Arial" w:cs="Arial" w:eastAsia="Arial" w:hAnsi="Arial"/>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theme" Target="theme/theme1.xml"/><Relationship Id="rId10" Type="http://schemas.openxmlformats.org/officeDocument/2006/relationships/image" Target="media/299e116c025f68d92bd6c69986b47c64294dd9f1.png"/><Relationship Id="rId11" Type="http://schemas.openxmlformats.org/officeDocument/2006/relationships/image" Target="media/e34ad3752fafceeacff1e373a32ce63a46ad0600.png"/><Relationship Id="rId12" Type="http://schemas.openxmlformats.org/officeDocument/2006/relationships/image" Target="media/2a9cfdeef16fde1df8b1676a5ffb84cc1efa6bb0.png"/><Relationship Id="rId13" Type="http://schemas.openxmlformats.org/officeDocument/2006/relationships/image" Target="media/8b198815f0d8f93f7be2ffe64b2edc1789e31e98.png"/><Relationship Id="rId14" Type="http://schemas.openxmlformats.org/officeDocument/2006/relationships/image" Target="media/c014db0467a32cfd3b40c253572b0b8b32756a6f.png"/><Relationship Id="rId15" Type="http://schemas.openxmlformats.org/officeDocument/2006/relationships/image" Target="media/c85785f0cb9f5c8941f8725e158b95650b9a353a.png"/><Relationship Id="rId16" Type="http://schemas.openxmlformats.org/officeDocument/2006/relationships/image" Target="media/f48ff0efbd90b066aa41e0abc8a8d97af1509941.png"/><Relationship Id="rId17" Type="http://schemas.openxmlformats.org/officeDocument/2006/relationships/image" Target="media/b99d94ca8f949f5e5d753a1e135836276653b039.png"/><Relationship Id="rId18" Type="http://schemas.openxmlformats.org/officeDocument/2006/relationships/image" Target="media/0492455e3780ff4070a2f42b123492e8df929b6a.png"/><Relationship Id="rId19" Type="http://schemas.openxmlformats.org/officeDocument/2006/relationships/image" Target="media/80e7c9f32250a6919a6e1800ad8c3f45e2e0360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Headwind MDM na administração municipal</dc:title>
  <dc:creator>[NOME COMPLETO DO AUTOR]</dc:creator>
  <dc:description>Documento técnico do HWMDM</dc:description>
  <cp:lastModifiedBy>Un-named</cp:lastModifiedBy>
  <cp:revision>1</cp:revision>
  <dcterms:created xsi:type="dcterms:W3CDTF">2026-10-13T12:12:06.726Z</dcterms:created>
  <dcterms:modified xsi:type="dcterms:W3CDTF">2026-10-13T12:12:06.726Z</dcterms:modified>
</cp:coreProperties>
</file>

<file path=docProps/custom.xml><?xml version="1.0" encoding="utf-8"?>
<Properties xmlns="http://schemas.openxmlformats.org/officeDocument/2006/custom-properties" xmlns:vt="http://schemas.openxmlformats.org/officeDocument/2006/docPropsVTypes"/>
</file>