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</w:pPr>
      <w:r>
        <w:rPr>
          <w:rFonts w:ascii="Segoe UI" w:hAnsi="Segoe UI"/>
          <w:b/>
          <w:color w:val="4A4A4A"/>
          <w:sz w:val="32"/>
        </w:rPr>
        <w:t>NEXUS</w:t>
      </w:r>
    </w:p>
    <w:p>
      <w:pPr>
        <w:pStyle w:val="Title"/>
        <w:spacing w:before="360"/>
      </w:pPr>
      <w:r>
        <w:t>Arquitectura Hexagonal (CRUD)</w:t>
      </w:r>
    </w:p>
    <w:p>
      <w:pPr>
        <w:spacing w:before="200"/>
      </w:pPr>
      <w:r>
        <w:rPr>
          <w:rFonts w:ascii="Segoe UI" w:hAnsi="Segoe UI"/>
          <w:color w:val="566575"/>
          <w:sz w:val="32"/>
        </w:rPr>
        <w:t>Node JS + React + Vite</w:t>
      </w:r>
    </w:p>
    <w:p>
      <w:pPr>
        <w:spacing w:before="520"/>
      </w:pPr>
      <w:r>
        <w:rPr>
          <w:b/>
          <w:color w:val="4A4A4A"/>
          <w:sz w:val="20"/>
        </w:rPr>
        <w:t>ENTREGABLES DEL PROYECTO</w:t>
      </w:r>
    </w:p>
    <w:p>
      <w:pPr>
        <w:keepNext w:val="0"/>
        <w:widowControl/>
      </w:pPr>
      <w:r>
        <w:t>Documento técnico integrado · 25 de septiembre de 2026</w:t>
      </w:r>
    </w:p>
    <w:p>
      <w:pPr>
        <w:spacing w:before="1160"/>
      </w:pPr>
      <w:r>
        <w:rPr>
          <w:color w:val="566575"/>
          <w:sz w:val="22"/>
        </w:rPr>
        <w:t>Backend Node.js y Express  ·  PostgreSQL  ·  React + Vite  ·  Ubuntu WSL</w:t>
      </w:r>
    </w:p>
    <w:p>
      <w:pPr>
        <w:keepNext w:val="0"/>
        <w:widowControl/>
      </w:pPr>
      <w:r>
        <w:t>Incluye el diagrama de arquitectura hexagonal, la especificación de rutas CRUD, la estructura del repositorio y los pasos para ejecutar la aplicación desde WSL y verla en un navegador de Windows. El despliegue en AWS queda identificado como pendiente hasta la activación del laboratorio.</w:t>
      </w:r>
    </w:p>
    <w:p>
      <w:r>
        <w:br w:type="page"/>
      </w:r>
    </w:p>
    <w:p>
      <w:pPr>
        <w:pStyle w:val="Heading1"/>
        <w:keepNext/>
      </w:pPr>
      <w:r>
        <w:t>Resumen del sistema</w:t>
      </w:r>
    </w:p>
    <w:p>
      <w:pPr>
        <w:keepNext w:val="0"/>
        <w:widowControl/>
      </w:pPr>
      <w:r>
        <w:t>NEXUS es una tienda académica de PC gaming con catálogo de productos, registro e inicio de sesión, carrito, pedidos y gestión de catálogo. El backend expone una API REST con persistencia PostgreSQL; el cliente es una SPA desarrollada con React y Vite.</w:t>
      </w:r>
    </w:p>
    <w:p>
      <w:pPr>
        <w:keepNext w:val="0"/>
        <w:widowControl/>
      </w:pPr>
      <w:r>
        <w:t>La implementación separa las reglas del dominio de Express y PostgreSQL mediante casos de uso y puertos. Las contraseñas se almacenan como hashes bcrypt y la sesión se representa con tokens JWT. Los pedidos relacionan a un usuario con varias partidas de producto y descuentan inventario dentro de una transacción.</w:t>
      </w:r>
    </w:p>
    <w:p>
      <w:pPr>
        <w:pStyle w:val="Heading2"/>
        <w:keepNext/>
      </w:pPr>
      <w:r>
        <w:t>Estado de los entregables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91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655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736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Diagrama arquitectónico de dominio, aplicación, puertos y adaptadores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Incluido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Especificación CRUD de usuarios, productos y pedidos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Incluida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Repositorio backend Node.js y frontend React/Vite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Incluido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Guía de ejecución en WSL y acceso desde navegador Windows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Incluida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5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Despliegue AWS al activar el laboratorio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Pendiente del laboratorio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Diagrama arquitectónico</w:t>
      </w:r>
    </w:p>
    <w:p>
      <w:pPr>
        <w:keepNext w:val="0"/>
        <w:widowControl/>
      </w:pPr>
      <w:r>
        <w:t>El cliente web se comunica con el adaptador HTTP. Los controladores invocan casos de uso; estos coordinan las reglas de dominio a través de contratos (puertos). La infraestructura implementa esos contratos para PostgreSQL y los servicios de seguridad.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38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ara_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575"/>
          <w:sz w:val="17"/>
        </w:rPr>
        <w:t>Figura 1. Arquitectura hexagonal de NEXUS y adaptadores externos.</w:t>
      </w:r>
    </w:p>
    <w:p>
      <w:pPr>
        <w:pStyle w:val="Heading2"/>
        <w:keepNext/>
      </w:pPr>
      <w:r>
        <w:t>Capas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5184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139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Ubicación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Frontend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SPA de autenticación, catálogo, carrito y pedidos; llamadas HTTP aisladas.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frontend/src/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Entrada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Rutas REST, controladores Express, middleware JWT y permisos.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backend/src/infrastructure/adapters/inbound/http/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Aplicación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Casos de uso de autenticación, usuarios, productos y pedidos.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backend/src/application/use-cases/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Entidades y reglas de usuario, producto, stock, pedido y totales.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backend/src/domain/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Puertos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Contratos de repositorios y del componente de hash.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backend/src/application/ports/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Salida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Adaptador PostgreSQL; bcryptjs y JWT.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backend/src/infrastructure/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Persistencia</w:t>
            </w:r>
          </w:p>
        </w:tc>
        <w:tc>
          <w:tcPr>
            <w:tcW w:type="dxa" w:w="51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Tablas relacionales, restricciones y claves foráneas.</w:t>
            </w:r>
          </w:p>
        </w:tc>
        <w:tc>
          <w:tcPr>
            <w:tcW w:type="dxa" w:w="31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backend/database/schema.sql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Reglas de seguridad y transacción</w:t>
      </w:r>
    </w:p>
    <w:p>
      <w:pPr>
        <w:pStyle w:val="ListBullet"/>
        <w:keepNext w:val="0"/>
        <w:widowControl/>
      </w:pPr>
      <w:r>
        <w:t>El dominio valida el nombre, el formato de correo y la fortaleza de la contraseña (mínimo ocho caracteres, mayúscula, minúscula y número). bcryptjs almacena el hash; la API no devuelve credenciales.</w:t>
      </w:r>
    </w:p>
    <w:p>
      <w:pPr>
        <w:pStyle w:val="ListBullet"/>
        <w:keepNext w:val="0"/>
        <w:widowControl/>
      </w:pPr>
      <w:r>
        <w:t>El middleware valida JWT en rutas privadas y limita operaciones administrativas al rol admin. Un cliente consulta sus propios datos y pedidos.</w:t>
      </w:r>
    </w:p>
    <w:p>
      <w:pPr>
        <w:pStyle w:val="ListBullet"/>
        <w:keepNext w:val="0"/>
        <w:widowControl/>
      </w:pPr>
      <w:r>
        <w:t>Al crear un pedido se valida la disponibilidad, se guarda la cabecera y sus partidas y se descuenta stock dentro de una transacción de PostgreSQL. Si una línea no tiene existencias suficientes, se revierte la operación.</w:t>
      </w:r>
    </w:p>
    <w:p>
      <w:pPr>
        <w:pStyle w:val="ListBullet"/>
        <w:keepNext w:val="0"/>
        <w:widowControl/>
      </w:pPr>
      <w:r>
        <w:t>La cancelación de pedidos pendientes repone inventario y conserva el registro como historial. Las claves foráneas restringen la eliminación de productos/usuarios referenciados por pedidos.</w:t>
      </w:r>
    </w:p>
    <w:p>
      <w:r>
        <w:br w:type="page"/>
      </w:r>
    </w:p>
    <w:p>
      <w:pPr>
        <w:pStyle w:val="Heading1"/>
        <w:keepNext/>
      </w:pPr>
      <w:r>
        <w:t>2. Especificación de endpoints</w:t>
      </w:r>
    </w:p>
    <w:p>
      <w:pPr>
        <w:keepNext w:val="0"/>
        <w:widowControl/>
      </w:pPr>
      <w:r>
        <w:t>Base local: http://localhost:4000/api. La API recibe y devuelve JSON. Las rutas protegidas requieren Authorization: Bearer &lt;token&gt; y Content-Type: application/json. Los identificadores son valores numéricos generados por PostgreSQL.</w:t>
      </w:r>
    </w:p>
    <w:p>
      <w:pPr>
        <w:pStyle w:val="Heading2"/>
        <w:keepNext/>
      </w:pPr>
      <w:r>
        <w:t>Autenticación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Método y ruta</w:t>
            </w:r>
          </w:p>
        </w:tc>
        <w:tc>
          <w:tcPr>
            <w:tcW w:type="dxa" w:w="5976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Operación y resultado</w:t>
            </w:r>
          </w:p>
        </w:tc>
        <w:tc>
          <w:tcPr>
            <w:tcW w:type="dxa" w:w="1411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Acceso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POST /auth/register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Entrada: name, email, password. Crea cuenta y devuelve usuario público y token (201).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Público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POST /auth/login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Entrada: email, password. Valida credenciales y devuelve usuario público y token (200).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Público</w:t>
            </w:r>
          </w:p>
        </w:tc>
      </w:tr>
    </w:tbl>
    <w:p>
      <w:pPr>
        <w:spacing w:after="40"/>
      </w:pPr>
    </w:p>
    <w:p>
      <w:pPr>
        <w:keepNext w:val="0"/>
        <w:widowControl/>
      </w:pPr>
      <w:r>
        <w:t>Las contraseñas y sus hashes no forman parte del usuario público. El correo debe ser único. El registro propio utiliza /auth/register.</w:t>
      </w:r>
    </w:p>
    <w:p>
      <w:pPr>
        <w:pStyle w:val="Heading2"/>
        <w:keepNext/>
      </w:pPr>
      <w:r>
        <w:t>Usuarios — operaciones CRUD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Método y ruta</w:t>
            </w:r>
          </w:p>
        </w:tc>
        <w:tc>
          <w:tcPr>
            <w:tcW w:type="dxa" w:w="5976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1411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Acceso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POST /users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Crear usuario administrativamente; recibe name, email, password y role.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GET /users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Listar usuarios sin credenciales.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GET /users/:id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Consultar usuario sin hash de contraseña.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Propietario/Admin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PUT /users/:id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Actualizar datos, rol o contraseña; una contraseña nueva se vuelve a hashear.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DELETE /users/:id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Eliminar usuario. Se restringe si tiene pedidos asociados.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Productos — operaciones CRUD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Método y ruta</w:t>
            </w:r>
          </w:p>
        </w:tc>
        <w:tc>
          <w:tcPr>
            <w:tcW w:type="dxa" w:w="5976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1411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Acceso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POST /products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Crear ficha de catálogo e inventario.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GET /products?q=&amp;category=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Listar catálogo; acepta búsqueda por texto y categoría.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Público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GET /products/:id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Consultar producto, precio y stock.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Público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PUT /products/:id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Actualizar ficha, precio o inventario.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DELETE /products/:id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Eliminar producto si no está referenciado por pedidos.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Admin</w:t>
            </w:r>
          </w:p>
        </w:tc>
      </w:tr>
    </w:tbl>
    <w:p>
      <w:pPr>
        <w:spacing w:after="40"/>
      </w:pPr>
    </w:p>
    <w:p>
      <w:pPr>
        <w:keepNext w:val="0"/>
        <w:widowControl/>
      </w:pPr>
      <w:r>
        <w:t>Campos del producto: name, category, description, price_mxn, stock, image_url y source_url opcional. Precio e inventario no pueden ser negativos.</w:t>
      </w:r>
    </w:p>
    <w:p>
      <w:pPr>
        <w:pStyle w:val="Heading2"/>
        <w:keepNext/>
      </w:pPr>
      <w:r>
        <w:t>Pedidos — operaciones CRUD y ciclo de vida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5976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1411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6"/>
              </w:rPr>
              <w:t>Acceso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POST /orders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Crear pedido. Ejemplo: {items:[{productId:1,quantity:2}]}; precio e inventario se resuelven en el servidor.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JWT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GET /orders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El cliente consulta los propios; admin puede consultar todos.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JWT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GET /orders/:id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Consultar pedido y partidas si pertenece al usuario o es admin.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Propietario/Admin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PUT /orders/:id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Administración actualiza estado: pending, paid, shipped o cancelled.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Admin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DELETE /orders/:id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Cancela pedido pendiente propio o administrado; restaura stock y conserva historial.</w:t>
            </w:r>
          </w:p>
        </w:tc>
        <w:tc>
          <w:tcPr>
            <w:tcW w:type="dxa" w:w="14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6"/>
              </w:rPr>
              <w:t>Propietario/Admin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Códigos de respuesta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8467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200 / 201</w:t>
            </w:r>
          </w:p>
        </w:tc>
        <w:tc>
          <w:tcPr>
            <w:tcW w:type="dxa" w:w="84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Consulta o actualización completada / registro creado.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400 / 401 / 403</w:t>
            </w:r>
          </w:p>
        </w:tc>
        <w:tc>
          <w:tcPr>
            <w:tcW w:type="dxa" w:w="84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Datos o regla de negocio inválidos / falta autenticación / permisos insuficientes.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404 / 409</w:t>
            </w:r>
          </w:p>
        </w:tc>
        <w:tc>
          <w:tcPr>
            <w:tcW w:type="dxa" w:w="84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Recurso inexistente / correo duplicado o conflicto con relaciones.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500 / 503</w:t>
            </w:r>
          </w:p>
        </w:tc>
        <w:tc>
          <w:tcPr>
            <w:tcW w:type="dxa" w:w="84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Error interno / servicio o base de datos no disponible (health).</w:t>
            </w:r>
          </w:p>
        </w:tc>
      </w:tr>
    </w:tbl>
    <w:p>
      <w:pPr>
        <w:spacing w:after="40"/>
      </w:pPr>
    </w:p>
    <w:p>
      <w:pPr>
        <w:keepNext w:val="0"/>
        <w:widowControl/>
      </w:pPr>
      <w:r>
        <w:t>Comprobación de servicio, fuera del prefijo /api: GET http://localhost:4000/health.</w:t>
      </w:r>
    </w:p>
    <w:p>
      <w:r>
        <w:br w:type="page"/>
      </w:r>
    </w:p>
    <w:p>
      <w:pPr>
        <w:pStyle w:val="Heading1"/>
        <w:keepNext/>
      </w:pPr>
      <w:r>
        <w:t>3. Estructura del repositorio</w:t>
      </w:r>
    </w:p>
    <w:p>
      <w:pPr>
        <w:keepNext w:val="0"/>
        <w:widowControl/>
      </w:pPr>
      <w:r>
        <w:t>La raíz taller3apiweb contiene el backend y el frontend independientes. Se omiten node_modules, dist y archivos .env porque son dependencias, productos de compilación y secretos de entorno, no código fuente compartible.</w:t>
      </w:r>
    </w:p>
    <w:p>
      <w:pPr>
        <w:spacing w:after="80"/>
        <w:ind w:left="115"/>
      </w:pPr>
      <w:r>
        <w:rPr>
          <w:rFonts w:ascii="Consolas" w:hAnsi="Consolas"/>
          <w:color w:val="25364A"/>
          <w:sz w:val="16"/>
        </w:rPr>
        <w:t>taller3apiweb/</w:t>
        <w:br/>
        <w:t>|-- README.md  y  .gitignore</w:t>
        <w:br/>
        <w:t>|-- backend/</w:t>
        <w:br/>
        <w:t>|   |-- package.json  y  .env.example</w:t>
        <w:br/>
        <w:t>|   |-- database/schema.sql</w:t>
        <w:br/>
        <w:t>|   `-- src/</w:t>
        <w:br/>
        <w:t>|       |-- server.js</w:t>
        <w:br/>
        <w:t>|       |-- domain/</w:t>
        <w:br/>
        <w:t>|       |   |-- entities/{User,Product,Order}.js</w:t>
        <w:br/>
        <w:t>|       |   `-- errors/DomainError.js</w:t>
        <w:br/>
        <w:t>|       |-- application/</w:t>
        <w:br/>
        <w:t>|       |   |-- ports/{UserRepository,ProductRepository,OrderRepository,PasswordHasher}.js</w:t>
        <w:br/>
        <w:t>|       |   `-- use-cases/{auth,users,products,orders}.js</w:t>
        <w:br/>
        <w:t>|       `-- infrastructure/</w:t>
        <w:br/>
        <w:t>|           |-- adapters/inbound/http/{controllers,middleware}.js</w:t>
        <w:br/>
        <w:t>|           |-- adapters/outbound/PostgresRepository.js</w:t>
        <w:br/>
        <w:t>|           |-- config/{database,seed}.js</w:t>
        <w:br/>
        <w:t>|           `-- security/{BcryptPasswordHasher,JwtTokenService}.js</w:t>
        <w:br/>
        <w:t>|-- frontend/</w:t>
        <w:br/>
        <w:t>|   |-- package.json, .env.example, index.html</w:t>
        <w:br/>
        <w:t>|   `-- src/</w:t>
        <w:br/>
        <w:t>|       |-- main.jsx, App.jsx, styles.css</w:t>
        <w:br/>
        <w:t>|       |-- modules/{auth,catalog,orders}/</w:t>
        <w:br/>
        <w:t>|       `-- services/api.js</w:t>
        <w:br/>
        <w:t>`-- docs/</w:t>
        <w:br/>
        <w:t xml:space="preserve">    |-- arquitectura.md y arquitectura.svg</w:t>
        <w:br/>
        <w:t xml:space="preserve">    |-- endpoints.md, estructura-proyecto.md</w:t>
        <w:br/>
        <w:t xml:space="preserve">    `-- despliegue-wsl.md y entregables.md</w:t>
      </w:r>
    </w:p>
    <w:p>
      <w:pPr>
        <w:pStyle w:val="Heading2"/>
        <w:keepNext/>
      </w:pPr>
      <w:r>
        <w:t>Tecnologías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592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5659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Backend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Node.js + Express 5</w:t>
            </w:r>
          </w:p>
        </w:tc>
        <w:tc>
          <w:tcPr>
            <w:tcW w:type="dxa" w:w="565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API REST y reglas de orquestación.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Datos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PostgreSQL + pg</w:t>
            </w:r>
          </w:p>
        </w:tc>
        <w:tc>
          <w:tcPr>
            <w:tcW w:type="dxa" w:w="565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Persistencia relacional y transacciones.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Seguridad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bcryptjs + JWT</w:t>
            </w:r>
          </w:p>
        </w:tc>
        <w:tc>
          <w:tcPr>
            <w:tcW w:type="dxa" w:w="565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Hash y autenticación basada en token.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Frontend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React 18 + Vite</w:t>
            </w:r>
          </w:p>
        </w:tc>
        <w:tc>
          <w:tcPr>
            <w:tcW w:type="dxa" w:w="565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7"/>
              </w:rPr>
              <w:t>SPA modular de tienda.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Guía de despliegue en WSL</w:t>
      </w:r>
    </w:p>
    <w:p>
      <w:pPr>
        <w:keepNext w:val="0"/>
        <w:widowControl/>
      </w:pPr>
      <w:r>
        <w:t>El backend, PostgreSQL y Vite se ejecutan en Ubuntu WSL. Windows Terminal abre la consola Linux al escribir wsl; el navegador de Windows accede a los puertos locales publicados por WSL usando localhost.</w:t>
      </w:r>
    </w:p>
    <w:p>
      <w:pPr>
        <w:pStyle w:val="Heading2"/>
        <w:keepNext/>
      </w:pPr>
      <w:r>
        <w:t>4.1 Preparar Ubuntu y copiar el proyecto</w:t>
      </w:r>
    </w:p>
    <w:p>
      <w:pPr>
        <w:keepNext/>
        <w:widowControl/>
      </w:pPr>
      <w:r>
        <w:t>Abre Windows Terminal. Entra a Ubuntu y comprueba que Node.js y npm estén instalados: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wsl</w:t>
        <w:br/>
        <w:t>node --version</w:t>
        <w:br/>
        <w:t>npm --version</w:t>
      </w:r>
    </w:p>
    <w:p>
      <w:pPr>
        <w:keepNext/>
        <w:widowControl/>
      </w:pPr>
      <w:r>
        <w:t>Si Node/npm o PostgreSQL no están instalados en Ubuntu, instala los paquetes una sola vez: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sudo apt update</w:t>
        <w:br/>
        <w:t>sudo apt install -y nodejs npm postgresql postgresql-contrib</w:t>
      </w:r>
    </w:p>
    <w:p>
      <w:pPr>
        <w:keepNext/>
        <w:widowControl/>
      </w:pPr>
      <w:r>
        <w:t>Copia el proyecto desde el workspace de Windows a la carpeta de la actividad en Linux. Estos comandos preservan la carpeta taller3apiweb existente: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mkdir -p "$HOME/taller3apiweb/nexus-gaming-store"</w:t>
        <w:br/>
        <w:t>cp -r /mnt/c/Users/josem/Documents/Codex/2026-08-10/en-l/taller3apiweb/. "$HOME/taller3apiweb/nexus-gaming-store/"</w:t>
        <w:br/>
        <w:t>cd "$HOME/taller3apiweb/nexus-gaming-store"</w:t>
      </w:r>
    </w:p>
    <w:p>
      <w:pPr>
        <w:pStyle w:val="Heading2"/>
        <w:keepNext/>
      </w:pPr>
      <w:r>
        <w:t>4.2 Preparar PostgreSQL</w:t>
      </w:r>
    </w:p>
    <w:p>
      <w:pPr>
        <w:keepNext/>
        <w:widowControl/>
      </w:pPr>
      <w:r>
        <w:t>Inicia PostgreSQL. Sólo la primera vez, crea el usuario y la base en el cliente psql (si ya existen, no repitas esas dos sentencias):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sudo service postgresql start</w:t>
        <w:br/>
        <w:t>sudo -u postgres psql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CREATE USER nexus WITH PASSWORD 'nexus_dev';</w:t>
        <w:br/>
        <w:t>CREATE DATABASE nexus_gaming OWNER nexus;</w:t>
        <w:br/>
        <w:t>\q</w:t>
      </w:r>
    </w:p>
    <w:p>
      <w:pPr>
        <w:keepNext/>
        <w:widowControl/>
      </w:pPr>
      <w:r>
        <w:t>Aplica el esquema del proyecto; las tablas se definen con IF NOT EXISTS: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cd "$HOME/taller3apiweb/nexus-gaming-store"</w:t>
        <w:br/>
        <w:t>psql postgresql://nexus:nexus_dev@localhost:5432/nexus_gaming -f "$HOME/taller3apiweb/nexus-gaming-store/backend/database/schema.sql"</w:t>
      </w:r>
    </w:p>
    <w:p>
      <w:pPr>
        <w:pStyle w:val="Heading2"/>
        <w:keepNext/>
      </w:pPr>
      <w:r>
        <w:t>4.3 Arrancar la API en la primera pestaña</w:t>
      </w:r>
    </w:p>
    <w:p>
      <w:pPr>
        <w:keepNext/>
        <w:widowControl/>
      </w:pPr>
      <w:r>
        <w:t>En Windows Terminal abre una pestaña nueva y escribe estos comandos. Mantén la pestaña abierta mientras uses la tienda: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wsl</w:t>
        <w:br/>
        <w:t>sudo service postgresql start</w:t>
        <w:br/>
        <w:t>cd "$HOME/taller3apiweb/nexus-gaming-store/backend"</w:t>
        <w:br/>
        <w:t>cp .env.example .env</w:t>
        <w:br/>
        <w:t>npm install</w:t>
        <w:br/>
        <w:t>npm run seed</w:t>
        <w:br/>
        <w:t>npm run dev</w:t>
      </w:r>
    </w:p>
    <w:p>
      <w:pPr>
        <w:keepNext w:val="0"/>
        <w:widowControl/>
      </w:pPr>
      <w:r>
        <w:t>API: http://localhost:4000/api. Estado de API y base: http://localhost:4000/health.</w:t>
      </w:r>
    </w:p>
    <w:p>
      <w:pPr>
        <w:pStyle w:val="Heading2"/>
        <w:keepNext/>
      </w:pPr>
      <w:r>
        <w:t>4.4 Arrancar React/Vite en la segunda pestaña</w:t>
      </w:r>
    </w:p>
    <w:p>
      <w:pPr>
        <w:keepNext/>
        <w:widowControl/>
      </w:pPr>
      <w:r>
        <w:t>Abre otra pestaña de Windows Terminal y ejecuta:</w:t>
      </w:r>
    </w:p>
    <w:p>
      <w:pPr>
        <w:keepLines/>
        <w:spacing w:before="0" w:after="80"/>
        <w:ind w:left="173"/>
      </w:pPr>
      <w:r>
        <w:rPr>
          <w:rFonts w:ascii="Consolas" w:hAnsi="Consolas"/>
          <w:color w:val="25364A"/>
          <w:sz w:val="16"/>
        </w:rPr>
        <w:t>wsl</w:t>
        <w:br/>
        <w:t>cd "$HOME/taller3apiweb/nexus-gaming-store/frontend"</w:t>
        <w:br/>
        <w:t>cp .env.example .env</w:t>
        <w:br/>
        <w:t>npm install</w:t>
        <w:br/>
        <w:t>npm run dev -- --host 0.0.0.0</w:t>
      </w:r>
    </w:p>
    <w:p>
      <w:pPr>
        <w:keepNext w:val="0"/>
        <w:widowControl/>
      </w:pPr>
      <w:r>
        <w:t>Abre la URL local que informe Vite. Normalmente es http://localhost:5173; si el puerto está ocupado puede usar http://localhost:5174. En la sesión revisada la aplicación responde en http://localhost:5174/.</w:t>
      </w:r>
    </w:p>
    <w:p>
      <w:pPr>
        <w:pStyle w:val="Heading2"/>
        <w:keepNext/>
      </w:pPr>
      <w:r>
        <w:t>Cuenta inicial y configuración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955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Valor inicial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Cuenta administradora</w:t>
            </w:r>
          </w:p>
        </w:tc>
        <w:tc>
          <w:tcPr>
            <w:tcW w:type="dxa" w:w="69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admin@nexus.test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Contraseña de desarrollo</w:t>
            </w:r>
          </w:p>
        </w:tc>
        <w:tc>
          <w:tcPr>
            <w:tcW w:type="dxa" w:w="69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NexusAdmin2026!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Puerto API / PostgreSQL</w:t>
            </w:r>
          </w:p>
        </w:tc>
        <w:tc>
          <w:tcPr>
            <w:tcW w:type="dxa" w:w="69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4000 / 5432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Puerto frontend observado</w:t>
            </w:r>
          </w:p>
        </w:tc>
        <w:tc>
          <w:tcPr>
            <w:tcW w:type="dxa" w:w="69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5174 (Vite puede seleccionar otro)</w:t>
            </w:r>
          </w:p>
        </w:tc>
      </w:tr>
    </w:tbl>
    <w:p>
      <w:pPr>
        <w:spacing w:after="40"/>
      </w:pPr>
    </w:p>
    <w:p>
      <w:pPr>
        <w:keepNext w:val="0"/>
        <w:widowControl/>
      </w:pPr>
      <w:r>
        <w:t>npm run seed prepara el catálogo y la cuenta administradora. Puede restablecer la contraseña inicial al ejecutarse; no lo repitas después de cambiarla si no quieres ese restablecimiento. Antes de publicar, cambia JWT_SECRET, credenciales de PostgreSQL, orígenes CORS y la cuenta de administración. No compartas archivos .env ni subas secretos al repositorio.</w:t>
      </w:r>
    </w:p>
    <w:p>
      <w:r>
        <w:br w:type="page"/>
      </w:r>
    </w:p>
    <w:p>
      <w:pPr>
        <w:pStyle w:val="Heading1"/>
        <w:keepNext/>
      </w:pPr>
      <w:r>
        <w:t>5. Despliegue en AWS</w:t>
      </w:r>
    </w:p>
    <w:p>
      <w:pPr>
        <w:keepNext w:val="0"/>
        <w:widowControl/>
      </w:pPr>
      <w:r>
        <w:t>Estado: pendiente hasta que se active el laboratorio AWS asignado. No se declara un despliegue ni se agregan capturas de una consola que todavía no se ha utilizado.</w:t>
      </w:r>
    </w:p>
    <w:p>
      <w:pPr>
        <w:keepNext w:val="0"/>
        <w:widowControl/>
      </w:pPr>
      <w:r>
        <w:t>Cuando el laboratorio esté habilitado, completar y verificar la configuración autorizada por el curso:</w:t>
      </w:r>
    </w:p>
    <w:p>
      <w:pPr>
        <w:pStyle w:val="ListNumber"/>
        <w:keepNext w:val="0"/>
        <w:widowControl/>
      </w:pPr>
      <w:r>
        <w:t>Registrar cuenta/laboratorio y región permitida; identificar los servicios que acepta la actividad.</w:t>
      </w:r>
    </w:p>
    <w:p>
      <w:pPr>
        <w:pStyle w:val="ListNumber"/>
        <w:keepNext w:val="0"/>
        <w:widowControl/>
      </w:pPr>
      <w:r>
        <w:t>Preparar PostgreSQL administrado o el mecanismo de base de datos aprobado; restringir el acceso de red a la API.</w:t>
      </w:r>
    </w:p>
    <w:p>
      <w:pPr>
        <w:pStyle w:val="ListNumber"/>
        <w:keepNext w:val="0"/>
        <w:widowControl/>
      </w:pPr>
      <w:r>
        <w:t>Desplegar backend y frontend, configurar dominio/orígenes CORS y HTTPS cuando esté disponible.</w:t>
      </w:r>
    </w:p>
    <w:p>
      <w:pPr>
        <w:pStyle w:val="ListNumber"/>
        <w:keepNext w:val="0"/>
        <w:widowControl/>
      </w:pPr>
      <w:r>
        <w:t>Guardar DATABASE_URL, JWT_SECRET y credenciales en un almacén seguro de secretos; no incluirlos en Git ni en capturas.</w:t>
      </w:r>
    </w:p>
    <w:p>
      <w:pPr>
        <w:pStyle w:val="ListNumber"/>
        <w:keepNext w:val="0"/>
        <w:widowControl/>
      </w:pPr>
      <w:r>
        <w:t>Ejecutar pruebas de health, registro e inicio de sesión, permisos, catálogo, pedido y transacción de inventario.</w:t>
      </w:r>
    </w:p>
    <w:p>
      <w:pPr>
        <w:pStyle w:val="ListNumber"/>
        <w:keepNext w:val="0"/>
        <w:widowControl/>
      </w:pPr>
      <w:r>
        <w:t>Documentar servicios y región empleados, URLs verificadas, pasos de despliegue y evidencias reales del laboratorio.</w:t>
      </w:r>
    </w:p>
    <w:p>
      <w:pPr>
        <w:pStyle w:val="Heading2"/>
        <w:keepNext/>
      </w:pPr>
      <w:r>
        <w:t>Verificación realizada en el entorno 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379"/>
            <w:vAlign w:val="center"/>
            <w:shd w:fill="3B3B3B"/>
            <w:tcMar>
              <w:top w:w="130" w:type="dxa"/>
              <w:start w:w="110" w:type="dxa"/>
              <w:bottom w:w="13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Frontend Vite</w:t>
            </w:r>
          </w:p>
        </w:tc>
        <w:tc>
          <w:tcPr>
            <w:tcW w:type="dxa" w:w="63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http://localhost:5174/ respondió HTTP 200.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API y PostgreSQL</w:t>
            </w:r>
          </w:p>
        </w:tc>
        <w:tc>
          <w:tcPr>
            <w:tcW w:type="dxa" w:w="63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/health respondió status ok.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Compilación de producción frontend</w:t>
            </w:r>
          </w:p>
        </w:tc>
        <w:tc>
          <w:tcPr>
            <w:tcW w:type="dxa" w:w="63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npm run build completó correctamente.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Diagrama integrado</w:t>
            </w:r>
          </w:p>
        </w:tc>
        <w:tc>
          <w:tcPr>
            <w:tcW w:type="dxa" w:w="63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A"/>
          </w:tcPr>
          <w:p>
            <w:pPr>
              <w:spacing w:after="0" w:line="250" w:lineRule="auto"/>
            </w:pPr>
            <w:r>
              <w:rPr>
                <w:rFonts w:ascii="Segoe UI" w:hAnsi="Segoe UI"/>
                <w:color w:val="202B36"/>
                <w:sz w:val="18"/>
              </w:rPr>
              <w:t>Incluido como figura en este documento.</w:t>
            </w:r>
          </w:p>
        </w:tc>
      </w:tr>
    </w:tbl>
    <w:p>
      <w:pPr>
        <w:spacing w:after="40"/>
      </w:pPr>
    </w:p>
    <w:p>
      <w:pPr>
        <w:keepNext w:val="0"/>
        <w:widowControl/>
      </w:pPr>
      <w:r>
        <w:t>El sistema es una implementación académica. El registro de un pedido conserva el cálculo y el inventario, pero la interfaz informa que el pago se acuerda fuera de la plataforma; no se integra una pasarela de pago.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566575"/>
        <w:sz w:val="16"/>
      </w:rPr>
      <w:t xml:space="preserve">NEXUS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Segoe UI" w:hAnsi="Segoe UI"/>
      <w:color w:val="202B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Hexagonal (CRUD) Node JS + React + Vite</dc:title>
  <dc:subject>Arquitectura hexagonal, endpoints REST, estructura y despliegue WSL</dc:subject>
  <dc:creator>NEXUS PC Gaming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