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contra los herederos indeterminados de </w:t>
      </w:r>
      <w:r>
        <w:rPr>
          <w:b/>
        </w:rPr>
        <w:t>SDAGASDGAS y DGASDGASD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