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contra los herederos indeterminados de </w:t>
      </w:r>
      <w:r>
        <w:rPr>
          <w:b/>
        </w:rPr>
        <w:t>VFSDAGAFG</w:t>
      </w:r>
      <w:r>
        <w:t xml:space="preserve"> y </w:t>
      </w:r>
      <w:r>
        <w:rPr>
          <w:b/>
        </w:rPr>
        <w:t>DSGSAGAS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