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emf" ContentType="image/x-emf"/>
  <Override PartName="/word/media/image2.emf" ContentType="image/x-emf"/>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Rural-Urban health and mortality differentials in Brazil, 2010-2013</w:t>
      </w:r>
    </w:p>
    <w:p>
      <w:pPr>
        <w:pStyle w:val="Abstract"/>
        <w:rPr>
          <w:rFonts w:ascii="Times New Roman" w:hAnsi="Times New Roman"/>
          <w:b/>
          <w:b/>
          <w:bCs/>
          <w:sz w:val="24"/>
          <w:szCs w:val="24"/>
        </w:rPr>
      </w:pPr>
      <w:r>
        <w:rPr>
          <w:rFonts w:ascii="Times New Roman" w:hAnsi="Times New Roman"/>
          <w:b/>
          <w:bCs/>
          <w:sz w:val="24"/>
          <w:szCs w:val="24"/>
        </w:rPr>
        <w:t>Abstract</w:t>
      </w:r>
    </w:p>
    <w:p>
      <w:pPr>
        <w:pStyle w:val="Abstract"/>
        <w:jc w:val="both"/>
        <w:rPr/>
      </w:pPr>
      <w:r>
        <w:rPr>
          <w:rFonts w:ascii="Times New Roman" w:hAnsi="Times New Roman"/>
          <w:sz w:val="24"/>
          <w:szCs w:val="24"/>
        </w:rPr>
        <w:t xml:space="preserve">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w:t>
      </w:r>
      <w:r>
        <w:rPr>
          <w:rFonts w:eastAsia="Cambria" w:cs="" w:ascii="Times New Roman" w:hAnsi="Times New Roman" w:cstheme="minorBidi" w:eastAsiaTheme="minorHAnsi"/>
          <w:color w:val="auto"/>
          <w:kern w:val="0"/>
          <w:sz w:val="24"/>
          <w:szCs w:val="24"/>
          <w:lang w:val="en-US" w:eastAsia="en-US" w:bidi="ar-SA"/>
        </w:rPr>
        <w:t>functional disabilities</w:t>
      </w:r>
      <w:r>
        <w:rPr>
          <w:rFonts w:ascii="Times New Roman" w:hAnsi="Times New Roman"/>
          <w:sz w:val="24"/>
          <w:szCs w:val="24"/>
        </w:rPr>
        <w:t>.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Abstract"/>
        <w:rPr>
          <w:rFonts w:ascii="Times New Roman" w:hAnsi="Times New Roman"/>
          <w:sz w:val="24"/>
          <w:szCs w:val="24"/>
        </w:rPr>
      </w:pPr>
      <w:r>
        <w:rPr>
          <w:rFonts w:ascii="Times New Roman" w:hAnsi="Times New Roman"/>
          <w:sz w:val="24"/>
          <w:szCs w:val="24"/>
        </w:rPr>
        <w:t>Keywords: Mortality, Health, Rural-Urban Differentials, life expectancy, Brazil.</w:t>
      </w:r>
    </w:p>
    <w:p>
      <w:pPr>
        <w:pStyle w:val="Abstract"/>
        <w:rPr>
          <w:rFonts w:ascii="Times New Roman" w:hAnsi="Times New Roman"/>
          <w:b/>
          <w:b/>
          <w:bCs/>
          <w:sz w:val="24"/>
          <w:szCs w:val="24"/>
        </w:rPr>
      </w:pPr>
      <w:r>
        <w:rPr>
          <w:rFonts w:ascii="Times New Roman" w:hAnsi="Times New Roman"/>
          <w:b/>
          <w:bCs/>
          <w:sz w:val="24"/>
          <w:szCs w:val="24"/>
        </w:rPr>
        <w:t>Resumè</w:t>
      </w:r>
    </w:p>
    <w:p>
      <w:pPr>
        <w:pStyle w:val="Abstract"/>
        <w:jc w:val="both"/>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ascii="Times New Roman" w:hAnsi="Times New Roman"/>
          <w:color w:val="auto"/>
          <w:kern w:val="0"/>
          <w:sz w:val="24"/>
          <w:szCs w:val="24"/>
          <w:lang w:val="en-US" w:eastAsia="en-US" w:bidi="ar-SA"/>
        </w:rPr>
        <w:t>L'urbanisation et le développement économique dans les pays à revenu élevé ont favorisé un débat sur les différences entre la santé et la mortalité dans les zones rurales et urbaines. 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TextBody"/>
        <w:shd w:fill="FFFFFF" w:val="clear"/>
        <w:bidi w:val="0"/>
        <w:spacing w:lineRule="auto" w:line="331" w:before="0" w:after="0"/>
        <w:jc w:val="both"/>
        <w:rPr>
          <w:rFonts w:ascii="Times New Roman" w:hAnsi="Times New Roman" w:eastAsia="Cambria" w:cs="" w:cstheme="minorBidi" w:eastAsiaTheme="minorHAnsi"/>
          <w:b w:val="false"/>
          <w:color w:val="auto"/>
          <w:kern w:val="0"/>
          <w:sz w:val="24"/>
          <w:szCs w:val="24"/>
          <w:lang w:val="en-US" w:eastAsia="en-US" w:bidi="ar-SA"/>
        </w:rPr>
      </w:pPr>
      <w:bookmarkStart w:id="0" w:name="docs-internal-guid-ff3d629b-7fff-d908-0b"/>
      <w:bookmarkEnd w:id="0"/>
      <w:r>
        <w:rPr>
          <w:rFonts w:eastAsia="Cambria" w:cs="" w:cstheme="minorBidi" w:eastAsiaTheme="minorHAnsi" w:ascii="Times New Roman" w:hAnsi="Times New Roman"/>
          <w:b/>
          <w:i w:val="false"/>
          <w:caps w:val="false"/>
          <w:smallCaps w:val="false"/>
          <w:strike w:val="false"/>
          <w:dstrike w:val="false"/>
          <w:color w:val="000000"/>
          <w:kern w:val="0"/>
          <w:sz w:val="24"/>
          <w:szCs w:val="24"/>
          <w:u w:val="none"/>
          <w:effect w:val="none"/>
          <w:lang w:val="en-US" w:eastAsia="en-US" w:bidi="ar-SA"/>
        </w:rPr>
        <w:t>Mots clés:</w:t>
      </w:r>
      <w:r>
        <w:rPr>
          <w:rFonts w:eastAsia="Cambria" w:cs="" w:cstheme="minorBidi" w:eastAsiaTheme="minorHAnsi"/>
          <w:b w:val="false"/>
          <w:caps w:val="false"/>
          <w:smallCaps w:val="false"/>
          <w:strike w:val="false"/>
          <w:dstrike w:val="false"/>
          <w:color w:val="000000"/>
          <w:kern w:val="0"/>
          <w:sz w:val="24"/>
          <w:szCs w:val="24"/>
          <w:u w:val="none"/>
          <w:effect w:val="none"/>
          <w:lang w:val="en-US" w:eastAsia="en-US" w:bidi="ar-SA"/>
        </w:rPr>
        <w:t xml:space="preserve"> </w:t>
      </w:r>
      <w:r>
        <w:rPr>
          <w:rFonts w:eastAsia="Cambria" w:cs="" w:cstheme="minorBidi" w:eastAsiaTheme="minorHAnsi" w:ascii="Times New Roman" w:hAnsi="Times New Roman"/>
          <w:b w:val="false"/>
          <w:i w:val="false"/>
          <w:caps w:val="false"/>
          <w:smallCaps w:val="false"/>
          <w:strike w:val="false"/>
          <w:dstrike w:val="false"/>
          <w:color w:val="000000"/>
          <w:kern w:val="0"/>
          <w:sz w:val="24"/>
          <w:szCs w:val="24"/>
          <w:u w:val="none"/>
          <w:effect w:val="none"/>
          <w:lang w:val="en-US" w:eastAsia="en-US" w:bidi="ar-SA"/>
        </w:rPr>
        <w:t>Mortalité, Santé, Différentiels rural-urbain, espérance de vie, Brésil.</w:t>
      </w:r>
    </w:p>
    <w:p>
      <w:pPr>
        <w:pStyle w:val="TextBody"/>
        <w:rPr/>
      </w:pPr>
      <w:r>
        <w:rPr/>
      </w:r>
    </w:p>
    <w:p>
      <w:pPr>
        <w:pStyle w:val="TextBody"/>
        <w:rPr>
          <w:b/>
          <w:b/>
          <w:bCs/>
        </w:rPr>
      </w:pPr>
      <w:bookmarkStart w:id="1" w:name="introduction"/>
      <w:r>
        <w:rPr>
          <w:b/>
          <w:bCs/>
        </w:rPr>
        <w:t>1. Introduction</w:t>
      </w:r>
      <w:bookmarkEnd w:id="1"/>
    </w:p>
    <w:p>
      <w:pPr>
        <w:pStyle w:val="FirstParagraph"/>
        <w:rPr/>
      </w:pPr>
      <w:r>
        <w:rPr/>
        <w:t>At the beginning of urbanization and industrialization processes in Western countries, residents of urban areas used to exhibit higher mortality rates than their rural counterparts (Woods 2003). Living conditions improved in Western cities through socio-economic development and economic growth (Deaton 2003), however,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life expectancy and health disadvantages (Chen et al. 2019; Henning-Smith et al. 2019).</w:t>
      </w:r>
    </w:p>
    <w:p>
      <w:pPr>
        <w:pStyle w:val="TextBody"/>
        <w:rPr/>
      </w:pPr>
      <w:r>
        <w:rPr/>
        <w:t>The debate over urban and rural mortality differentials in developing countries is usually divided in two components: infant/child mortality and adult mortality (Garcia 2020; Menashe-Oren and Stecklov 2018). Infant and child mortality are more impacted by community-level characteristics and socio-economic situations (Garcia 2020). In Brazil, for example, urban areas exhibit an under-five mortality advantage in comparison to the country’s rural areas, as a result of higher schooling levels and higher access to sanitation and public health facilities (Sastry 1997).</w:t>
      </w:r>
    </w:p>
    <w:p>
      <w:pPr>
        <w:pStyle w:val="TextBody"/>
        <w:rPr/>
      </w:pPr>
      <w:r>
        <w:rPr/>
        <w:t>Despite the urban advantage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allocation of essential public services and infrastructure, a consequence of rapid urbanization processes that took place over the last 50-70 years. Living conditions in these developing urbanized centers deteriorate individuals’ health and expose them to higher mortality risks compared to their rural counterparts, characterizing an urban death penalty (Fink, Günther, and Hill 2016).</w:t>
      </w:r>
    </w:p>
    <w:p>
      <w:pPr>
        <w:pStyle w:val="TextBody"/>
        <w:rPr/>
      </w:pPr>
      <w:r>
        <w:rPr/>
        <w:t>These elements of urban-rural mortality debate are documented in several studies of Brazilian mortality differentials. For instance, the 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men. He estimated 73.6 and 69.3 life expectancy at birth for the rural and urban male population, respectively, and 77.8 and 77.1 years for females. Pereira (2020) disentangled these findings by comparing Brazilian mortality levels of urban residents from slums and from out of slums with rural resident’s mortality levels and verified an urban death penalty for those living in these marginalized urban environments. Indeed, residents of the Brazilian periphery of urban metropolitan areas have to deal with damaged social conditions, limited access to basic urban infrastructure and services such as schools, health facilities and public sanitation, as well as high violence and crime rates (Rodella 2015). This scenario of social deprivation culminates in worsened health and mortality status of the urban periphery adult population of the country (Pereira 2018; Pereira and Queiroz 2016).</w:t>
      </w:r>
    </w:p>
    <w:p>
      <w:pPr>
        <w:pStyle w:val="TextBody"/>
        <w:rPr/>
      </w:pPr>
      <w:r>
        <w:rPr/>
        <w:t>Despite the debate over mortality and health differentials across and within urban and rural areas, there are no studies in Brazil that address both topics simultaneously. Recent studies brought up the discussion regarding urban-rural mortality disparities (Albuquerque 2019; Pereira 2020) and differentials in access to health facilities (Arruda, Maia, and Alves 2018). However, these studies did not take into account health expectancy and neither looked into the age-specific contributions of mortality and health for the observed differences between areas. In this sense, the rural life expectancy advantage observed in the Brazilian National Census of 2010 (Albuquerque 2019) may not be followed by a healthy life expectancy advantage, e. g., people from rural areas might live for longer periods, but they would experience a larger share of life with disabilities that can mitigate their capacity to develop daily activities.</w:t>
      </w:r>
    </w:p>
    <w:p>
      <w:pPr>
        <w:pStyle w:val="TextBody"/>
        <w:rPr/>
      </w:pPr>
      <w:r>
        <w:rPr/>
        <w:t>This paper aims to provide further evidence to the urban-rural health and mortality debates by applying a joint health-mortality methodological assessment in Brazil and decomposing observed differences among estimated health expectancy across these areas. We use mortality data collected from the 2010 National Census and prevalence data of four specific health conditions collected from the National Health Survey of 2013 and compute estimates for life expectancy and health expectancy for the adult population. Further, we decompose health expectancy differences between rural and urban populations to uncover the health and mortality age profiles of these differences. Our results show that rural residents experience health expectancy and life expectancy advantage. However, for some specific conditions such as musculoskeletal disorders the mortality advantage of rural areas compensates the health condition disadvantages, while for chronic diseases (cardiovascular diseases and diabetes) the health life expectancy differences are the joint result of urban health and mortality disadvantages.</w:t>
      </w:r>
    </w:p>
    <w:p>
      <w:pPr>
        <w:pStyle w:val="Heading1"/>
        <w:rPr/>
      </w:pPr>
      <w:bookmarkStart w:id="2" w:name="materials-and-methods"/>
      <w:r>
        <w:rPr/>
        <w:t>2. Materials and Methods</w:t>
      </w:r>
      <w:bookmarkEnd w:id="2"/>
    </w:p>
    <w:p>
      <w:pPr>
        <w:pStyle w:val="Heading2"/>
        <w:rPr/>
      </w:pPr>
      <w:bookmarkStart w:id="3" w:name="data-source"/>
      <w:r>
        <w:rPr/>
        <w:t>2.1 Data source</w:t>
      </w:r>
      <w:bookmarkEnd w:id="3"/>
    </w:p>
    <w:p>
      <w:pPr>
        <w:pStyle w:val="FirstParagraph"/>
        <w:rPr/>
      </w:pPr>
      <w:r>
        <w:rPr/>
        <w:t>We use data from 2010’s Brazilian national census of 2010 and 2013’s Brazilian national health survey (PNS) to estimate mortality age profiles and implement further extensions on these functions to estimate life expectancy and health expectancy indicators. Both household inquiries are conducted by the Brazilian Bureau of National Statistics (IBGE).</w:t>
      </w:r>
    </w:p>
    <w:p>
      <w:pPr>
        <w:pStyle w:val="TextBody"/>
        <w:rPr/>
      </w:pPr>
      <w:r>
        <w:rPr/>
        <w:t>PNS collects information on access and use of health services, preventive health behavior, and socio-demographic characteristics in order to provide regular monitoring of health indicators, such as chronic diseases prevalence (IBGE 2013; Szwarcwald et al. 2014). The survey’s questionnaire consists of three parts: the first part is related to household characteristics, the second part includes questions on socioeconomic conditions and health status of residents, and the third is answered by an adult aged 18 or more from the household and includes questions about lifestyle and morbidity (Szwarcwald et al. 2014). The sample of PNS consists of 79875 households selected through a three-stage cluster sampling and is representative at state, capital cities and rural levels (Szwarcwald et al. 2014).</w:t>
      </w:r>
    </w:p>
    <w:p>
      <w:pPr>
        <w:pStyle w:val="TextBody"/>
        <w:rPr/>
      </w:pPr>
      <w:r>
        <w:rPr/>
        <w:t>The addition of a mortality inquiry in the 2010 Population Census - including questions about age and sex of household deaths over a defined period - expanded the data alternatives to study mortality differentials in the country (Brazilian Institute of Geography and Statistics 2010). Over the last 40 years, Brazil experienced notable progress in death registration completeness levels and data quality, results of improvement of the civil registration and mortality information system (SIM, from portuguese Sistema de Informações de Mortalidade) (Queiroz et al. 2017). However, the mortality information system managed by the Ministry of Health does not provide detailed information about socioeconomic characteristics of the deceased, thus the mortality enquiry in the census questionnaire is an alternative to the mortality evaluation of different social groups (Queiroz and Sawyer 2012).</w:t>
      </w:r>
    </w:p>
    <w:p>
      <w:pPr>
        <w:pStyle w:val="TextBody"/>
        <w:rPr/>
      </w:pPr>
      <w:r>
        <w:rPr/>
        <w:t>Before presenting the methodological strategies, we must highlight that the delimitation of rural and urban environments in Brazil do not follow concrete rules such as population counts or population density as in other countries (IBGE 2017; Pera and Mello Bueno 2016). In Brazil, municipalities have autonomy for defining which areas are classified as urban and this classification is key to defining property tax payments (Brazilian Constitution 1966). Therefore, some authors mention that the ‘real’ rural population in the country is higher than expressed by the local authorities definitions and captured by National Censuses (Veiga 2003). Despite this unclear criteria of delimitation of rural environments, we use this definition since the PNS survey is not representative at the level of municipalities and hence, does not allow for the construction of different classification criteria of rural and urban areas comparable to census information.</w:t>
      </w:r>
    </w:p>
    <w:p>
      <w:pPr>
        <w:pStyle w:val="Heading2"/>
        <w:rPr/>
      </w:pPr>
      <w:bookmarkStart w:id="4" w:name="data-analysis"/>
      <w:r>
        <w:rPr/>
        <w:t>2.2 Data analysis</w:t>
      </w:r>
      <w:bookmarkEnd w:id="4"/>
    </w:p>
    <w:p>
      <w:pPr>
        <w:pStyle w:val="FirstParagraph"/>
        <w:rPr/>
      </w:pPr>
      <w:r>
        <w:rPr/>
        <w:t>Our methodological strategy consists of four steps: 1) estimation of essential life table functions for each population group (urban and rural residents) using 2010 National Census mortality data, which involves the adjustment for under-reporting of death counts (Queiroz and Sawyer 2012); 2) estimation and analysis of disease and functional disability age-specific prevalence data from PNS survey and the 2010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rPr/>
      </w:pPr>
      <w:bookmarkStart w:id="5" w:name="correction-of-mortality-levels"/>
      <w:r>
        <w:rPr/>
        <w:t>2.3 Correction of mortality levels</w:t>
      </w:r>
      <w:bookmarkEnd w:id="5"/>
    </w:p>
    <w:p>
      <w:pPr>
        <w:pStyle w:val="FirstParagraph"/>
        <w:rPr/>
      </w:pPr>
      <w:r>
        <w:rPr/>
        <w:t>Brazilian 2010 national census mortality information has completeness of death enumeration rates ranging from 80-85% (Queiroz and Sawyer 2012). Since death registry coverage is sensitive to regional inequalities (Queiroz et al. 2017), census mortality data might also exhibit this pattern and is likely to present differences between rural and urban households. However, as mentioned previously, these boundaries are defined by each municipality without concrete classification criteria and significant urban expansion has been observed from 2000</w:t>
      </w:r>
      <w:r>
        <w:rPr>
          <w:rStyle w:val="FootnoteAnchor"/>
        </w:rPr>
        <w:footnoteReference w:id="2"/>
      </w:r>
      <w:r>
        <w:rPr/>
        <w:t xml:space="preserve"> to 2010 (Pera and Mello Bueno 2016). As rural and urban areas do not share the same boundaries between these two censuses and death distribution methods assume closed populations (Moultrie et al. 2013), death completeness estimates are affected by increases in migration effects (Hill, You, and Choi 2009).</w:t>
      </w:r>
    </w:p>
    <w:p>
      <w:pPr>
        <w:pStyle w:val="TextBody"/>
        <w:rPr/>
      </w:pPr>
      <w:r>
        <w:rPr/>
        <w:t>Therefore, we assume that death reporting coverage is the same across urban and rural areas, but they differ across Brazilian five macrorregions (North, Northeast, Midwest, Southeast and South). Also, as single-person households are more frequent in urban Southern areas - particularly for the elderly population (Brazilian Institute of Geography and Statistics 2010; Melo et al. 2016), these regions are more likely to present lower death coverage rates in census mortality inquiry.</w:t>
      </w:r>
    </w:p>
    <w:p>
      <w:pPr>
        <w:pStyle w:val="TextBody"/>
        <w:rPr/>
      </w:pPr>
      <w:r>
        <w:rPr/>
        <w:t>We first estimate completeness of death counts enumeration for each of these settings by applying synthetic extinct generations (SEG) (Bennett and Horiuchi 1984), generalized growth balance (GGB) (Hill 1987) and adjusted synthetic extinct generations (adjusted SEG) (Hill, You, and Choi 2009), two-census methods built in the R package DDM (Death Registration Coverage Estimation) (Riffe, Lima, and Queiroz 2017)</w:t>
      </w:r>
      <w:r>
        <w:rPr>
          <w:rStyle w:val="FootnoteAnchor"/>
        </w:rPr>
        <w:footnoteReference w:id="3"/>
      </w:r>
      <w:r>
        <w:rPr/>
        <w:t>. We decided to use the adjusted SEG method due to its robustness to migration and intercensal coverage differences (Hill, You, and Choi 2009). The results and methodological procedure for the mortality completeness adjustment are presented in Appendix A. Census death counts for the adult population (20+) were then corrected for each macrorregion (namely, North, Northeast, Midwest, Southeast, South) by dividing the observed death counts by respective death completeness rates. With the adjusted death counts by age and sex for each area, we used standard life-tables methods to calculate life expectancy.</w:t>
      </w:r>
    </w:p>
    <w:p>
      <w:pPr>
        <w:pStyle w:val="Heading2"/>
        <w:rPr/>
      </w:pPr>
      <w:bookmarkStart w:id="6" w:name="X00921c56fa093c8016ead1d681a1d1cb7969a16"/>
      <w:r>
        <w:rPr/>
        <w:t>2.4 Health expectancy estimation by Sullivan method</w:t>
      </w:r>
      <w:bookmarkEnd w:id="6"/>
    </w:p>
    <w:p>
      <w:pPr>
        <w:pStyle w:val="FirstParagraph"/>
        <w:rPr/>
      </w:pPr>
      <w:r>
        <w:rPr/>
        <w:t>The second step was to estimate health expectancy. We use the Sullivan method to use data from disease and functional disability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rPr/>
      </w:pPr>
      <w:r>
        <w:rPr/>
        <w:t>The primary inputs of the method are the age-specific mortality rates for life table functions estimation and age-specific disease or disability (morbidity) prevalence (</w:t>
      </w:r>
      <w:r>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t>). After the estimation of life table functions using mortality rates as inputs, the complement of the morbidity prevalence (morbidity-free prevalence) are multiplied by the person-years lived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for each age group (Equation 1). Therefore, the life expectancy computed by the Sullivan method (</w:t>
      </w:r>
      <w:r>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t xml:space="preserve"> or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is an estimate of the morbidity-free life expectancy or health expectancy of the respective age-group</w:t>
      </w:r>
    </w:p>
    <w:p>
      <w:pPr>
        <w:pStyle w:val="TextBody"/>
        <w:rPr/>
      </w:pPr>
      <w:r>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rPr/>
      </w:pPr>
      <w:r>
        <w:rPr/>
        <w:t>We evaluate the morbidity prevalence and compute morbidity-free life expectancy for some specific sets of morbidities grouped in 4 categories: 1) cardiovascular diseases; 2) diabetes; 3) osteoarticular diseases (e.g., arthritis, rheumatism and back pain) - these first three inquired by the PNS survey - 4) and severe or total functional disabilities to walk, see or listen - inquired by the 2010 National Census. Cardiovascular diseases and diabetes were selected because of their recent burden increasing trend in the country (Fatima Marinho Souza, França, and Cavalcante 2017) and osteoarticular diseases and functional disabilities were selected due to its acknowledged impact on rural workers (Moreira et al. 2015).</w:t>
      </w:r>
    </w:p>
    <w:p>
      <w:pPr>
        <w:pStyle w:val="TextBody"/>
        <w:rPr/>
      </w:pPr>
      <w:r>
        <w:rPr/>
        <w:t>Since differences in urban-rural mortality are expected to favor rural residents (Albuquerque 2019), we compare both populations also by a relative measure of morbidity-free life expectancy. That is, we compute the fraction of life expectancy that the synthetic cohort is expected to live without each related morbidity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This ratio can be interpreted as a proxy of the proportion of life expected to be lived free from morbidity for a synthetic cohort with a set of age-specific morbidity prevalence rates and age-specific mortality rates. We adopt this strategy to compare relative measures and avoid distortions that might come from absolute values. We focus our attention on adult mortality differentials (20-69 age-groups) because PNS had disease prevalence data available only for the adult population (18+)</w:t>
      </w:r>
      <w:r>
        <w:rPr>
          <w:rStyle w:val="FootnoteAnchor"/>
        </w:rPr>
        <w:footnoteReference w:id="4"/>
      </w:r>
      <w:r>
        <w:rPr/>
        <w:t>.</w:t>
      </w:r>
    </w:p>
    <w:p>
      <w:pPr>
        <w:pStyle w:val="Heading2"/>
        <w:rPr/>
      </w:pPr>
      <w:bookmarkStart w:id="7" w:name="Xd251872c57ffcf187220933992ea820b0a38db5"/>
      <w:r>
        <w:rPr/>
        <w:t>2.5 Decomposition of rural-urban DFLE differentials</w:t>
      </w:r>
      <w:bookmarkEnd w:id="7"/>
    </w:p>
    <w:p>
      <w:pPr>
        <w:pStyle w:val="FirstParagraph"/>
        <w:rPr/>
      </w:pPr>
      <w:r>
        <w:rPr/>
        <w:t>In the methodological step 4, we apply the stepwise-replacement decomposition method (Andreev, Shkolnikov, and Begun 2002). The estimation of person-years lived in good health, in Equation 1, requires two-variable vectors: person-years lived by age group (</w:t>
      </w:r>
      <w:r>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t>), derived from age-specific mortality rates vector (</w:t>
      </w:r>
      <w:r>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t>), and age-specific health condition or morbidity-free prevalence vectors (</w:t>
      </w:r>
      <w:r>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t>). Then, the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at age x can be stated as a function of age-specific mortality rates and age-specific health prevalence (Equation 2).</w:t>
      </w:r>
    </w:p>
    <w:p>
      <w:pPr>
        <w:pStyle w:val="TextBody"/>
        <w:rPr/>
      </w:pPr>
      <w:r>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rPr/>
      </w:pPr>
      <w:r>
        <w:rPr/>
        <w:t>The rural-urban differences for health expectancy can be decomposed into two components computed by applying the proposed stepwise replacement algorithm. The algorithm’s rationale is based on the transformation of one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for example) into the other population group vector of health expectancy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in our case). Considering the components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function (Equation 2),we can obtain rural health expectancy vector estimates out of urban health expectancy vector by transforming each of its elements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into </w:t>
      </w:r>
      <w:r>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which is performed in an age-by-age replacement strategy: </w:t>
      </w:r>
      <w:r>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t xml:space="preserve"> and </w:t>
      </w:r>
      <w:r>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t xml:space="preserve"> are the mortality and morbidity-free prevalence rates vectors composed by rates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t xml:space="preserve"> at ages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t xml:space="preserve"> and </w:t>
      </w:r>
      <w:r>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and </w:t>
      </w:r>
      <w:r>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at ages $ x y$, respectively (Andreev, Shkolnikov, and Begun 2002).</w:t>
      </w:r>
    </w:p>
    <w:p>
      <w:pPr>
        <w:pStyle w:val="TextBody"/>
        <w:rPr/>
      </w:pPr>
      <w:r>
        <w:rPr/>
        <w:t xml:space="preserve">Therefore, the difference </w:t>
      </w:r>
      <w:r>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is the sum of two components: 1) </w:t>
      </w:r>
      <w:r>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(Equation 3),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mortality rates at age x, and 2) </w:t>
      </w:r>
      <w:r>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t xml:space="preserve"> (Equation 4), component of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xml:space="preserve"> difference due to difference in morbidity-free prevalence at age x.</w:t>
      </w:r>
    </w:p>
    <w:p>
      <w:pPr>
        <w:pStyle w:val="TextBody"/>
        <w:rPr/>
      </w:pPr>
      <w:r>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rPr/>
      </w:pPr>
      <w:r>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rPr/>
      </w:pPr>
      <w:bookmarkStart w:id="8" w:name="results"/>
      <w:r>
        <w:rPr/>
        <w:t>3. Results</w:t>
      </w:r>
      <w:bookmarkEnd w:id="8"/>
    </w:p>
    <w:p>
      <w:pPr>
        <w:pStyle w:val="FirstParagraph"/>
        <w:rPr/>
      </w:pPr>
      <w:r>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Further, we verify higher life expectancy sex gaps in urban areas than in rural areas.</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ImageCaption"/>
        <w:rPr/>
      </w:pPr>
      <w:r>
        <w:rPr>
          <w:b/>
          <w:bCs/>
        </w:rPr>
        <w:t>Figure 1:</w:t>
      </w:r>
      <w:r>
        <w:rPr/>
        <w:t xml:space="preserve"> Rural and urban age-specific mortality rates by sex - Brazil, 2010. Source: 2010 Brazilian National Census.</w:t>
      </w:r>
    </w:p>
    <w:p>
      <w:pPr>
        <w:pStyle w:val="CaptionedFigure"/>
        <w:rPr/>
      </w:pPr>
      <w:r>
        <w:rPr/>
        <w:drawing>
          <wp:inline distT="0" distB="0" distL="114935" distR="114935">
            <wp:extent cx="5486400" cy="2743200"/>
            <wp:effectExtent l="0" t="0" r="0" b="0"/>
            <wp:docPr id="1" name="Picture"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Rural and urban age-specific mortality rates by sex - Brazil, 2010. Source: 2010 Brazilian National Census."/>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p>
    <w:p>
      <w:pPr>
        <w:pStyle w:val="ImageCaption"/>
        <w:rPr/>
      </w:pPr>
      <w:r>
        <w:rPr/>
      </w:r>
    </w:p>
    <w:p>
      <w:pPr>
        <w:pStyle w:val="Normal1"/>
        <w:keepNext w:val="false"/>
        <w:keepLines w:val="false"/>
        <w:widowControl/>
        <w:pBdr/>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Rural and urban life expectancy estimates by sex and age - Brazil, 2010. Source: 2010 Brazilian National Census.</w:t>
      </w:r>
    </w:p>
    <w:tbl>
      <w:tblPr>
        <w:tblStyle w:val="Table1"/>
        <w:tblW w:w="8611" w:type="dxa"/>
        <w:jc w:val="left"/>
        <w:tblInd w:w="108" w:type="dxa"/>
        <w:tblCellMar>
          <w:top w:w="0" w:type="dxa"/>
          <w:left w:w="108" w:type="dxa"/>
          <w:bottom w:w="0" w:type="dxa"/>
          <w:right w:w="108" w:type="dxa"/>
        </w:tblCellMar>
        <w:tblLook w:val="0000"/>
      </w:tblPr>
      <w:tblGrid>
        <w:gridCol w:w="605"/>
        <w:gridCol w:w="864"/>
        <w:gridCol w:w="864"/>
        <w:gridCol w:w="1440"/>
        <w:gridCol w:w="864"/>
        <w:gridCol w:w="863"/>
        <w:gridCol w:w="1440"/>
        <w:gridCol w:w="835"/>
        <w:gridCol w:w="836"/>
      </w:tblGrid>
      <w:tr>
        <w:trPr/>
        <w:tc>
          <w:tcPr>
            <w:tcW w:w="605"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bCs/>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r>
          </w:p>
        </w:tc>
        <w:tc>
          <w:tcPr>
            <w:tcW w:w="3168" w:type="dxa"/>
            <w:gridSpan w:val="3"/>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Males</w:t>
            </w:r>
          </w:p>
        </w:tc>
        <w:tc>
          <w:tcPr>
            <w:tcW w:w="3167" w:type="dxa"/>
            <w:gridSpan w:val="3"/>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w:t>
            </w:r>
          </w:p>
        </w:tc>
        <w:tc>
          <w:tcPr>
            <w:tcW w:w="1671" w:type="dxa"/>
            <w:gridSpan w:val="2"/>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Sex differentials </w:t>
            </w:r>
          </w:p>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(Females-Males)</w:t>
            </w:r>
          </w:p>
        </w:tc>
      </w:tr>
      <w:tr>
        <w:trPr/>
        <w:tc>
          <w:tcPr>
            <w:tcW w:w="605"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Age</w:t>
            </w:r>
          </w:p>
        </w:tc>
        <w:tc>
          <w:tcPr>
            <w:tcW w:w="864"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p>
        </w:tc>
        <w:tc>
          <w:tcPr>
            <w:tcW w:w="864"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p>
        </w:tc>
        <w:tc>
          <w:tcPr>
            <w:tcW w:w="1440"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Difference</w:t>
            </w:r>
          </w:p>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(Rural-Urban)</w:t>
            </w:r>
          </w:p>
        </w:tc>
        <w:tc>
          <w:tcPr>
            <w:tcW w:w="864"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p>
        </w:tc>
        <w:tc>
          <w:tcPr>
            <w:tcW w:w="863"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p>
        </w:tc>
        <w:tc>
          <w:tcPr>
            <w:tcW w:w="1440"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Difference</w:t>
            </w:r>
          </w:p>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(Rural-Urban)</w:t>
            </w:r>
          </w:p>
        </w:tc>
        <w:tc>
          <w:tcPr>
            <w:tcW w:w="835"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p>
        </w:tc>
        <w:tc>
          <w:tcPr>
            <w:tcW w:w="836"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b/>
                <w:b/>
                <w:bCs/>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p>
        </w:tc>
      </w:tr>
      <w:tr>
        <w:trPr/>
        <w:tc>
          <w:tcPr>
            <w:tcW w:w="605"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864"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55.6</w:t>
            </w:r>
          </w:p>
        </w:tc>
        <w:tc>
          <w:tcPr>
            <w:tcW w:w="864"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50.7</w:t>
            </w:r>
          </w:p>
        </w:tc>
        <w:tc>
          <w:tcPr>
            <w:tcW w:w="1440"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4.9</w:t>
            </w:r>
          </w:p>
        </w:tc>
        <w:tc>
          <w:tcPr>
            <w:tcW w:w="864"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58.9</w:t>
            </w:r>
          </w:p>
        </w:tc>
        <w:tc>
          <w:tcPr>
            <w:tcW w:w="863"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57.7</w:t>
            </w:r>
          </w:p>
        </w:tc>
        <w:tc>
          <w:tcPr>
            <w:tcW w:w="1440"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w:t>
            </w:r>
          </w:p>
        </w:tc>
        <w:tc>
          <w:tcPr>
            <w:tcW w:w="835"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3.3</w:t>
            </w:r>
          </w:p>
        </w:tc>
        <w:tc>
          <w:tcPr>
            <w:tcW w:w="836"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7.0</w:t>
            </w:r>
          </w:p>
        </w:tc>
      </w:tr>
      <w:tr>
        <w:trPr/>
        <w:tc>
          <w:tcPr>
            <w:tcW w:w="605"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864"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38.5</w:t>
            </w:r>
          </w:p>
        </w:tc>
        <w:tc>
          <w:tcPr>
            <w:tcW w:w="864"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33.8</w:t>
            </w:r>
          </w:p>
        </w:tc>
        <w:tc>
          <w:tcPr>
            <w:tcW w:w="1440"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4.7</w:t>
            </w:r>
          </w:p>
        </w:tc>
        <w:tc>
          <w:tcPr>
            <w:tcW w:w="864"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40.2</w:t>
            </w:r>
          </w:p>
        </w:tc>
        <w:tc>
          <w:tcPr>
            <w:tcW w:w="863"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38.8</w:t>
            </w:r>
          </w:p>
        </w:tc>
        <w:tc>
          <w:tcPr>
            <w:tcW w:w="1440"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1.4</w:t>
            </w:r>
          </w:p>
        </w:tc>
        <w:tc>
          <w:tcPr>
            <w:tcW w:w="835"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1.7</w:t>
            </w:r>
          </w:p>
        </w:tc>
        <w:tc>
          <w:tcPr>
            <w:tcW w:w="836" w:type="dxa"/>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w:t>
            </w:r>
          </w:p>
        </w:tc>
      </w:tr>
      <w:tr>
        <w:trPr/>
        <w:tc>
          <w:tcPr>
            <w:tcW w:w="605"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864"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21.8</w:t>
            </w:r>
          </w:p>
        </w:tc>
        <w:tc>
          <w:tcPr>
            <w:tcW w:w="864"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18.1</w:t>
            </w:r>
          </w:p>
        </w:tc>
        <w:tc>
          <w:tcPr>
            <w:tcW w:w="1440"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3.7</w:t>
            </w:r>
          </w:p>
        </w:tc>
        <w:tc>
          <w:tcPr>
            <w:tcW w:w="864"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22.6</w:t>
            </w:r>
          </w:p>
        </w:tc>
        <w:tc>
          <w:tcPr>
            <w:tcW w:w="863"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21.6</w:t>
            </w:r>
          </w:p>
        </w:tc>
        <w:tc>
          <w:tcPr>
            <w:tcW w:w="1440"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w:t>
            </w:r>
          </w:p>
        </w:tc>
        <w:tc>
          <w:tcPr>
            <w:tcW w:w="835"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w:t>
            </w:r>
          </w:p>
        </w:tc>
        <w:tc>
          <w:tcPr>
            <w:tcW w:w="836"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3.5</w:t>
            </w:r>
          </w:p>
        </w:tc>
      </w:tr>
    </w:tbl>
    <w:p>
      <w:pPr>
        <w:pStyle w:val="Normal1"/>
        <w:keepNext w:val="false"/>
        <w:keepLines w:val="false"/>
        <w:widowControl/>
        <w:pBdr/>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TextBody"/>
        <w:rPr/>
      </w:pPr>
      <w:r>
        <w:rPr/>
        <w:t>Concerning estimates of disease and disability prevalence, Figure 2 presents results by age and residence areas. We present the prevalence rates estimated from data of the PNS survey of 2013 for cardiovascular diseases, diabetes, and osteoarticular diseases and from the 2010 National Census data for functional disabilities and their respective smoothed estimates</w:t>
      </w:r>
      <w:r>
        <w:rPr>
          <w:rStyle w:val="FootnoteAnchor"/>
        </w:rPr>
        <w:footnoteReference w:id="5"/>
      </w:r>
      <w:r>
        <w:rPr/>
        <w:t>. The smoothing methods were used to minimize the high variability of prevalence rates, especially for PNS lower counts of rural residents. Smoothing of functional disability prevalence for census information is presented, but the original prevalence rates were used for Sullivan method estimation of the next section since they showed very low variability.</w:t>
      </w:r>
    </w:p>
    <w:p>
      <w:pPr>
        <w:pStyle w:val="TextBody"/>
        <w:rPr/>
      </w:pPr>
      <w:r>
        <w:rPr/>
        <w:t>For the adult population, there are rural penalties (higher rural-urban prevalence ratios) in the prevalence of osteoarticular diseases and functional disabilities for males and of cardiovascular diseases and functional disabilities for females. Rural men are in a better off situation regarding diabetes prevalence rates, which exhibited wide gaps for advanced ages. Female prevalence curves for diabetes did not present any significant gap. Significant decreases observed in PNS morbidity prevalence for the elderly may be related to poor disease diagnosis of this age-group in rural populations.</w:t>
      </w:r>
    </w:p>
    <w:p>
      <w:pPr>
        <w:pStyle w:val="CaptionedFigure"/>
        <w:rPr/>
      </w:pPr>
      <w:r>
        <w:rPr/>
        <w:drawing>
          <wp:inline distT="0" distB="0" distL="114935" distR="114935">
            <wp:extent cx="5486400" cy="2743200"/>
            <wp:effectExtent l="0" t="0" r="0" b="0"/>
            <wp:docPr id="2"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p>
    <w:p>
      <w:pPr>
        <w:pStyle w:val="ImageCaption"/>
        <w:rPr/>
      </w:pPr>
      <w:r>
        <w:rPr/>
        <w:t>Figure 2: Rural and urban disease and disability prevalence by sex and age - Brazil, 2010-2013. Source: 2010 Brazilian National Census 2010 and 2013 National Health Survey.</w:t>
      </w:r>
    </w:p>
    <w:p>
      <w:pPr>
        <w:pStyle w:val="TextBody"/>
        <w:rPr/>
      </w:pPr>
      <w:r>
        <w:rPr/>
        <w:t>Table 2 presents the results of morbidity-free life expectancy or health expectancy (</w:t>
      </w:r>
      <w:r>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t>) estimates for males and females of rural and urban areas at birth, at 20 years old, at 40 years old, and at 60 years old. The absolute differences in morbidity and mortality highlight rural advantages in health expectancy and life expectancy, but might distort rural disadvantages related to characteristics of agricultural work and rural lifestyles. When examining relative measures of health expectancy (</w:t>
      </w:r>
      <w:r>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t xml:space="preserve"> ratio), the rural advantage prevails only for cardiovascular diseases and diabetes, whereas a relative urban advantage is observed for osteoarticular diseases and functional disabilities.</w:t>
      </w:r>
    </w:p>
    <w:p>
      <w:pPr>
        <w:pStyle w:val="Normal1"/>
        <w:keepNext w:val="false"/>
        <w:keepLines w:val="false"/>
        <w:widowControl/>
        <w:pBdr/>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Rural and urban health expectancy estimates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health expectancy to life expectancy ratios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by sex and age - Brazil, 2010-2013. Source: Brazilian National Census 2010 and National Health Survey 2013. </w:t>
      </w:r>
    </w:p>
    <w:tbl>
      <w:tblPr>
        <w:tblStyle w:val="Table2"/>
        <w:tblW w:w="8385" w:type="dxa"/>
        <w:jc w:val="left"/>
        <w:tblInd w:w="108" w:type="dxa"/>
        <w:tblCellMar>
          <w:top w:w="0" w:type="dxa"/>
          <w:left w:w="108" w:type="dxa"/>
          <w:bottom w:w="0" w:type="dxa"/>
          <w:right w:w="108" w:type="dxa"/>
        </w:tblCellMar>
        <w:tblLook w:val="0000"/>
      </w:tblPr>
      <w:tblGrid>
        <w:gridCol w:w="2258"/>
        <w:gridCol w:w="1532"/>
        <w:gridCol w:w="1531"/>
        <w:gridCol w:w="1532"/>
        <w:gridCol w:w="1532"/>
      </w:tblGrid>
      <w:tr>
        <w:trPr/>
        <w:tc>
          <w:tcPr>
            <w:tcW w:w="2258"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063" w:type="dxa"/>
            <w:gridSpan w:val="2"/>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Males</w:t>
            </w:r>
          </w:p>
        </w:tc>
        <w:tc>
          <w:tcPr>
            <w:tcW w:w="3064" w:type="dxa"/>
            <w:gridSpan w:val="2"/>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Females</w:t>
            </w:r>
          </w:p>
        </w:tc>
      </w:tr>
      <w:tr>
        <w:trPr>
          <w:trHeight w:val="537" w:hRule="atLeast"/>
        </w:trPr>
        <w:tc>
          <w:tcPr>
            <w:tcW w:w="2258"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532"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Rural</w:t>
            </w:r>
          </w:p>
        </w:tc>
        <w:tc>
          <w:tcPr>
            <w:tcW w:w="1531"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Urban</w:t>
            </w:r>
          </w:p>
        </w:tc>
        <w:tc>
          <w:tcPr>
            <w:tcW w:w="1532"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Rural</w:t>
            </w:r>
          </w:p>
        </w:tc>
        <w:tc>
          <w:tcPr>
            <w:tcW w:w="1532" w:type="dxa"/>
            <w:tcBorders>
              <w:top w:val="single" w:sz="4" w:space="0" w:color="000000"/>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Urban</w:t>
            </w:r>
          </w:p>
        </w:tc>
      </w:tr>
      <w:tr>
        <w:trPr/>
        <w:tc>
          <w:tcPr>
            <w:tcW w:w="2258"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Cardiovascular diseases</w:t>
            </w:r>
          </w:p>
        </w:tc>
        <w:tc>
          <w:tcPr>
            <w:tcW w:w="1532"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1"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41.4 (0.74)</w:t>
            </w:r>
          </w:p>
        </w:tc>
        <w:tc>
          <w:tcPr>
            <w:tcW w:w="1531"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34.6 (0.68)</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35.9 (0.61)</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34.2 (0.59)</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25.2 (0.65)</w:t>
            </w:r>
          </w:p>
        </w:tc>
        <w:tc>
          <w:tcPr>
            <w:tcW w:w="1531"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18.6 (0.55)</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19.1 (0.48)</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17.3 (0.45)</w:t>
            </w:r>
          </w:p>
        </w:tc>
      </w:tr>
      <w:tr>
        <w:trPr/>
        <w:tc>
          <w:tcPr>
            <w:tcW w:w="2258"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bottom w:val="single" w:sz="4" w:space="0" w:color="000000"/>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12.1 (0.56)</w:t>
            </w:r>
          </w:p>
        </w:tc>
        <w:tc>
          <w:tcPr>
            <w:tcW w:w="1531" w:type="dxa"/>
            <w:tcBorders>
              <w:bottom w:val="single" w:sz="4" w:space="0" w:color="000000"/>
            </w:tcBorders>
            <w:shd w:fill="auto" w:val="clear"/>
          </w:tcPr>
          <w:p>
            <w:pPr>
              <w:pStyle w:val="Normal1"/>
              <w:spacing w:lineRule="auto" w:line="240" w:before="0" w:after="200"/>
              <w:jc w:val="right"/>
              <w:rPr>
                <w:sz w:val="24"/>
                <w:szCs w:val="24"/>
              </w:rPr>
            </w:pPr>
            <w:r>
              <w:rPr>
                <w:rFonts w:eastAsia="Times New Roman" w:cs="Times New Roman" w:ascii="Times New Roman" w:hAnsi="Times New Roman"/>
                <w:b w:val="false"/>
                <w:i w:val="false"/>
                <w:strike w:val="false"/>
                <w:dstrike w:val="false"/>
                <w:sz w:val="24"/>
                <w:szCs w:val="24"/>
                <w:u w:val="none"/>
              </w:rPr>
              <w:t>7.7 (0.43)</w:t>
            </w:r>
          </w:p>
        </w:tc>
        <w:tc>
          <w:tcPr>
            <w:tcW w:w="1532" w:type="dxa"/>
            <w:tcBorders>
              <w:bottom w:val="single" w:sz="4" w:space="0" w:color="000000"/>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sz w:val="24"/>
                <w:szCs w:val="24"/>
              </w:rPr>
              <w:t>9.0 (0.40)</w:t>
            </w:r>
          </w:p>
        </w:tc>
        <w:tc>
          <w:tcPr>
            <w:tcW w:w="1532" w:type="dxa"/>
            <w:tcBorders>
              <w:bottom w:val="single" w:sz="4" w:space="0" w:color="000000"/>
            </w:tcBorders>
            <w:shd w:fill="auto" w:val="clear"/>
          </w:tcPr>
          <w:p>
            <w:pPr>
              <w:pStyle w:val="Normal1"/>
              <w:spacing w:lineRule="auto" w:line="240" w:before="0" w:after="200"/>
              <w:jc w:val="right"/>
              <w:rPr>
                <w:sz w:val="24"/>
                <w:szCs w:val="24"/>
              </w:rPr>
            </w:pPr>
            <w:r>
              <w:rPr>
                <w:rFonts w:eastAsia="Times New Roman" w:cs="Times New Roman" w:ascii="Times New Roman" w:hAnsi="Times New Roman"/>
                <w:b w:val="false"/>
                <w:i w:val="false"/>
                <w:strike w:val="false"/>
                <w:dstrike w:val="false"/>
                <w:sz w:val="24"/>
                <w:szCs w:val="24"/>
                <w:u w:val="none"/>
              </w:rPr>
              <w:t>7.0 (0.32)</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Diabetes</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1"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53.2 (0.96)</w:t>
              <w:tab/>
            </w:r>
          </w:p>
        </w:tc>
        <w:tc>
          <w:tcPr>
            <w:tcW w:w="1531"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46.8 (0.92)</w:t>
              <w:tab/>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54.2 (0.92)</w:t>
              <w:tab/>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52.0 (0.90)</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36.2 (0.94)</w:t>
              <w:tab/>
            </w:r>
          </w:p>
        </w:tc>
        <w:tc>
          <w:tcPr>
            <w:tcW w:w="1531"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29.8 (0.88)</w:t>
              <w:tab/>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35.5 (0.88)</w:t>
              <w:tab/>
            </w:r>
          </w:p>
        </w:tc>
        <w:tc>
          <w:tcPr>
            <w:tcW w:w="1532" w:type="dxa"/>
            <w:tcBorders/>
            <w:shd w:fill="auto" w:val="clear"/>
          </w:tcPr>
          <w:p>
            <w:pPr>
              <w:pStyle w:val="Normal1"/>
              <w:spacing w:lineRule="auto" w:line="240" w:before="0" w:after="200"/>
              <w:jc w:val="right"/>
              <w:rPr>
                <w:rFonts w:ascii="Times New Roman" w:hAnsi="Times New Roman" w:eastAsia="Times New Roman" w:cs="Times New Roman"/>
                <w:b w:val="false"/>
                <w:b w:val="false"/>
                <w:i w:val="false"/>
                <w:i w:val="false"/>
                <w:strike w:val="false"/>
                <w:dstrike w:val="false"/>
                <w:sz w:val="24"/>
                <w:szCs w:val="24"/>
                <w:u w:val="none"/>
              </w:rPr>
            </w:pPr>
            <w:r>
              <w:rPr>
                <w:rFonts w:eastAsia="Times New Roman" w:cs="Times New Roman" w:ascii="Times New Roman" w:hAnsi="Times New Roman"/>
                <w:b w:val="false"/>
                <w:i w:val="false"/>
                <w:strike w:val="false"/>
                <w:dstrike w:val="false"/>
                <w:sz w:val="24"/>
                <w:szCs w:val="24"/>
                <w:u w:val="none"/>
              </w:rPr>
              <w:t>33.2 (0.86)</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rPr>
              <w:t>19.9 (0.91)</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rPr>
              <w:t>14.9 (0.82)</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rPr>
              <w:t>19.1 (0.85)</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rPr>
              <w:t>17.1 (0.79)</w:t>
            </w:r>
          </w:p>
        </w:tc>
      </w:tr>
      <w:tr>
        <w:trPr/>
        <w:tc>
          <w:tcPr>
            <w:tcW w:w="2258"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Osteoarticular diseases</w:t>
            </w:r>
          </w:p>
        </w:tc>
        <w:tc>
          <w:tcPr>
            <w:tcW w:w="1532"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1"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top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 (0.74)</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40.5 (0.80)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40.8 (0.69)</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40.1 (0.69)</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26.3 (0.68)</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25.1 (0.74)</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b w:val="false"/>
                <w:b w:val="false"/>
                <w:i w:val="false"/>
                <w:i w:val="false"/>
                <w:strike w:val="false"/>
                <w:dstrike w:val="false"/>
                <w:sz w:val="22"/>
                <w:szCs w:val="22"/>
                <w:u w:val="none"/>
              </w:rPr>
            </w:pPr>
            <w:r>
              <w:rPr>
                <w:rFonts w:eastAsia="Times New Roman" w:cs="Times New Roman" w:ascii="Times New Roman" w:hAnsi="Times New Roman"/>
                <w:b w:val="false"/>
                <w:i w:val="false"/>
                <w:strike w:val="false"/>
                <w:dstrike w:val="false"/>
                <w:sz w:val="22"/>
                <w:szCs w:val="22"/>
                <w:u w:val="none"/>
              </w:rPr>
              <w:t>24.6 (0.61)</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24.4 (0.63)</w:t>
            </w:r>
          </w:p>
        </w:tc>
      </w:tr>
      <w:tr>
        <w:trPr/>
        <w:tc>
          <w:tcPr>
            <w:tcW w:w="2258"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15.0 (0.69)</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12.6 (0.70)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strike w:val="false"/>
                <w:dstrike w:val="false"/>
                <w:sz w:val="24"/>
                <w:szCs w:val="24"/>
                <w:u w:val="none"/>
              </w:rPr>
              <w:t>13.4 (0.59)</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strike w:val="false"/>
                <w:dstrike w:val="false"/>
                <w:sz w:val="24"/>
                <w:szCs w:val="24"/>
                <w:u w:val="none"/>
              </w:rPr>
              <w:t>12.7 (0.59)</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Census disabilities</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1"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Cambria" w:hAnsi="Cambria" w:eastAsia="Cambria" w:cs="Cambria"/>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49.0 (0.88)</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46.0 (0.91)</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50.6 (0.86)</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50.3 (0.87)</w:t>
            </w:r>
          </w:p>
        </w:tc>
      </w:tr>
      <w:tr>
        <w:trPr/>
        <w:tc>
          <w:tcPr>
            <w:tcW w:w="2258" w:type="dxa"/>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32.0 (0.83)</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29.2 (0.86)</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sz w:val="20"/>
                <w:szCs w:val="20"/>
              </w:rPr>
            </w:pPr>
            <w:r>
              <w:rPr>
                <w:rFonts w:eastAsia="Times New Roman" w:cs="Times New Roman" w:ascii="Times New Roman" w:hAnsi="Times New Roman"/>
                <w:b w:val="false"/>
                <w:i w:val="false"/>
                <w:strike w:val="false"/>
                <w:dstrike w:val="false"/>
                <w:sz w:val="24"/>
                <w:szCs w:val="24"/>
                <w:u w:val="none"/>
              </w:rPr>
              <w:t>32.2 (0.80)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strike w:val="false"/>
                <w:dstrike w:val="false"/>
                <w:sz w:val="24"/>
                <w:szCs w:val="24"/>
                <w:u w:val="none"/>
              </w:rPr>
              <w:t>31.8 (0.82)</w:t>
            </w:r>
          </w:p>
        </w:tc>
      </w:tr>
      <w:tr>
        <w:trPr/>
        <w:tc>
          <w:tcPr>
            <w:tcW w:w="2258" w:type="dxa"/>
            <w:tcBorders>
              <w:bottom w:val="single" w:sz="4" w:space="0" w:color="000000"/>
            </w:tcBorders>
            <w:shd w:fill="auto" w:val="clear"/>
          </w:tcPr>
          <w:p>
            <w:pPr>
              <w:pStyle w:val="Normal1"/>
              <w:keepNext w:val="false"/>
              <w:keepLines w:val="false"/>
              <w:widowControl/>
              <w:pBdr/>
              <w:shd w:val="clear" w:fill="auto"/>
              <w:spacing w:lineRule="auto" w:line="240" w:before="0" w:after="20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16.5 (0.76)</w:t>
            </w:r>
          </w:p>
        </w:tc>
        <w:tc>
          <w:tcPr>
            <w:tcW w:w="1531"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strike w:val="false"/>
                <w:dstrike w:val="false"/>
                <w:sz w:val="24"/>
                <w:szCs w:val="24"/>
                <w:u w:val="none"/>
              </w:rPr>
              <w:t>14.3 (0.79)</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strike w:val="false"/>
                <w:dstrike w:val="false"/>
                <w:sz w:val="24"/>
                <w:szCs w:val="24"/>
                <w:u w:val="none"/>
              </w:rPr>
              <w:t>16.3 (0.72)</w:t>
            </w:r>
          </w:p>
        </w:tc>
        <w:tc>
          <w:tcPr>
            <w:tcW w:w="1532" w:type="dxa"/>
            <w:tcBorders/>
            <w:tcMar>
              <w:top w:w="100" w:type="dxa"/>
              <w:left w:w="100" w:type="dxa"/>
              <w:bottom w:w="100" w:type="dxa"/>
              <w:right w:w="100" w:type="dxa"/>
            </w:tcMar>
          </w:tcPr>
          <w:p>
            <w:pPr>
              <w:pStyle w:val="Normal1"/>
              <w:spacing w:before="0" w:after="200"/>
              <w:jc w:val="right"/>
              <w:rPr>
                <w:rFonts w:ascii="Times New Roman" w:hAnsi="Times New Roman" w:eastAsia="Times New Roman" w:cs="Times New Roman"/>
              </w:rPr>
            </w:pPr>
            <w:r>
              <w:rPr>
                <w:rFonts w:eastAsia="Times New Roman" w:cs="Times New Roman" w:ascii="Times New Roman" w:hAnsi="Times New Roman"/>
                <w:b w:val="false"/>
                <w:i w:val="false"/>
                <w:strike w:val="false"/>
                <w:dstrike w:val="false"/>
                <w:sz w:val="24"/>
                <w:szCs w:val="24"/>
                <w:u w:val="none"/>
              </w:rPr>
              <w:t>15.9 (0.74)</w:t>
            </w:r>
          </w:p>
        </w:tc>
      </w:tr>
    </w:tbl>
    <w:p>
      <w:pPr>
        <w:pStyle w:val="Normal1"/>
        <w:keepNext w:val="false"/>
        <w:keepLines w:val="false"/>
        <w:widowControl/>
        <w:pBdr/>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TextBody"/>
        <w:rPr/>
      </w:pPr>
      <w:r>
        <w:rPr/>
        <w:t>Figure 3 presents the results of the decomposition of differences in health expectancy from rural and urban areas by related morbidity. For males, positive values of mortality contribution to rural-urban health expectancy differentials show that the overall mortality curve differences among rural and urban populations favor the rural residents. However, as announced by morbidity prevalence curves, osteoarticular diseases and functional disabilities display negative contributions for rural residents when computing health expectancy differences. These negative contributions are, however, weaker than the contributions of the overall mortality shape differences.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0.8 difference for osteoarticular diseases and 3.0 for functional disabilities. For osteoarticular illnesses, the disease prevalence profile difference accounted for -2.6 of the estimated difference, and the mortality shape differences accounted for 3.4 of the differences. Therefore, musculoskeletal and physical morbidities prevalence rates attenuate the rural mortality advantage and result in a less pronounced health expectancy rural advantage for these two health conditions. For census reported disabilities, the difference in morbidity profiles accounted for -0.6 of rural-urban health expectancy difference, much lower than morbidity contribution of osteoarticular diseases, but also in the opposite direction of the mortality contribution.</w:t>
      </w:r>
    </w:p>
    <w:p>
      <w:pPr>
        <w:pStyle w:val="TextBody"/>
        <w:rPr/>
      </w:pPr>
      <w:r>
        <w:rPr/>
      </w:r>
    </w:p>
    <w:p>
      <w:pPr>
        <w:pStyle w:val="TextBody"/>
        <w:rPr/>
      </w:pPr>
      <w:r>
        <w:rPr/>
      </w:r>
    </w:p>
    <w:p>
      <w:pPr>
        <w:pStyle w:val="ImageCaption"/>
        <w:rPr/>
      </w:pPr>
      <w:r>
        <w:rPr>
          <w:b/>
          <w:bCs/>
        </w:rPr>
        <w:t xml:space="preserve">Figure 3: </w:t>
      </w:r>
      <w:r>
        <w:rPr/>
        <w:t>Decomposition of rural-urban health expectancy differentials by sex and age - Brazil, 2010-2013. Source: 2010 Brazilian National Census and 2013 National Health Survey.</w:t>
      </w:r>
    </w:p>
    <w:p>
      <w:pPr>
        <w:pStyle w:val="CaptionedFigure"/>
        <w:rPr/>
      </w:pPr>
      <w:r>
        <w:rPr/>
        <w:drawing>
          <wp:inline distT="0" distB="0" distL="114935" distR="114935">
            <wp:extent cx="5486400" cy="3429000"/>
            <wp:effectExtent l="0" t="0" r="0" b="0"/>
            <wp:docPr id="3"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4"/>
                    <a:stretch>
                      <a:fillRect/>
                    </a:stretch>
                  </pic:blipFill>
                  <pic:spPr bwMode="auto">
                    <a:xfrm>
                      <a:off x="0" y="0"/>
                      <a:ext cx="5486400" cy="3429000"/>
                    </a:xfrm>
                    <a:prstGeom prst="rect">
                      <a:avLst/>
                    </a:prstGeom>
                  </pic:spPr>
                </pic:pic>
              </a:graphicData>
            </a:graphic>
          </wp:inline>
        </w:drawing>
      </w:r>
    </w:p>
    <w:p>
      <w:pPr>
        <w:pStyle w:val="ImageCaption"/>
        <w:rPr/>
      </w:pPr>
      <w:r>
        <w:rPr/>
      </w:r>
    </w:p>
    <w:p>
      <w:pPr>
        <w:pStyle w:val="Heading1"/>
        <w:rPr/>
      </w:pPr>
      <w:bookmarkStart w:id="9" w:name="discussion"/>
      <w:r>
        <w:rPr/>
        <w:t>4. Discussion</w:t>
      </w:r>
      <w:bookmarkEnd w:id="9"/>
    </w:p>
    <w:p>
      <w:pPr>
        <w:pStyle w:val="FirstParagraph"/>
        <w:rPr/>
      </w:pPr>
      <w:r>
        <w:rPr/>
        <w:t>The purpose of this paper was to analyze mortality and health differentials among Brazilian rural and urban areas using data from 2010 National Census and 2013 National Health Survey. We combine these data sources to construct estimates for health expectancy and decompose its differences across rural and urban areas. Therefore, we investigate the differentials in health expectancy related to the prevalence of four types of diseases or disabilities: cardiovascular diseases, diabetes, osteoarticular diseases and functional disabilities.</w:t>
      </w:r>
    </w:p>
    <w:p>
      <w:pPr>
        <w:pStyle w:val="TextBody"/>
        <w:rPr/>
      </w:pPr>
      <w:r>
        <w:rPr/>
        <w:t>The inclusion of household mortality inquiry in the 2010 National Census represented an opportunity for the analysis of mortality differentials in Brazil (Queiroz and Sawyer 2012). In the past, the mortality differentials assessment between rural and urban areas was preformed using indirect demographic methods, usually for estimating under-five and infant mortality (Carvalho and Wood 1978; Sastry 1997). Both past and recent studies have documented a rural advantage in life expectancy at birth, particularly for males (Albuquerque 2019; Carvalho and Wood 1978; Pereira 2020). Our results reflect those earlier findings. Rural life expectancy at age 20 was 55.6 in rural areas and 50.7 in urban areas, resulting in 4.9 years of rural advantage in life expectancy. For females, these life expectancy were 58.9 and 57.7. Therefore, sex differentials are considerably higher in urban areas (7.0 vs 3.3 in rural areas), which may refer to differences in lifestyles (Smith, Ralston, and Taubert 2012) and to the higher exposition of young males to violence in disadvantaged metropolitan areas (Malta et al. 2017; Pereira 2018; Pereira and Queiroz 2016). A detailed investigation of the causes of these sex differentials across rural and urban areas would require the assessment of related causes of deaths in each area, which is not available in the Brazilian mortality information system. Also, we focus our discussion in rural-urban differentials, since the assessment of sex differentials in mortality was not the main objective of our analysis.</w:t>
      </w:r>
    </w:p>
    <w:p>
      <w:pPr>
        <w:pStyle w:val="TextBody"/>
        <w:rPr/>
      </w:pPr>
      <w:r>
        <w:rPr/>
        <w:t>The rural advantage in mortality, however, have not been observed in health and socioeconomic status and access to health equipment (Arruda, Maia, and Alves 2018). The rural areas of the country experience higher levels of socioeconomic vulnerability and lower economic integration (Camarano 2002; Soares et al. 2016; Viacava et al. 2019). The distance of health equipment, lack of resources to pay for transportation, the lack of health professionals, or unavailability of higher complexity health services are elements that illustrate the hindrances to the access of public health systems by the rural population (Viacava et al. 2019).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situation is worsened for the elderly, population group with higher demand for such services (Viacava et al. 2019).</w:t>
      </w:r>
    </w:p>
    <w:p>
      <w:pPr>
        <w:pStyle w:val="TextBody"/>
        <w:rPr/>
      </w:pPr>
      <w:r>
        <w:rPr/>
        <w:t>The social and economic barriers to services and health facilities also shape how a population group feels in regard to its health state (Viacava et al. 2019). Therefore, rural residents are more likely to report worsened health status than urban residents (Arruda, Maia, and Alves 2018; Camarano 2002; Maia and Rodrigues 2010). Nevertheless, when we disentangle the self-perception of health state by social groups, rural residents from lower social strata have higher probability of referring to a good state of health than their counterparts from urban areas (Maia and Rodrigues 2010).</w:t>
      </w:r>
    </w:p>
    <w:p>
      <w:pPr>
        <w:pStyle w:val="TextBody"/>
        <w:rPr/>
      </w:pPr>
      <w:r>
        <w:rPr/>
        <w:t xml:space="preserve">Over the last 30 years, Brazil has experienced substantial changes in its public health policy induced by the implementation and consolidation of the country’s unified health system (SUS, from Portuguese </w:t>
      </w:r>
      <w:r>
        <w:rPr>
          <w:i/>
        </w:rPr>
        <w:t>Sistema Único de Saúde</w:t>
      </w:r>
      <w:r>
        <w:rPr/>
        <w:t xml:space="preserve">) (Castro et al. 2019). SUS guaranteed a massive expansion of health care assistance for the most vulnerable social groups through a universal and free of charge health services. This scenario of health vulnerability observed in the rural populations could have been worse if the Family Health Strategy (ESF, from Portuguese </w:t>
      </w:r>
      <w:r>
        <w:rPr>
          <w:i/>
        </w:rPr>
        <w:t>Estratégia de Saúde da Família</w:t>
      </w:r>
      <w:r>
        <w:rPr/>
        <w:t>) of the Brazilian Ministry of Health was not successful in reaching remote communities of the countryside of Brazil (Bhalotra, Rocha, and Soares 2020; Lima et al. 2019; Malta 2016). The family health strategy is a public health policy approach focused on primary care at the community level which brought several positive outcomes for the population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Thus, its positive outcomes were mostly visible in regions and areas of the country with worsened health and socioeconomic conditions (Guimarães 2018).</w:t>
      </w:r>
    </w:p>
    <w:p>
      <w:pPr>
        <w:pStyle w:val="TextBody"/>
        <w:rPr/>
      </w:pPr>
      <w:r>
        <w:rPr/>
        <w:t>The ESF program 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seems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rPr/>
      </w:pPr>
      <w:r>
        <w:rPr/>
        <w:t>In 2013, 54.4% of Brazilian households were registered in the local family health unit, which represented 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and the promotion of health literacy in local communities.</w:t>
      </w:r>
    </w:p>
    <w:p>
      <w:pPr>
        <w:pStyle w:val="TextBody"/>
        <w:rPr/>
      </w:pPr>
      <w:r>
        <w:rPr/>
        <w:t>Despite the efforts of SUS and ESF in reducing health inequalities between rural and urban areas, lifestyles and other characteristics of each of this environments also shape the observed differences life expectancy and health. For instance, rural populations observe higher prevalence of specific disabilities, and diseases such as chronic pains, back pains, arthritis, and urban populations are usually more susceptible to diabetes, high blood pressure, heart diseases, and depression (Camarano 2002). Moreira et al. (2015) found that back pain, rheumatism, arthritis and high blood pressure were associated with agricultural activities and results from intense physical effort in work. Our results confirmed that rural residents are more susceptible to suffer from functional disabilities and and musculoskeletal pain due to the physically demanding labor required in agriculture (Maia and Rodrigues 2010; Moreira et al. 2015).</w:t>
      </w:r>
    </w:p>
    <w:p>
      <w:pPr>
        <w:pStyle w:val="TextBody"/>
        <w:rPr/>
      </w:pPr>
      <w:r>
        <w:rPr/>
        <w:t>The decomposition exercise highlights that health expectancy differences observed between rural and urban populations are not only due to overall mortality difference but also related to differences in age-specific morbidity prevalence. The results are aligned to the literature, which shows that cardiovascular diseases and diabetes are urban-related morbidities, whereas physical disabilities and osteoarticular diseases are rural related morbidities which reflect the physically harming work performed in rural areas (Camarano 2002; Moreira et al. 2015). Hence, rural residents exhibit a double advantage (in mortality and morbidity) when we compare health expectancy for cardiovascular diseases and diabetes. On the other hand, this advantage is restricted to the mortality profile advantage when we decompose differences for osteoarticular diseases and functional disabilities.</w:t>
      </w:r>
    </w:p>
    <w:p>
      <w:pPr>
        <w:pStyle w:val="TextBody"/>
        <w:rPr/>
      </w:pPr>
      <w:r>
        <w:rPr/>
        <w:t>This paper’s results have some limitations. As mentioned, the rural population’s lower access to health services results in lower diagnostic rates of health indicators such as glycemic level and blood pressure. Then, prevalence rates for rural groups might be underestimated due to a lack of diagnosis. Despite this important detail, the data sources are robust and the results are in tandem with findings of previous studies on rural and urban health and mortality differentials. We verified the existence of an urban adult mortality penalty and also an urban adult morbidity penalty for cardiovascular diseases and diabetes. Finally, we verified a rural morbidity penalty related to functional disabilities (to walk, see, and listen) and osteoarticular diseases. This penalty contributes to lower health expectancy differences related to these two morbidities, but the overall rural mortality advantage produced a compensatory effect. Therefore, rural residents exhibit higher life expectancy, but a significant share of this life expectancy co-occur with physical and musculoskeletal related morbidities.</w:t>
      </w:r>
    </w:p>
    <w:p>
      <w:pPr>
        <w:pStyle w:val="Heading1"/>
        <w:rPr/>
      </w:pPr>
      <w:bookmarkStart w:id="10" w:name="references"/>
      <w:r>
        <w:rPr/>
        <w:t>5. References</w:t>
      </w:r>
      <w:bookmarkEnd w:id="10"/>
    </w:p>
    <w:p>
      <w:pPr>
        <w:pStyle w:val="Bibliography"/>
        <w:rPr/>
      </w:pPr>
      <w:r>
        <w:rPr/>
        <w:t xml:space="preserve">Albuquerque, F.R.P.C. (2019). </w:t>
      </w:r>
      <w:r>
        <w:rPr>
          <w:i/>
        </w:rPr>
        <w:t>Tábuas de Mortalidade segundo a situação do domicílio utilizando-se o Censo Demográfico de 2010</w:t>
      </w:r>
      <w:r>
        <w:rPr/>
        <w:t>. Ministério da Economia.: pages.</w:t>
      </w:r>
      <w:bookmarkStart w:id="11" w:name="ref-albuquerque2019"/>
      <w:bookmarkEnd w:id="11"/>
    </w:p>
    <w:p>
      <w:pPr>
        <w:pStyle w:val="Bibliography"/>
        <w:rPr/>
      </w:pPr>
      <w:r>
        <w:rPr/>
        <w:t xml:space="preserve">Allan, R., Williamson, P., and Kulu, H. (2017). Unravelling urban–rural health disparities in england. </w:t>
      </w:r>
      <w:r>
        <w:rPr>
          <w:i/>
        </w:rPr>
        <w:t>Population, Space and Place</w:t>
      </w:r>
      <w:r>
        <w:rPr/>
        <w:t xml:space="preserve"> 23(8). doi:</w:t>
      </w:r>
      <w:hyperlink r:id="rId5">
        <w:r>
          <w:rPr/>
          <w:t>10.1002/psp.2073</w:t>
        </w:r>
      </w:hyperlink>
      <w:r>
        <w:rPr/>
        <w:t>.</w:t>
      </w:r>
      <w:bookmarkStart w:id="12" w:name="ref-allan_etal2017"/>
      <w:bookmarkEnd w:id="12"/>
    </w:p>
    <w:p>
      <w:pPr>
        <w:pStyle w:val="Bibliography"/>
        <w:rPr/>
      </w:pPr>
      <w:r>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i/>
        </w:rPr>
        <w:t>Demographic Research</w:t>
      </w:r>
      <w:r>
        <w:rPr/>
        <w:t xml:space="preserve"> 7(14):499–522. doi:</w:t>
      </w:r>
      <w:hyperlink r:id="rId6">
        <w:r>
          <w:rPr/>
          <w:t>10.4054/DemRes.2002.7.14</w:t>
        </w:r>
      </w:hyperlink>
      <w:r>
        <w:rPr/>
        <w:t>.</w:t>
      </w:r>
      <w:bookmarkStart w:id="13" w:name="ref-andreev_etal2002"/>
      <w:bookmarkEnd w:id="13"/>
    </w:p>
    <w:p>
      <w:pPr>
        <w:pStyle w:val="Bibliography"/>
        <w:rPr/>
      </w:pPr>
      <w:r>
        <w:rPr/>
        <w:t xml:space="preserve">Arruda, N.M., Maia, A.G., and Alves, L.C. (2018). Desigualdade no acesso à saúde entre as áreas urbanas e rurais do Brasil: uma decomposição de fatores entre 1998 a 2008. </w:t>
      </w:r>
      <w:r>
        <w:rPr>
          <w:i/>
        </w:rPr>
        <w:t>Cadernos de Saúde Pública</w:t>
      </w:r>
      <w:r>
        <w:rPr/>
        <w:t xml:space="preserve"> 34.</w:t>
      </w:r>
      <w:bookmarkStart w:id="14" w:name="ref-arruda_etal2018"/>
      <w:bookmarkEnd w:id="14"/>
    </w:p>
    <w:p>
      <w:pPr>
        <w:pStyle w:val="Bibliography"/>
        <w:rPr/>
      </w:pPr>
      <w:r>
        <w:rPr/>
        <w:t xml:space="preserve">Bennett, N.G. and Horiuchi, S. (1984). Mortality estimation from registered deaths in less developed countries. </w:t>
      </w:r>
      <w:r>
        <w:rPr>
          <w:i/>
        </w:rPr>
        <w:t>Demography</w:t>
      </w:r>
      <w:r>
        <w:rPr/>
        <w:t xml:space="preserve"> 21(2):217–233.</w:t>
      </w:r>
      <w:bookmarkStart w:id="15" w:name="ref-bennett_horiuchi1984"/>
      <w:bookmarkEnd w:id="15"/>
    </w:p>
    <w:p>
      <w:pPr>
        <w:pStyle w:val="Bibliography"/>
        <w:rPr/>
      </w:pPr>
      <w:r>
        <w:rPr/>
        <w:t xml:space="preserve">Bhalotra, S., Rocha, R., and Soares, R.R. (2020). </w:t>
      </w:r>
      <w:r>
        <w:rPr>
          <w:i/>
        </w:rPr>
        <w:t>Can Universalization of Health Work? Evidence from Health Systems Restructuring and Expansion in Brazil</w:t>
      </w:r>
      <w:r>
        <w:rPr/>
        <w:t xml:space="preserve">. Instituto de Estudos para Políticas de Saúde.: pages. </w:t>
      </w:r>
      <w:hyperlink r:id="rId7">
        <w:r>
          <w:rPr/>
          <w:t>https://ieps.org.br/wp-content/uploads/2020/02/WPS3.pdf</w:t>
        </w:r>
      </w:hyperlink>
      <w:r>
        <w:rPr/>
        <w:t>.</w:t>
      </w:r>
      <w:bookmarkStart w:id="16" w:name="ref-bhalotra_etal2020"/>
      <w:bookmarkEnd w:id="16"/>
    </w:p>
    <w:p>
      <w:pPr>
        <w:pStyle w:val="Bibliography"/>
        <w:rPr/>
      </w:pPr>
      <w:r>
        <w:rPr/>
        <w:t>Brazilian Constitution (1966). Lei número 5172 de 25 de outubro de 1966..</w:t>
      </w:r>
      <w:bookmarkStart w:id="17" w:name="ref-brazil1966"/>
      <w:bookmarkEnd w:id="17"/>
    </w:p>
    <w:p>
      <w:pPr>
        <w:pStyle w:val="Bibliography"/>
        <w:rPr/>
      </w:pPr>
      <w:r>
        <w:rPr/>
        <w:t>Brazilian Institute of Geography and Statistics (2010). National census..</w:t>
      </w:r>
      <w:bookmarkStart w:id="18" w:name="ref-ibge2010"/>
      <w:bookmarkEnd w:id="18"/>
    </w:p>
    <w:p>
      <w:pPr>
        <w:pStyle w:val="Bibliography"/>
        <w:rPr/>
      </w:pPr>
      <w:r>
        <w:rPr/>
        <w:t xml:space="preserve">Camarano, A.A. (2002). </w:t>
      </w:r>
      <w:r>
        <w:rPr>
          <w:i/>
        </w:rPr>
        <w:t>Brazilian population ageing: differences in well-being by rural and urban areas</w:t>
      </w:r>
      <w:r>
        <w:rPr/>
        <w:t>. Instituto de Pesquisa Econômica e Aplicada.: pages.</w:t>
      </w:r>
      <w:bookmarkStart w:id="19" w:name="ref-camarano2002"/>
      <w:bookmarkEnd w:id="19"/>
    </w:p>
    <w:p>
      <w:pPr>
        <w:pStyle w:val="Bibliography"/>
        <w:rPr/>
      </w:pPr>
      <w:r>
        <w:rPr/>
        <w:t xml:space="preserve">Carvalho, J.A.M. and Wood, C.H. (1978). Mortality, Income Distribution, and Rural-Urban Residence in Brazil. </w:t>
      </w:r>
      <w:r>
        <w:rPr>
          <w:i/>
        </w:rPr>
        <w:t>Population and Development Review</w:t>
      </w:r>
      <w:r>
        <w:rPr/>
        <w:t xml:space="preserve"> 4(3):405–420.</w:t>
      </w:r>
      <w:bookmarkStart w:id="20" w:name="ref-carvalho_wood1978"/>
      <w:bookmarkEnd w:id="20"/>
    </w:p>
    <w:p>
      <w:pPr>
        <w:pStyle w:val="Bibliography"/>
        <w:rPr/>
      </w:pPr>
      <w:r>
        <w:rPr/>
        <w:t xml:space="preserve">Castro, M.C., Massuda, A., Almeida, G., Menezes-Filho, N.A., Andrade, M.V., Souza Noronha], K.V.M. [de, Rocha, R., Macinko, J., Hone, T., Tasca, R., Giovanella, L., Malik, A.M., Werneck, H., Fachini, L.A., and Atun, R. (2019). Brazil’s unified health system: The first 30 years and prospects for the future. </w:t>
      </w:r>
      <w:r>
        <w:rPr>
          <w:i/>
        </w:rPr>
        <w:t>The Lancet</w:t>
      </w:r>
      <w:r>
        <w:rPr/>
        <w:t xml:space="preserve"> 394(10195):345–356. doi:</w:t>
      </w:r>
      <w:hyperlink r:id="rId8">
        <w:r>
          <w:rPr/>
          <w:t>https://doi.org/10.1016/S0140-6736(19)31243-7</w:t>
        </w:r>
      </w:hyperlink>
      <w:r>
        <w:rPr/>
        <w:t>.</w:t>
      </w:r>
      <w:bookmarkStart w:id="21" w:name="ref-castro_etal2019"/>
      <w:bookmarkEnd w:id="21"/>
    </w:p>
    <w:p>
      <w:pPr>
        <w:pStyle w:val="Bibliography"/>
        <w:rPr/>
      </w:pPr>
      <w:r>
        <w:rPr/>
        <w:t xml:space="preserve">Chen, X., Orom, H., Hay, J.L., Waters, E.A., Schofield, E., Li, Y., and Kiviniemi, M.T. (2019). Differences in rural and urban health information access and use. </w:t>
      </w:r>
      <w:r>
        <w:rPr>
          <w:i/>
        </w:rPr>
        <w:t>The Journal of Rural Health</w:t>
      </w:r>
      <w:r>
        <w:rPr/>
        <w:t xml:space="preserve"> 35(3):405–417.</w:t>
      </w:r>
      <w:bookmarkStart w:id="22" w:name="ref-chen_etal2019"/>
      <w:bookmarkEnd w:id="22"/>
    </w:p>
    <w:p>
      <w:pPr>
        <w:pStyle w:val="Bibliography"/>
        <w:rPr/>
      </w:pPr>
      <w:r>
        <w:rPr/>
        <w:t xml:space="preserve">Deaton, A. (2003). Health, Inequality, and Economic Development. </w:t>
      </w:r>
      <w:r>
        <w:rPr>
          <w:i/>
        </w:rPr>
        <w:t>Journal of Economic Literature</w:t>
      </w:r>
      <w:r>
        <w:rPr/>
        <w:t xml:space="preserve"> 41(1):113–158.</w:t>
      </w:r>
      <w:bookmarkStart w:id="23" w:name="ref-deaton2003"/>
      <w:bookmarkEnd w:id="23"/>
    </w:p>
    <w:p>
      <w:pPr>
        <w:pStyle w:val="Bibliography"/>
        <w:rPr/>
      </w:pPr>
      <w:r>
        <w:rPr/>
        <w:t xml:space="preserve">Fatima Marinho Souza, M. de, França, E.B., and Cavalcante, A. (2017). Carga da doença e análise da situação de saúde: resultados da rede de trabalho do Global Burden of Disease (GBD) Brasil. </w:t>
      </w:r>
      <w:r>
        <w:rPr>
          <w:i/>
        </w:rPr>
        <w:t>Revista Brasileira de Epidemiologia</w:t>
      </w:r>
      <w:r>
        <w:rPr/>
        <w:t xml:space="preserve"> 20(S1). doi:</w:t>
      </w:r>
      <w:hyperlink r:id="rId9">
        <w:r>
          <w:rPr/>
          <w:t>10.1590/1980-5497201700050001</w:t>
        </w:r>
      </w:hyperlink>
      <w:r>
        <w:rPr/>
        <w:t>.</w:t>
      </w:r>
      <w:bookmarkStart w:id="24" w:name="ref-souza_etal2017"/>
      <w:bookmarkEnd w:id="24"/>
    </w:p>
    <w:p>
      <w:pPr>
        <w:pStyle w:val="Bibliography"/>
        <w:rPr/>
      </w:pPr>
      <w:r>
        <w:rPr/>
        <w:t xml:space="preserve">Fink, G., Günther, I., and Hill, K. (2016). Urban Mortality Transitions: The Role of Slums. In: Ramiro Fariñas, D. and Oris, M. (eds.). </w:t>
      </w:r>
      <w:r>
        <w:rPr>
          <w:i/>
        </w:rPr>
        <w:t>New Approaches to Death in Cities During the Health Transition</w:t>
      </w:r>
      <w:r>
        <w:rPr/>
        <w:t>. Cham: Springer International Publishing: 197–216.</w:t>
      </w:r>
      <w:bookmarkStart w:id="25" w:name="ref-fink_etal2016"/>
      <w:bookmarkEnd w:id="25"/>
    </w:p>
    <w:p>
      <w:pPr>
        <w:pStyle w:val="Bibliography"/>
        <w:rPr/>
      </w:pPr>
      <w:r>
        <w:rPr/>
        <w:t xml:space="preserve">Garcia, J. (2020). Urban–rural differentials in Latin American infant mortality. </w:t>
      </w:r>
      <w:r>
        <w:rPr>
          <w:i/>
        </w:rPr>
        <w:t>Demographic Research</w:t>
      </w:r>
      <w:r>
        <w:rPr/>
        <w:t xml:space="preserve"> 42(8):203–244. doi:</w:t>
      </w:r>
      <w:hyperlink r:id="rId10">
        <w:r>
          <w:rPr/>
          <w:t>10.4054/DemRes.2020.42.8</w:t>
        </w:r>
      </w:hyperlink>
      <w:r>
        <w:rPr/>
        <w:t>.</w:t>
      </w:r>
      <w:bookmarkStart w:id="26" w:name="ref-garcia2020"/>
      <w:bookmarkEnd w:id="26"/>
    </w:p>
    <w:p>
      <w:pPr>
        <w:pStyle w:val="Bibliography"/>
        <w:rPr/>
      </w:pPr>
      <w:r>
        <w:rPr/>
        <w:t xml:space="preserve">Guimarães, R.M. (2018). A teoria da equidade reversa se aplica na atenção primária à saúde? Evidências de 5 564 municípios brasileiros. </w:t>
      </w:r>
      <w:r>
        <w:rPr>
          <w:i/>
        </w:rPr>
        <w:t>Revista Panamericana de Salud Pública [online]</w:t>
      </w:r>
      <w:r>
        <w:rPr/>
        <w:t xml:space="preserve"> 42. doi:</w:t>
      </w:r>
      <w:hyperlink r:id="rId11">
        <w:r>
          <w:rPr/>
          <w:t>10.26633/RPSP.2018.128</w:t>
        </w:r>
      </w:hyperlink>
      <w:r>
        <w:rPr/>
        <w:t>.</w:t>
      </w:r>
      <w:bookmarkStart w:id="27" w:name="ref-guimaraes2018"/>
      <w:bookmarkEnd w:id="27"/>
    </w:p>
    <w:p>
      <w:pPr>
        <w:pStyle w:val="Bibliography"/>
        <w:rPr/>
      </w:pPr>
      <w:r>
        <w:rPr/>
        <w:t xml:space="preserve">Henning-Smith, C., Prasad, S., Casey, M., Kozhimannil, K., and Moscovice, I. (2019). Rural-urban differences in medicare quality scores persist after adjusting for sociodemographic and environmental characteristics. </w:t>
      </w:r>
      <w:r>
        <w:rPr>
          <w:i/>
        </w:rPr>
        <w:t>The Journal of Rural Health</w:t>
      </w:r>
      <w:r>
        <w:rPr/>
        <w:t xml:space="preserve"> 35(1):58–67.</w:t>
      </w:r>
      <w:bookmarkStart w:id="28" w:name="ref-henning_etal2019"/>
      <w:bookmarkEnd w:id="28"/>
    </w:p>
    <w:p>
      <w:pPr>
        <w:pStyle w:val="Bibliography"/>
        <w:rPr/>
      </w:pPr>
      <w:r>
        <w:rPr/>
        <w:t xml:space="preserve">Hill, K. (1987). Estimating census and death registration completeness. </w:t>
      </w:r>
      <w:r>
        <w:rPr>
          <w:i/>
        </w:rPr>
        <w:t>Asian Pac Popul Forum East-West Popul</w:t>
      </w:r>
      <w:r>
        <w:rPr/>
        <w:t xml:space="preserve"> 1(3):23–24.</w:t>
      </w:r>
      <w:bookmarkStart w:id="29" w:name="ref-hill1987"/>
      <w:bookmarkEnd w:id="29"/>
    </w:p>
    <w:p>
      <w:pPr>
        <w:pStyle w:val="Bibliography"/>
        <w:rPr/>
      </w:pPr>
      <w:r>
        <w:rPr/>
        <w:t xml:space="preserve">Hill, K., You, D., and Choi, Y. (2009). Death distribution methods for estimating adult mortality: Sensitivity analysis with simulated data errors. </w:t>
      </w:r>
      <w:r>
        <w:rPr>
          <w:i/>
        </w:rPr>
        <w:t>Demographic Research</w:t>
      </w:r>
      <w:r>
        <w:rPr/>
        <w:t xml:space="preserve"> 21(9):235–254.</w:t>
      </w:r>
      <w:bookmarkStart w:id="30" w:name="ref-hill_etal2009"/>
      <w:bookmarkEnd w:id="30"/>
    </w:p>
    <w:p>
      <w:pPr>
        <w:pStyle w:val="Bibliography"/>
        <w:rPr/>
      </w:pPr>
      <w:r>
        <w:rPr/>
        <w:t>IBGE (2013). 2013 national health survey..</w:t>
      </w:r>
      <w:bookmarkStart w:id="31" w:name="ref-pns2013"/>
      <w:bookmarkEnd w:id="31"/>
    </w:p>
    <w:p>
      <w:pPr>
        <w:pStyle w:val="Bibliography"/>
        <w:rPr/>
      </w:pPr>
      <w:r>
        <w:rPr/>
        <w:t xml:space="preserve">IBGE (2017). </w:t>
      </w:r>
      <w:r>
        <w:rPr>
          <w:i/>
        </w:rPr>
        <w:t>Classificação E Caracterização Dos Espaços Rurais E Urbanos Do Brasil: Uma Primeira Aproximação</w:t>
      </w:r>
      <w:r>
        <w:rPr/>
        <w:t>. Rio de Janeiro: Instituto Brasileiro de Geografia e Estatística.: pages.</w:t>
      </w:r>
      <w:bookmarkStart w:id="32" w:name="ref-ibge2017"/>
      <w:bookmarkEnd w:id="32"/>
    </w:p>
    <w:p>
      <w:pPr>
        <w:pStyle w:val="Bibliography"/>
        <w:rPr/>
      </w:pPr>
      <w:r>
        <w:rPr/>
        <w:t xml:space="preserve">Lima, Â.R.A., Dias, N.S., Lopes, L.B., and Heck, R.M. (2019). Health needs of the rural population: How can health professionals contribute? </w:t>
      </w:r>
      <w:r>
        <w:rPr>
          <w:i/>
        </w:rPr>
        <w:t>Saúde debate</w:t>
      </w:r>
      <w:r>
        <w:rPr/>
        <w:t xml:space="preserve"> 43(122).</w:t>
      </w:r>
      <w:bookmarkStart w:id="33" w:name="ref-lima_etal2019"/>
      <w:bookmarkEnd w:id="33"/>
    </w:p>
    <w:p>
      <w:pPr>
        <w:pStyle w:val="Bibliography"/>
        <w:rPr/>
      </w:pPr>
      <w:r>
        <w:rPr/>
        <w:t xml:space="preserve">Macinko, J., Guanais, F.C., and Fátima Marinho de Souza, M. de (2006). Evaluation of the impact of the family health program on infant mortality in brazil, 19902002. </w:t>
      </w:r>
      <w:r>
        <w:rPr>
          <w:i/>
        </w:rPr>
        <w:t>Journal of Epidemiology &amp; Community Health</w:t>
      </w:r>
      <w:r>
        <w:rPr/>
        <w:t xml:space="preserve"> 60(1):13–19. doi:</w:t>
      </w:r>
      <w:hyperlink r:id="rId12">
        <w:r>
          <w:rPr/>
          <w:t>10.1136/jech.2005.038323</w:t>
        </w:r>
      </w:hyperlink>
      <w:r>
        <w:rPr/>
        <w:t>.</w:t>
      </w:r>
      <w:bookmarkStart w:id="34" w:name="ref-macinko_etal2006"/>
      <w:bookmarkEnd w:id="34"/>
    </w:p>
    <w:p>
      <w:pPr>
        <w:pStyle w:val="Bibliography"/>
        <w:rPr/>
      </w:pPr>
      <w:r>
        <w:rPr/>
        <w:t xml:space="preserve">Maia, A.G. and Rodrigues, C.G. (2010). Saúde e mercado de trabalho no Brasil: diferenciais entre ocupados agrícolas e não agrícolas. </w:t>
      </w:r>
      <w:r>
        <w:rPr>
          <w:i/>
        </w:rPr>
        <w:t>Revista de Economia e Sociologia Rural</w:t>
      </w:r>
      <w:r>
        <w:rPr/>
        <w:t xml:space="preserve"> 48:737–765. </w:t>
      </w:r>
      <w:hyperlink r:id="rId13">
        <w:r>
          <w:rPr/>
          <w:t>http://www.scielo.br/scielo.php?script=sci_arttext&amp;pid=S0103-20032010000400010&amp;nrm=iso</w:t>
        </w:r>
      </w:hyperlink>
      <w:r>
        <w:rPr/>
        <w:t>.</w:t>
      </w:r>
      <w:bookmarkStart w:id="35" w:name="ref-maia_rodrigues2010"/>
      <w:bookmarkEnd w:id="35"/>
    </w:p>
    <w:p>
      <w:pPr>
        <w:pStyle w:val="Bibliography"/>
        <w:rPr/>
      </w:pPr>
      <w:r>
        <w:rP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 </w:t>
      </w:r>
      <w:r>
        <w:rPr>
          <w:i/>
        </w:rPr>
        <w:t>Revista Brasileira de Epidemiologia</w:t>
      </w:r>
      <w:r>
        <w:rPr/>
        <w:t xml:space="preserve"> 20:142–156.</w:t>
      </w:r>
      <w:bookmarkStart w:id="36" w:name="ref-malta_etal2017"/>
      <w:bookmarkEnd w:id="36"/>
    </w:p>
    <w:p>
      <w:pPr>
        <w:pStyle w:val="Bibliography"/>
        <w:rPr/>
      </w:pPr>
      <w:r>
        <w:rPr/>
        <w:t xml:space="preserve">Malta, M.A.S.A.S., Deborah Carvalho AND Santos (2016). Family Health Strategy Coverage in Brazil, according to the National Health Survey, 2013. </w:t>
      </w:r>
      <w:r>
        <w:rPr>
          <w:i/>
        </w:rPr>
        <w:t>Ciência &amp; Saúde Coletiva</w:t>
      </w:r>
      <w:r>
        <w:rPr/>
        <w:t xml:space="preserve"> 21:327–338. </w:t>
      </w:r>
      <w:hyperlink r:id="rId14">
        <w:r>
          <w:rPr/>
          <w:t>http://www.scielo.br/scielo.php?script=sci_arttext&amp;pid=S1413-81232016000200327&amp;nrm=iso</w:t>
        </w:r>
      </w:hyperlink>
      <w:r>
        <w:rPr/>
        <w:t>.</w:t>
      </w:r>
      <w:bookmarkStart w:id="37" w:name="ref-malta_etal2016"/>
      <w:bookmarkEnd w:id="37"/>
    </w:p>
    <w:p>
      <w:pPr>
        <w:pStyle w:val="Bibliography"/>
        <w:rPr/>
      </w:pPr>
      <w:r>
        <w:rPr/>
        <w:t xml:space="preserve">Melo, N.C.V. de, Teixeira, K.M.D., Barbosa, T.L., Montoya, Á.J.A., and Silveira, M.B. (2016). Arranjo domiciliar de idosos no Brasil: análises a partir da Pesquisa Nacional por Amostra de Domicílios (2009). </w:t>
      </w:r>
      <w:r>
        <w:rPr>
          <w:i/>
        </w:rPr>
        <w:t>Revista Brasileira de Geriatria e Gerontologia</w:t>
      </w:r>
      <w:r>
        <w:rPr/>
        <w:t xml:space="preserve"> 19(1):139–151. doi:</w:t>
      </w:r>
      <w:hyperlink r:id="rId15">
        <w:r>
          <w:rPr/>
          <w:t>10.1590/1809-9823.2016.15011</w:t>
        </w:r>
      </w:hyperlink>
      <w:r>
        <w:rPr/>
        <w:t>.</w:t>
      </w:r>
      <w:bookmarkStart w:id="38" w:name="ref-melo_etal2016"/>
      <w:bookmarkEnd w:id="38"/>
    </w:p>
    <w:p>
      <w:pPr>
        <w:pStyle w:val="Bibliography"/>
        <w:rPr/>
      </w:pPr>
      <w:r>
        <w:rPr/>
        <w:t xml:space="preserve">Menashe-Oren, A. and Stecklov, G. (2018). Urban–rural disparities in adult mortality in sub-saharan africa. </w:t>
      </w:r>
      <w:r>
        <w:rPr>
          <w:i/>
        </w:rPr>
        <w:t>Demographic Research</w:t>
      </w:r>
      <w:r>
        <w:rPr/>
        <w:t xml:space="preserve"> 39:136–176.</w:t>
      </w:r>
      <w:bookmarkStart w:id="39" w:name="ref-oren2018"/>
      <w:bookmarkEnd w:id="39"/>
    </w:p>
    <w:p>
      <w:pPr>
        <w:pStyle w:val="Bibliography"/>
        <w:rPr/>
      </w:pPr>
      <w:r>
        <w:rPr/>
        <w:t xml:space="preserve">Moreira, J.P.L., Oliveira, B.L.C.A. de, Muzi, C.D., Cunha, C.L.F., Brito, A. dos S., and Luiz, R.R. (2015). A saúde dos trabalhadores da atividade rural no Brasil. </w:t>
      </w:r>
      <w:r>
        <w:rPr>
          <w:i/>
        </w:rPr>
        <w:t>Cadernos de Saúde Pública</w:t>
      </w:r>
      <w:r>
        <w:rPr/>
        <w:t xml:space="preserve"> 31:1698–1708.</w:t>
      </w:r>
      <w:bookmarkStart w:id="40" w:name="ref-moreira_etal2015"/>
      <w:bookmarkEnd w:id="40"/>
    </w:p>
    <w:p>
      <w:pPr>
        <w:pStyle w:val="Bibliography"/>
        <w:rPr/>
      </w:pPr>
      <w:r>
        <w:rPr/>
        <w:t xml:space="preserve">Moultrie, T., Dorrington, R., Hill, A., Hill, K., Timæus, I., and Zaba, B. (2013). </w:t>
      </w:r>
      <w:r>
        <w:rPr>
          <w:i/>
        </w:rPr>
        <w:t>Tools for Demographic Estimation</w:t>
      </w:r>
      <w:r>
        <w:rPr/>
        <w:t>. Paris: International Union for the Scientific Study of Population (IUSSP).</w:t>
      </w:r>
      <w:bookmarkStart w:id="41" w:name="ref-moultrie_etal2013"/>
      <w:bookmarkEnd w:id="41"/>
    </w:p>
    <w:p>
      <w:pPr>
        <w:pStyle w:val="Bibliography"/>
        <w:rPr/>
      </w:pPr>
      <w:r>
        <w:rPr/>
        <w:t xml:space="preserve">Pera, C.K.L. and Mello Bueno, L.M. de (2016). Revendo o uso de dados do ibge para pesquisa e planejamento territorial: Reflexões quanto à classificação da situação urbana e rural. </w:t>
      </w:r>
      <w:r>
        <w:rPr>
          <w:i/>
        </w:rPr>
        <w:t>Cadernos Metrópole</w:t>
      </w:r>
      <w:r>
        <w:rPr/>
        <w:t xml:space="preserve"> 18(37).</w:t>
      </w:r>
      <w:bookmarkStart w:id="42" w:name="ref-pera_bueno2016"/>
      <w:bookmarkEnd w:id="42"/>
    </w:p>
    <w:p>
      <w:pPr>
        <w:pStyle w:val="Bibliography"/>
        <w:rPr/>
      </w:pPr>
      <w:r>
        <w:rPr/>
        <w:t xml:space="preserve">Pereira, F.N.A. (2018). </w:t>
      </w:r>
      <w:r>
        <w:rPr>
          <w:i/>
        </w:rPr>
        <w:t>Geografia é Destino? Diferenciais de Mortalidade Por Local de Moradia No Brasil Dentre Moradores de áreas Urbanas de Favela E Não Favela</w:t>
      </w:r>
      <w:r>
        <w:rPr/>
        <w:t>. Poços de Caldas, Brasil: Associação Brasileira de Estudos Populacionais.</w:t>
      </w:r>
      <w:bookmarkStart w:id="43" w:name="ref-pereira2018"/>
      <w:bookmarkEnd w:id="43"/>
    </w:p>
    <w:p>
      <w:pPr>
        <w:pStyle w:val="Bibliography"/>
        <w:rPr/>
      </w:pPr>
      <w:r>
        <w:rPr/>
        <w:t xml:space="preserve">Pereira, F.N.A. (2020). </w:t>
      </w:r>
      <w:r>
        <w:rPr>
          <w:i/>
        </w:rPr>
        <w:t>Penalidade urbana na mortalidade por local de moradia no Brasil: Diferenciais de mortalidade entre moradores de áreas urbanas em favelas, fora de favelas e de áreas rurais</w:t>
      </w:r>
      <w:r>
        <w:rPr/>
        <w:t>. [PhD thesis]. Belo Horizonte: Centro de Desenvolvimento e Planejamento Regional, Faculdade de Ciências Econômicas - UFMG.</w:t>
      </w:r>
      <w:bookmarkStart w:id="44" w:name="ref-pereira2020"/>
      <w:bookmarkEnd w:id="44"/>
    </w:p>
    <w:p>
      <w:pPr>
        <w:pStyle w:val="Bibliography"/>
        <w:rPr/>
      </w:pPr>
      <w:r>
        <w:rPr/>
        <w:t xml:space="preserve">Pereira, F.N.A. and Queiroz, B.L. (2016). Differences in mortality in brazilian youth: The importance of household socioeconomic factors and living conditions in brazilian municipalities and states. </w:t>
      </w:r>
      <w:r>
        <w:rPr>
          <w:i/>
        </w:rPr>
        <w:t>Cadernos de Saúde Pública</w:t>
      </w:r>
      <w:r>
        <w:rPr/>
        <w:t xml:space="preserve"> 32(9).</w:t>
      </w:r>
      <w:bookmarkStart w:id="45" w:name="ref-pereira_queiroz2016"/>
      <w:bookmarkEnd w:id="45"/>
    </w:p>
    <w:p>
      <w:pPr>
        <w:pStyle w:val="Bibliography"/>
        <w:rPr/>
      </w:pPr>
      <w:r>
        <w:rPr/>
        <w:t xml:space="preserve">Pimenta, L., Dutra, V.G.P., Castro], A.L.B. [de, and Guimarães, R.M. (2018). Analysis of conditions sensitive to primary care in a successful experience of primary healthcare expansion in brazil, 1998–2015. </w:t>
      </w:r>
      <w:r>
        <w:rPr>
          <w:i/>
        </w:rPr>
        <w:t>Public Health</w:t>
      </w:r>
      <w:r>
        <w:rPr/>
        <w:t xml:space="preserve"> 162:32–40. doi:</w:t>
      </w:r>
      <w:hyperlink r:id="rId16">
        <w:r>
          <w:rPr/>
          <w:t>https://doi.org/10.1016/j.puhe.2018.05.011</w:t>
        </w:r>
      </w:hyperlink>
      <w:r>
        <w:rPr/>
        <w:t>.</w:t>
      </w:r>
      <w:bookmarkStart w:id="46" w:name="ref-pimenta_etal2018"/>
      <w:bookmarkEnd w:id="46"/>
    </w:p>
    <w:p>
      <w:pPr>
        <w:pStyle w:val="Bibliography"/>
        <w:rPr/>
      </w:pPr>
      <w:r>
        <w:rPr/>
        <w:t xml:space="preserve">Queiroz, B.L., Freire, F.H.M. de A., Gonzaga, M.R., and Lima, E.E.C. de (2017). Estimativas do grau de cobertura e da mortalidade adulta (45q15) para as unidades da federação no Brasil entre 1980 e 2010. </w:t>
      </w:r>
      <w:r>
        <w:rPr>
          <w:i/>
        </w:rPr>
        <w:t>Revista Brasileira de Epidemiologia</w:t>
      </w:r>
      <w:r>
        <w:rPr/>
        <w:t xml:space="preserve"> 20:21–33.</w:t>
      </w:r>
      <w:bookmarkStart w:id="47" w:name="ref-queiroz_etal2017"/>
      <w:bookmarkEnd w:id="47"/>
    </w:p>
    <w:p>
      <w:pPr>
        <w:pStyle w:val="Bibliography"/>
        <w:rPr/>
      </w:pPr>
      <w:r>
        <w:rPr/>
        <w:t xml:space="preserve">Queiroz, B.L. and Sawyer, D.O.T. (2012). O que os dados de mortalidade do Censo de 2010 podem nos dizer? </w:t>
      </w:r>
      <w:r>
        <w:rPr>
          <w:i/>
        </w:rPr>
        <w:t>Revista Brasileira de Estudos de População</w:t>
      </w:r>
      <w:r>
        <w:rPr/>
        <w:t xml:space="preserve"> 29:225–238.</w:t>
      </w:r>
      <w:bookmarkStart w:id="48" w:name="ref-queiroz_sawyer2012"/>
      <w:bookmarkEnd w:id="48"/>
    </w:p>
    <w:p>
      <w:pPr>
        <w:pStyle w:val="Bibliography"/>
        <w:rPr/>
      </w:pPr>
      <w:r>
        <w:rPr/>
        <w:t xml:space="preserve">Riffe, T., Lima, E., and Queiroz, B. (2017). </w:t>
      </w:r>
      <w:r>
        <w:rPr>
          <w:i/>
        </w:rPr>
        <w:t>DDM: Death Registration Coverage Estimation</w:t>
      </w:r>
      <w:r>
        <w:rPr/>
        <w:t>.</w:t>
      </w:r>
      <w:bookmarkStart w:id="49" w:name="ref-riffe_etal2017"/>
      <w:bookmarkEnd w:id="49"/>
    </w:p>
    <w:p>
      <w:pPr>
        <w:pStyle w:val="Bibliography"/>
        <w:rPr/>
      </w:pPr>
      <w:r>
        <w:rPr/>
        <w:t xml:space="preserve">Rocha, R. and Soares, R.R. (2010). Evaluating the impact of community-based health interventions: Evidence from brazil’s family health program. </w:t>
      </w:r>
      <w:r>
        <w:rPr>
          <w:i/>
        </w:rPr>
        <w:t>Health Economics</w:t>
      </w:r>
      <w:r>
        <w:rPr/>
        <w:t xml:space="preserve"> 19(S1):126–158. doi:</w:t>
      </w:r>
      <w:hyperlink r:id="rId17">
        <w:r>
          <w:rPr/>
          <w:t>10.1002/hec.1607</w:t>
        </w:r>
      </w:hyperlink>
      <w:r>
        <w:rPr/>
        <w:t>.</w:t>
      </w:r>
      <w:bookmarkStart w:id="50" w:name="ref-rocha_soares2010"/>
      <w:bookmarkEnd w:id="50"/>
    </w:p>
    <w:p>
      <w:pPr>
        <w:pStyle w:val="Bibliography"/>
        <w:rPr/>
      </w:pPr>
      <w:r>
        <w:rPr/>
        <w:t xml:space="preserve">Rodella, A.-S. (2015). </w:t>
      </w:r>
      <w:r>
        <w:rPr>
          <w:i/>
        </w:rPr>
        <w:t>Poverty and Shared Prosperity in Brazil’s Metropolitan Regions: Taking Stock and Identifying Priorities</w:t>
      </w:r>
      <w:r>
        <w:rPr/>
        <w:t>. World Bank Group.: pages.</w:t>
      </w:r>
      <w:bookmarkStart w:id="51" w:name="ref-rodella2015"/>
      <w:bookmarkEnd w:id="51"/>
    </w:p>
    <w:p>
      <w:pPr>
        <w:pStyle w:val="Bibliography"/>
        <w:rPr/>
      </w:pPr>
      <w:r>
        <w:rPr/>
        <w:t xml:space="preserve">Sastry, N. (1997). What explains rural-urban differentials in child mortality in Brazil? </w:t>
      </w:r>
      <w:r>
        <w:rPr>
          <w:i/>
        </w:rPr>
        <w:t>Social Science &amp; Medicine</w:t>
      </w:r>
      <w:r>
        <w:rPr/>
        <w:t xml:space="preserve"> 44(7):989–1002.</w:t>
      </w:r>
      <w:bookmarkStart w:id="52" w:name="ref-sastry1997"/>
      <w:bookmarkEnd w:id="52"/>
    </w:p>
    <w:p>
      <w:pPr>
        <w:pStyle w:val="Bibliography"/>
        <w:rPr/>
      </w:pPr>
      <w:r>
        <w:rPr/>
        <w:t xml:space="preserve">Smith, S.C., Ralston, J., and Taubert, K. (2012). </w:t>
      </w:r>
      <w:r>
        <w:rPr>
          <w:i/>
        </w:rPr>
        <w:t>Urbanization and Cardiovascular Disease: Raising Heart-Healthy Children in Today’s Cities</w:t>
      </w:r>
      <w:r>
        <w:rPr/>
        <w:t>. Geneva: The World Heart Federation.: pages.</w:t>
      </w:r>
      <w:bookmarkStart w:id="53" w:name="ref-smith_etal2012"/>
      <w:bookmarkEnd w:id="53"/>
    </w:p>
    <w:p>
      <w:pPr>
        <w:pStyle w:val="Bibliography"/>
        <w:rPr/>
      </w:pPr>
      <w:r>
        <w:rPr/>
        <w:t xml:space="preserve">Soares, S., Souza, L.R., Silva, W.J., Silveira, F.G., and Campos, A. (2016). </w:t>
      </w:r>
      <w:r>
        <w:rPr>
          <w:i/>
        </w:rPr>
        <w:t>Poverty Profile: The Rural North and Northeast of Brazil</w:t>
      </w:r>
      <w:r>
        <w:rPr/>
        <w:t xml:space="preserve">. International Policy Centre for Inclusive Growth.: pages. </w:t>
      </w:r>
      <w:hyperlink r:id="rId18">
        <w:r>
          <w:rPr/>
          <w:t>https://ipcig.org/pub/eng/PRB50_Poverty_profile_the_rural_North_Northeast_regions_of_Brazil.pdf</w:t>
        </w:r>
      </w:hyperlink>
      <w:r>
        <w:rPr/>
        <w:t>.</w:t>
      </w:r>
      <w:bookmarkStart w:id="54" w:name="ref-soares_etal2016"/>
      <w:bookmarkEnd w:id="54"/>
    </w:p>
    <w:p>
      <w:pPr>
        <w:pStyle w:val="Bibliography"/>
        <w:rPr/>
      </w:pPr>
      <w:r>
        <w:rPr/>
        <w:t xml:space="preserve">Sullivan, D.F. (1971). A single index of mortality and morbidity. </w:t>
      </w:r>
      <w:r>
        <w:rPr>
          <w:i/>
        </w:rPr>
        <w:t>HSMHA Health Reports</w:t>
      </w:r>
      <w:r>
        <w:rPr/>
        <w:t xml:space="preserve"> 86(4):347–354.</w:t>
      </w:r>
      <w:bookmarkStart w:id="55" w:name="ref-sullivan1971"/>
      <w:bookmarkEnd w:id="55"/>
    </w:p>
    <w:p>
      <w:pPr>
        <w:pStyle w:val="Bibliography"/>
        <w:rPr/>
      </w:pPr>
      <w:r>
        <w:rPr/>
        <w:t xml:space="preserve">Szwarcwald, C.L., Malta, D.C., Pereira, C.A., Vieira, M.L.F.P., Conde, W.L., Souza Júnior, P.R.B. de, Damacena, G.N., Azevedo, L.O., Silva, G.A. e, Filha, M.M.T., Souza Lopes, C. de, Romero, D.E., Silva de Almeida, W. da, and Monteiro, C.A. (2014). Pesquisa nacional de saúde no brasil: Concepção e metodologia de aplicação. </w:t>
      </w:r>
      <w:r>
        <w:rPr>
          <w:i/>
        </w:rPr>
        <w:t>Ciência &amp; Saúde Coletiva</w:t>
      </w:r>
      <w:r>
        <w:rPr/>
        <w:t xml:space="preserve"> 19(2):333–342.</w:t>
      </w:r>
      <w:bookmarkStart w:id="56" w:name="ref-szwarcwald_etal2014"/>
      <w:bookmarkEnd w:id="56"/>
    </w:p>
    <w:p>
      <w:pPr>
        <w:pStyle w:val="Bibliography"/>
        <w:rPr/>
      </w:pPr>
      <w:r>
        <w:rPr/>
        <w:t xml:space="preserve">Veiga, J.E. (2003). </w:t>
      </w:r>
      <w:r>
        <w:rPr>
          <w:i/>
        </w:rPr>
        <w:t>Cidades Imaginárias: O Brasil é Menos Urbano Do Que Se Calcula</w:t>
      </w:r>
      <w:r>
        <w:rPr/>
        <w:t>. Editora Autores Associados.</w:t>
      </w:r>
      <w:bookmarkStart w:id="57" w:name="ref-veiga2003"/>
      <w:bookmarkEnd w:id="57"/>
    </w:p>
    <w:p>
      <w:pPr>
        <w:pStyle w:val="Bibliography"/>
        <w:rPr/>
      </w:pPr>
      <w:r>
        <w:rPr/>
        <w:t xml:space="preserve">Viacava, F., Porto, S.M., Carvalho, C. de C., and Bellido, J.G. (2019). Health inequalities by region and social group based on data from household surveys (Brazil, 1998-2013). </w:t>
      </w:r>
      <w:r>
        <w:rPr>
          <w:i/>
        </w:rPr>
        <w:t>Ciência &amp; Saúde Coletiva</w:t>
      </w:r>
      <w:r>
        <w:rPr/>
        <w:t xml:space="preserve"> 24:2745–2760.</w:t>
      </w:r>
      <w:bookmarkStart w:id="58" w:name="ref-viacava_etal2019"/>
      <w:bookmarkEnd w:id="58"/>
    </w:p>
    <w:p>
      <w:pPr>
        <w:pStyle w:val="Bibliography"/>
        <w:rPr/>
      </w:pPr>
      <w:r>
        <w:rPr/>
        <w:t xml:space="preserve">Woods, R. (2003). Urban-rural mortality differentials: An unresolved debate. </w:t>
      </w:r>
      <w:r>
        <w:rPr>
          <w:i/>
        </w:rPr>
        <w:t>Population and Development Review</w:t>
      </w:r>
      <w:r>
        <w:rPr/>
        <w:t xml:space="preserve"> 29(1):29–46.</w:t>
      </w:r>
      <w:bookmarkStart w:id="59" w:name="refs"/>
      <w:bookmarkStart w:id="60" w:name="ref-woods2003"/>
      <w:bookmarkEnd w:id="59"/>
      <w:bookmarkEnd w:id="60"/>
    </w:p>
    <w:p>
      <w:pPr>
        <w:pStyle w:val="Heading1"/>
        <w:rPr/>
      </w:pPr>
      <w:bookmarkStart w:id="61" w:name="appendix-a"/>
      <w:r>
        <w:rPr/>
        <w:t>6. Appendix A</w:t>
      </w:r>
      <w:bookmarkEnd w:id="61"/>
    </w:p>
    <w:p>
      <w:pPr>
        <w:pStyle w:val="FirstParagraph"/>
        <w:rPr/>
      </w:pPr>
      <w:r>
        <w:rPr/>
        <w:t>In this appendix we present the methodological procedure adopted for the estimation of death coverage rates for each of Brazilian five macrorregions (North, Northeast, Midwest, Southeast, South). We used the modified version of the synthetic extinct generations (SEG) method for two censuses which uses the results of the generalized growth balance (GGB) method to adjust for intercensal population coverage ratio (Hill, You, and Choi 2009). We use the R package DDM (Riffe, Lima, and Queiroz 2017) to construct our estimates.</w:t>
      </w:r>
    </w:p>
    <w:p>
      <w:pPr>
        <w:pStyle w:val="TextBody"/>
        <w:rPr/>
      </w:pPr>
      <w:r>
        <w:rPr/>
        <w:t>Since we are using two-census methods to allow the relaxation of population stability assumption of pioneer one-census methods, we use age-specific mortality rates computed for national census of 2010 and estimate average deaths in the 2000-2010 period using the population geometric average between the two census periods, as stated in Equation A1.</w:t>
      </w:r>
    </w:p>
    <w:p>
      <w:pPr>
        <w:pStyle w:val="TextBody"/>
        <w:rPr/>
      </w:pP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1</m:t>
            </m:r>
          </m:e>
        </m:d>
        <m:r>
          <m:rPr>
            <m:lit/>
            <m:nor/>
          </m:rPr>
          <w:rPr>
            <w:rFonts w:ascii="Cambria Math" w:hAnsi="Cambria Math"/>
          </w:rPr>
          <m:t xml:space="preserve">deaths</m:t>
        </m:r>
        <m:r>
          <w:rPr>
            <w:rFonts w:ascii="Cambria Math" w:hAnsi="Cambria Math"/>
          </w:rPr>
          <m:t xml:space="preserve">=</m:t>
        </m:r>
        <m:f>
          <m:num>
            <m:sSub>
              <m:e>
                <m:r>
                  <m:rPr>
                    <m:lit/>
                    <m:nor/>
                  </m:rPr>
                  <w:rPr>
                    <w:rFonts w:ascii="Cambria Math" w:hAnsi="Cambria Math"/>
                  </w:rPr>
                  <m:t xml:space="preserve">deaths</m:t>
                </m:r>
              </m:e>
              <m:sub>
                <m:r>
                  <w:rPr>
                    <w:rFonts w:ascii="Cambria Math" w:hAnsi="Cambria Math"/>
                  </w:rPr>
                  <m:t xml:space="preserve">2010</m:t>
                </m:r>
              </m:sub>
            </m:sSub>
          </m:num>
          <m:den>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m:rPr>
                    <m:lit/>
                    <m:nor/>
                  </m:rPr>
                  <w:rPr>
                    <w:rFonts w:ascii="Cambria Math" w:hAnsi="Cambria Math"/>
                  </w:rPr>
                  <m:t xml:space="preserve">deaths</m:t>
                </m:r>
              </m:e>
              <m:sub>
                <m:r>
                  <w:rPr>
                    <w:rFonts w:ascii="Cambria Math" w:hAnsi="Cambria Math"/>
                  </w:rPr>
                  <m:t xml:space="preserve">2010</m:t>
                </m:r>
              </m:sub>
            </m:sSub>
          </m:den>
        </m:f>
        <m:rad>
          <m:radPr>
            <m:degHide m:val="1"/>
          </m:radPr>
          <m:deg/>
          <m:e>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sSub>
              <m:e>
                <m:r>
                  <m:rPr>
                    <m:lit/>
                    <m:nor/>
                  </m:rPr>
                  <w:rPr>
                    <w:rFonts w:ascii="Cambria Math" w:hAnsi="Cambria Math"/>
                  </w:rPr>
                  <m:t xml:space="preserve">population</m:t>
                </m:r>
              </m:e>
              <m:sub>
                <m:r>
                  <w:rPr>
                    <w:rFonts w:ascii="Cambria Math" w:hAnsi="Cambria Math"/>
                  </w:rPr>
                  <m:t xml:space="preserve">2000</m:t>
                </m:r>
              </m:sub>
            </m:sSub>
          </m:e>
        </m:rad>
      </m:oMath>
    </w:p>
    <w:p>
      <w:pPr>
        <w:pStyle w:val="FirstParagraph"/>
        <w:rPr/>
      </w:pPr>
      <w:r>
        <w:rPr/>
        <w:t>Table A1 shows the results of estimated death coverage rates for the adult population fitted values for the selected age range (15-59) and intercensal relative population coverage (k1/k2).</w:t>
      </w:r>
    </w:p>
    <w:p>
      <w:pPr>
        <w:pStyle w:val="TextBody"/>
        <w:spacing w:lineRule="auto" w:line="360" w:before="180" w:after="180"/>
        <w:jc w:val="both"/>
        <w:rPr/>
      </w:pPr>
      <w:r>
        <w:rPr/>
        <w:t>[ TABLE A1 : Death enumeration completeness and intercensal relative population coverage - Brazil, 2010. Source: 2010 Brazilian National Census. ]</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jc w:val="both"/>
        <w:rPr/>
      </w:pPr>
      <w:r>
        <w:rPr>
          <w:rStyle w:val="FootnoteCharacters"/>
        </w:rPr>
        <w:footnoteRef/>
      </w:r>
      <w:r>
        <w:rPr/>
        <w:t xml:space="preserve"> </w:t>
      </w:r>
      <w:r>
        <w:rPr/>
        <w:t>The population data of 2000 is required for the estimation of death enumeration completeness because the most robust death distribution methods are the two-census methods, since they do not rely on the assumption of population stability (Moultrie et al. 2013)</w:t>
      </w:r>
    </w:p>
  </w:footnote>
  <w:footnote w:id="3">
    <w:p>
      <w:pPr>
        <w:pStyle w:val="Footnote"/>
        <w:spacing w:before="0" w:after="200"/>
        <w:jc w:val="both"/>
        <w:rPr/>
      </w:pPr>
      <w:r>
        <w:rPr>
          <w:rStyle w:val="FootnoteCharacters"/>
        </w:rPr>
        <w:footnoteRef/>
      </w:r>
      <w:r>
        <w:rPr/>
        <w:t xml:space="preserve"> </w:t>
      </w:r>
      <w:r>
        <w:rPr/>
        <w:t xml:space="preserve">Package is available at: </w:t>
      </w:r>
      <w:hyperlink r:id="rId1">
        <w:r>
          <w:rPr/>
          <w:t>https://cran.r-project.org/web/packages/DDM/index.html</w:t>
        </w:r>
      </w:hyperlink>
      <w:r>
        <w:rPr/>
        <w:t>.</w:t>
      </w:r>
    </w:p>
  </w:footnote>
  <w:footnote w:id="4">
    <w:p>
      <w:pPr>
        <w:pStyle w:val="Footnote"/>
        <w:spacing w:before="0" w:after="200"/>
        <w:jc w:val="both"/>
        <w:rPr/>
      </w:pPr>
      <w:r>
        <w:rPr>
          <w:rStyle w:val="FootnoteCharacters"/>
        </w:rPr>
        <w:footnoteRef/>
      </w:r>
      <w:r>
        <w:rPr/>
        <w:t xml:space="preserve"> </w:t>
      </w:r>
      <w:r>
        <w:rPr/>
        <w:t>Even though PNS had prevalence data available only for adults aged over 18 years old, we considered the prevalence distribution of diseases for age group 15-19 equal to the rates observed for the age group 18-19.</w:t>
      </w:r>
    </w:p>
  </w:footnote>
  <w:footnote w:id="5">
    <w:p>
      <w:pPr>
        <w:pStyle w:val="Footnote"/>
        <w:spacing w:before="0" w:after="200"/>
        <w:jc w:val="both"/>
        <w:rPr/>
      </w:pPr>
      <w:r>
        <w:rPr>
          <w:rStyle w:val="FootnoteCharacters"/>
        </w:rPr>
        <w:footnoteRef/>
      </w:r>
      <w:r>
        <w:rPr/>
        <w:t xml:space="preserve"> </w:t>
      </w:r>
      <w:r>
        <w:rPr/>
        <w:t>Prevalence rates of diseases and disabilities were smoothed by applying the locally estimated scatterplot smoothing method (LOESS).</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Normal1">
    <w:name w:val="LO-normal"/>
    <w:qFormat/>
    <w:pPr>
      <w:widowControl/>
      <w:bidi w:val="0"/>
      <w:spacing w:lineRule="auto" w:line="240"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hyperlink" Target="https://doi.org/10.1002/psp.2073" TargetMode="External"/><Relationship Id="rId6" Type="http://schemas.openxmlformats.org/officeDocument/2006/relationships/hyperlink" Target="https://doi.org/10.4054/DemRes.2002.7.14" TargetMode="External"/><Relationship Id="rId7" Type="http://schemas.openxmlformats.org/officeDocument/2006/relationships/hyperlink" Target="https://ieps.org.br/wp-content/uploads/2020/02/WPS3.pdf" TargetMode="External"/><Relationship Id="rId8" Type="http://schemas.openxmlformats.org/officeDocument/2006/relationships/hyperlink" Target="https://doi.org/https://doi.org/10.1016/S0140-6736(19)31243-7" TargetMode="External"/><Relationship Id="rId9" Type="http://schemas.openxmlformats.org/officeDocument/2006/relationships/hyperlink" Target="https://doi.org/10.1590/1980-5497201700050001 " TargetMode="External"/><Relationship Id="rId10" Type="http://schemas.openxmlformats.org/officeDocument/2006/relationships/hyperlink" Target="https://doi.org/10.4054/DemRes.2020.42.8" TargetMode="External"/><Relationship Id="rId11" Type="http://schemas.openxmlformats.org/officeDocument/2006/relationships/hyperlink" Target="https://doi.org/10.26633/RPSP.2018.128" TargetMode="External"/><Relationship Id="rId12" Type="http://schemas.openxmlformats.org/officeDocument/2006/relationships/hyperlink" Target="https://doi.org/10.1136/jech.2005.038323" TargetMode="External"/><Relationship Id="rId13" Type="http://schemas.openxmlformats.org/officeDocument/2006/relationships/hyperlink" Target="http://www.scielo.br/scielo.php?script=sci_arttext&amp;pid=S0103-20032010000400010&amp;nrm=iso" TargetMode="External"/><Relationship Id="rId14" Type="http://schemas.openxmlformats.org/officeDocument/2006/relationships/hyperlink" Target="http://www.scielo.br/scielo.php?script=sci_arttext&amp;pid=S1413-81232016000200327&amp;nrm=iso" TargetMode="External"/><Relationship Id="rId15" Type="http://schemas.openxmlformats.org/officeDocument/2006/relationships/hyperlink" Target="https://doi.org/10.1590/1809-9823.2016.15011" TargetMode="External"/><Relationship Id="rId16" Type="http://schemas.openxmlformats.org/officeDocument/2006/relationships/hyperlink" Target="https://doi.org/https://doi.org/10.1016/j.puhe.2018.05.011" TargetMode="External"/><Relationship Id="rId17" Type="http://schemas.openxmlformats.org/officeDocument/2006/relationships/hyperlink" Target="https://doi.org/10.1002/hec.1607" TargetMode="External"/><Relationship Id="rId18" Type="http://schemas.openxmlformats.org/officeDocument/2006/relationships/hyperlink" Target="https://ipcig.org/pub/eng/PRB50_Poverty_profile_the_rural_North_Northeast_regions_of_Brazil.pdf" TargetMode="External"/><Relationship Id="rId1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24</Pages>
  <Words>6796</Words>
  <Characters>40114</Characters>
  <CharactersWithSpaces>46660</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2021-02-08T14:59:08Z</dcterms:created>
  <dc:creator/>
  <dc:description/>
  <dc:language>en-US</dc:language>
  <cp:lastModifiedBy/>
  <dcterms:modified xsi:type="dcterms:W3CDTF">2021-02-08T12:41:37Z</dcterms:modified>
  <cp:revision>1</cp:revision>
  <dc:subject/>
  <dc:title>Rural-Urban health and mortality differentials in Brazil, 2010-2013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This paper assesses health and mortality differentials in rural and urban areas using morbidity prevalence data from the Brazilian National Health Survey of 2013 and the mortality information from the Brazilian National Census of 2010. The results show that urban residents have higher prevalence rates of diabetes and heart diseases, whereas rural residents have higher prevalence rates of osteoarticular diseases and physical incapacities. Adult individuals of rural areas have lower mortality levels compared to those in urban areas. However, we find that a significant share of rural individual’s life co-occurs with physical and musculoskeletal related morbidities. These differences between urban and rural spaces need to be considered when making health policy decisions. keywords: Brazil, mortality, health, rural-urban differentials</vt:lpwstr>
  </property>
  <property fmtid="{D5CDD505-2E9C-101B-9397-08002B2CF9AE}" pid="3" name="bibliography">
    <vt:lpwstr>bibliografia.bib</vt:lpwstr>
  </property>
  <property fmtid="{D5CDD505-2E9C-101B-9397-08002B2CF9AE}" pid="4" name="csl">
    <vt:lpwstr>demographic-research.csl</vt:lpwstr>
  </property>
  <property fmtid="{D5CDD505-2E9C-101B-9397-08002B2CF9AE}" pid="5" name="output">
    <vt:lpwstr/>
  </property>
</Properties>
</file>