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emf" ContentType="image/x-emf"/>
  <Override PartName="/word/media/image1.emf" ContentType="image/x-emf"/>
  <Override PartName="/word/media/image2.emf" ContentType="image/x-emf"/>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bstract"/>
        <w:spacing w:lineRule="auto" w:line="240"/>
        <w:jc w:val="both"/>
        <w:rPr>
          <w:rFonts w:ascii="Times New Roman" w:hAnsi="Times New Roman"/>
          <w:b/>
          <w:b/>
          <w:bCs/>
          <w:sz w:val="24"/>
          <w:szCs w:val="24"/>
        </w:rPr>
      </w:pPr>
      <w:r>
        <w:rPr>
          <w:rFonts w:ascii="Times New Roman" w:hAnsi="Times New Roman"/>
          <w:b/>
          <w:bCs/>
          <w:sz w:val="24"/>
          <w:szCs w:val="24"/>
        </w:rPr>
        <w:t>Abstract</w:t>
      </w:r>
    </w:p>
    <w:p>
      <w:pPr>
        <w:pStyle w:val="Abstract"/>
        <w:spacing w:lineRule="auto" w:line="240"/>
        <w:jc w:val="both"/>
        <w:rPr>
          <w:rFonts w:ascii="Times New Roman" w:hAnsi="Times New Roman"/>
          <w:sz w:val="24"/>
          <w:szCs w:val="24"/>
        </w:rPr>
      </w:pPr>
      <w:r>
        <w:rPr>
          <w:rFonts w:ascii="Times New Roman" w:hAnsi="Times New Roman"/>
          <w:sz w:val="24"/>
          <w:szCs w:val="24"/>
        </w:rPr>
        <w:t xml:space="preserve">Urbanization and economic development in developed countries fostered the debate of rural vs. urban health and mortality differentials. </w:t>
      </w:r>
      <w:r>
        <w:rPr>
          <w:rFonts w:ascii="Times New Roman" w:hAnsi="Times New Roman"/>
          <w:sz w:val="24"/>
          <w:szCs w:val="24"/>
          <w:lang w:val="en-US"/>
        </w:rPr>
        <w:t>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physical incapacities.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Normal"/>
        <w:shd w:val="clear" w:color="auto" w:fill="FFFFFF"/>
        <w:spacing w:lineRule="auto" w:line="240" w:before="0" w:after="0"/>
        <w:jc w:val="both"/>
        <w:textAlignment w:val="top"/>
        <w:rPr>
          <w:rFonts w:ascii="Times New Roman" w:hAnsi="Times New Roman"/>
          <w:sz w:val="24"/>
          <w:szCs w:val="24"/>
        </w:rPr>
      </w:pPr>
      <w:r>
        <w:rPr>
          <w:rFonts w:ascii="Times New Roman" w:hAnsi="Times New Roman"/>
          <w:b/>
          <w:bCs/>
          <w:sz w:val="24"/>
          <w:szCs w:val="24"/>
          <w:lang w:val="en-US"/>
        </w:rPr>
        <w:t>K</w:t>
      </w:r>
      <w:r>
        <w:rPr>
          <w:rFonts w:ascii="Times New Roman" w:hAnsi="Times New Roman"/>
          <w:b/>
          <w:bCs/>
          <w:sz w:val="24"/>
          <w:szCs w:val="24"/>
          <w:lang w:val="en-US"/>
        </w:rPr>
        <w:t>eywords:</w:t>
      </w:r>
      <w:r>
        <w:rPr>
          <w:rFonts w:ascii="Times New Roman" w:hAnsi="Times New Roman"/>
          <w:sz w:val="24"/>
          <w:szCs w:val="24"/>
          <w:lang w:val="en-US"/>
        </w:rPr>
        <w:t xml:space="preserve"> Mortality, Health, Rural-Urban Differentials, life expectancy, Brazil.</w:t>
      </w:r>
    </w:p>
    <w:p>
      <w:pPr>
        <w:pStyle w:val="Normal"/>
        <w:shd w:val="clear" w:color="auto" w:fill="FFFFFF"/>
        <w:spacing w:lineRule="auto" w:line="276" w:before="0" w:after="0"/>
        <w:jc w:val="both"/>
        <w:textAlignment w:val="top"/>
        <w:rPr>
          <w:sz w:val="24"/>
          <w:szCs w:val="24"/>
          <w:lang w:val="en-US"/>
        </w:rPr>
      </w:pPr>
      <w:r>
        <w:rPr>
          <w:sz w:val="24"/>
          <w:szCs w:val="24"/>
          <w:lang w:val="en-US"/>
        </w:rPr>
      </w:r>
    </w:p>
    <w:p>
      <w:pPr>
        <w:pStyle w:val="Normal"/>
        <w:shd w:val="clear" w:color="auto" w:fill="FFFFFF"/>
        <w:spacing w:lineRule="auto" w:line="276" w:before="0" w:after="0"/>
        <w:jc w:val="both"/>
        <w:textAlignment w:val="top"/>
        <w:rPr>
          <w:rFonts w:ascii="Times New Roman" w:hAnsi="Times New Roman"/>
          <w:b/>
          <w:b/>
          <w:bCs/>
          <w:sz w:val="24"/>
          <w:szCs w:val="24"/>
          <w:lang w:val="en-US"/>
        </w:rPr>
      </w:pPr>
      <w:r>
        <w:rPr>
          <w:rFonts w:ascii="Times New Roman" w:hAnsi="Times New Roman"/>
          <w:b/>
          <w:bCs/>
          <w:sz w:val="24"/>
          <w:szCs w:val="24"/>
          <w:lang w:val="en-US"/>
        </w:rPr>
        <w:t>Resumè</w:t>
      </w:r>
    </w:p>
    <w:p>
      <w:pPr>
        <w:pStyle w:val="Normal"/>
        <w:shd w:val="clear" w:color="auto" w:fill="FFFFFF"/>
        <w:spacing w:lineRule="auto" w:line="276" w:before="0" w:after="0"/>
        <w:jc w:val="both"/>
        <w:textAlignment w:val="top"/>
        <w:rPr>
          <w:rFonts w:ascii="Times New Roman" w:hAnsi="Times New Roman"/>
        </w:rPr>
      </w:pPr>
      <w:r>
        <w:rPr>
          <w:rFonts w:ascii="Times New Roman" w:hAnsi="Times New Roman"/>
          <w:sz w:val="24"/>
          <w:szCs w:val="24"/>
        </w:rPr>
        <w:t>L'urbanisation et le développement économique dans les pays à revenu élevé ont favorisé un débat sur les différences entre la santé et la mortalité dans les zones rurales et urbaines. 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Normal"/>
        <w:shd w:val="clear" w:color="auto" w:fill="FFFFFF"/>
        <w:spacing w:lineRule="auto" w:line="276" w:before="0" w:after="0"/>
        <w:jc w:val="both"/>
        <w:textAlignment w:val="top"/>
        <w:rPr>
          <w:b/>
          <w:b/>
          <w:bCs/>
          <w:sz w:val="24"/>
          <w:szCs w:val="24"/>
        </w:rPr>
      </w:pPr>
      <w:r>
        <w:rPr>
          <w:rFonts w:ascii="Times New Roman" w:hAnsi="Times New Roman"/>
        </w:rPr>
      </w:r>
    </w:p>
    <w:p>
      <w:pPr>
        <w:pStyle w:val="Normal"/>
        <w:shd w:val="clear" w:color="auto" w:fill="FFFFFF"/>
        <w:spacing w:lineRule="auto" w:line="276" w:before="0" w:after="0"/>
        <w:jc w:val="both"/>
        <w:textAlignment w:val="top"/>
        <w:rPr>
          <w:rFonts w:ascii="Times New Roman" w:hAnsi="Times New Roman"/>
        </w:rPr>
      </w:pPr>
      <w:r>
        <w:rPr>
          <w:rFonts w:ascii="Times New Roman" w:hAnsi="Times New Roman"/>
          <w:b/>
          <w:bCs/>
          <w:sz w:val="24"/>
          <w:szCs w:val="24"/>
        </w:rPr>
        <w:t>Mots clés:</w:t>
      </w:r>
      <w:r>
        <w:rPr>
          <w:rFonts w:ascii="Times New Roman" w:hAnsi="Times New Roman"/>
          <w:sz w:val="24"/>
          <w:szCs w:val="24"/>
        </w:rPr>
        <w:t xml:space="preserve"> Mortalité, Santé, Différentiels rural-urbain, espérance de vie, Brésil.</w:t>
      </w:r>
    </w:p>
    <w:p>
      <w:pPr>
        <w:pStyle w:val="Heading1"/>
        <w:spacing w:lineRule="auto" w:line="240"/>
        <w:rPr>
          <w:rFonts w:ascii="Times New Roman" w:hAnsi="Times New Roman"/>
        </w:rPr>
      </w:pPr>
      <w:bookmarkStart w:id="0" w:name="introduction"/>
      <w:r>
        <w:rPr>
          <w:rFonts w:ascii="Times New Roman" w:hAnsi="Times New Roman"/>
        </w:rPr>
        <w:t>1. Introduction</w:t>
      </w:r>
      <w:bookmarkEnd w:id="0"/>
    </w:p>
    <w:p>
      <w:pPr>
        <w:pStyle w:val="FirstParagraph"/>
        <w:spacing w:lineRule="auto" w:line="240"/>
        <w:rPr>
          <w:rFonts w:ascii="Times New Roman" w:hAnsi="Times New Roman"/>
        </w:rPr>
      </w:pPr>
      <w:r>
        <w:rPr>
          <w:rFonts w:ascii="Times New Roman" w:hAnsi="Times New Roman"/>
        </w:rPr>
        <w:t>By the time of urbanization and industrialization processes in Western countries, residents of urban areas used to exhibit higher mortality rates than their rural counterparts (Woods 2003). Indeed, living conditions improved in Western cities through socio-economic development and economic growth (Deaton 2003). Nevertheless,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a disadvantaged position regarding life expectancy and health indicators in general (Chen et al. 2019; Henning-Smith et al. 2019).</w:t>
      </w:r>
    </w:p>
    <w:p>
      <w:pPr>
        <w:pStyle w:val="TextBody"/>
        <w:spacing w:lineRule="auto" w:line="240"/>
        <w:rPr>
          <w:rFonts w:ascii="Times New Roman" w:hAnsi="Times New Roman"/>
        </w:rPr>
      </w:pPr>
      <w:r>
        <w:rPr>
          <w:rFonts w:ascii="Times New Roman" w:hAnsi="Times New Roman"/>
        </w:rPr>
        <w:t>The debate over urban and rural mortality differentials in developing countries follows two approaches: infant/child mortality and adult mortality (Garcia 2020; Menashe-Oren and Stecklov 2018). Infant and child mortality are more impacted by community-level characteristics and socio-economic situations (Garcia 2020). In Brazil, urban areas exhibit an under-five mortality advantage in comparison to the country’s rural areas, as a result of its better socio-economic status such as higher schooling levels and more increased access to sanitation and public services in general (Sastry 1997).</w:t>
      </w:r>
    </w:p>
    <w:p>
      <w:pPr>
        <w:pStyle w:val="TextBody"/>
        <w:spacing w:lineRule="auto" w:line="240"/>
        <w:rPr>
          <w:rFonts w:ascii="Times New Roman" w:hAnsi="Times New Roman"/>
        </w:rPr>
      </w:pPr>
      <w:r>
        <w:rPr>
          <w:rFonts w:ascii="Times New Roman" w:hAnsi="Times New Roman"/>
        </w:rPr>
        <w:t>Despite the urban advantaged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access to essential public services (health equipment, education, and sanitation) as a consequence of a rapid urbanization process. Living conditions in these developing urbanized centers deteriorate individuals’ health and expose them to higher mortality risks compared to their rural counterparts in a similar way as observed in the past for more developed countries, resulting in an urban death penalty (Fink, Günther, and Hill 2016).</w:t>
      </w:r>
    </w:p>
    <w:p>
      <w:pPr>
        <w:pStyle w:val="TextBody"/>
        <w:spacing w:lineRule="auto" w:line="240"/>
        <w:rPr>
          <w:rFonts w:ascii="Times New Roman" w:hAnsi="Times New Roman"/>
        </w:rPr>
      </w:pPr>
      <w:r>
        <w:rPr>
          <w:rFonts w:ascii="Times New Roman" w:hAnsi="Times New Roman"/>
        </w:rPr>
        <w:t>It is a feature of Brazilian mortality differentials.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the males. He estimated 73.6 and 69.3 life expectancy at birth for the rural and urban male population, respectively, and 77.8 and 77.1 years for females. Pereira (2020) 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is known for its low urban assets and damaged social conditions, presenting high violence and crime rates and deprivation of public assets such as public sanitation (Rodella 2015). The result of this scenario is a worsened health and mortality status of the urban periphery adult population of the country (Pereira 2018; Pereira and Queiroz 2016).</w:t>
      </w:r>
    </w:p>
    <w:p>
      <w:pPr>
        <w:pStyle w:val="TextBody"/>
        <w:spacing w:lineRule="auto" w:line="240"/>
        <w:rPr>
          <w:rFonts w:ascii="Times New Roman" w:hAnsi="Times New Roman"/>
        </w:rPr>
      </w:pPr>
      <w:r>
        <w:rPr>
          <w:rFonts w:ascii="Times New Roman" w:hAnsi="Times New Roman"/>
        </w:rPr>
        <w:t>Rural life expectancy advantage expressed in the Brazilian national census of 2010 (Albuquerque 2019) 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w:t>
      </w:r>
    </w:p>
    <w:p>
      <w:pPr>
        <w:pStyle w:val="Heading1"/>
        <w:spacing w:lineRule="auto" w:line="240"/>
        <w:rPr>
          <w:rFonts w:ascii="Times New Roman" w:hAnsi="Times New Roman"/>
        </w:rPr>
      </w:pPr>
      <w:bookmarkStart w:id="1" w:name="materials-and-methods"/>
      <w:r>
        <w:rPr>
          <w:rFonts w:ascii="Times New Roman" w:hAnsi="Times New Roman"/>
        </w:rPr>
        <w:t>2. Materials and Methods</w:t>
      </w:r>
      <w:bookmarkEnd w:id="1"/>
    </w:p>
    <w:p>
      <w:pPr>
        <w:pStyle w:val="Heading2"/>
        <w:spacing w:lineRule="auto" w:line="240"/>
        <w:rPr>
          <w:rFonts w:ascii="Times New Roman" w:hAnsi="Times New Roman"/>
        </w:rPr>
      </w:pPr>
      <w:bookmarkStart w:id="2" w:name="data-source"/>
      <w:r>
        <w:rPr>
          <w:rFonts w:ascii="Times New Roman" w:hAnsi="Times New Roman"/>
        </w:rPr>
        <w:t>2.1 Data source</w:t>
      </w:r>
      <w:bookmarkEnd w:id="2"/>
    </w:p>
    <w:p>
      <w:pPr>
        <w:pStyle w:val="FirstParagraph"/>
        <w:spacing w:lineRule="auto" w:line="240"/>
        <w:rPr>
          <w:rFonts w:ascii="Times New Roman" w:hAnsi="Times New Roman"/>
        </w:rPr>
      </w:pPr>
      <w:r>
        <w:rPr>
          <w:rFonts w:ascii="Times New Roman" w:hAnsi="Times New Roman"/>
        </w:rPr>
        <w:t>We use data from 2010’s Brazilian national census of 2010 and 2013’s Brazilian national health survey (PNS) to estimate mortality age profiles and implement further extensions on these functions to estimate health life expectancy. Both household inquiries are conducted by the Brazilian Bureau of National Statistics (IBGE).</w:t>
      </w:r>
    </w:p>
    <w:p>
      <w:pPr>
        <w:pStyle w:val="TextBody"/>
        <w:spacing w:lineRule="auto" w:line="240"/>
        <w:rPr>
          <w:rFonts w:ascii="Times New Roman" w:hAnsi="Times New Roman"/>
        </w:rPr>
      </w:pPr>
      <w:r>
        <w:rPr>
          <w:rFonts w:ascii="Times New Roman" w:hAnsi="Times New Roman"/>
        </w:rPr>
        <w:t xml:space="preserve">PNS </w:t>
      </w:r>
      <w:r>
        <w:rPr>
          <w:rFonts w:ascii="Times New Roman" w:hAnsi="Times New Roman"/>
        </w:rPr>
        <w:t>collects</w:t>
      </w:r>
      <w:r>
        <w:rPr>
          <w:rFonts w:ascii="Times New Roman" w:hAnsi="Times New Roman"/>
        </w:rPr>
        <w:t xml:space="preserve"> information on access and use of </w:t>
      </w:r>
      <w:r>
        <w:rPr>
          <w:rFonts w:ascii="Times New Roman" w:hAnsi="Times New Roman"/>
        </w:rPr>
        <w:t xml:space="preserve">health </w:t>
      </w:r>
      <w:r>
        <w:rPr>
          <w:rFonts w:ascii="Times New Roman" w:hAnsi="Times New Roman"/>
        </w:rPr>
        <w:t xml:space="preserve">services, preventive health behavior, and sociodemographic characteristics (IBGE 2013). The 2010 Population Census provides </w:t>
      </w:r>
      <w:r>
        <w:rPr>
          <w:rFonts w:ascii="Times New Roman" w:hAnsi="Times New Roman"/>
        </w:rPr>
        <w:t>an</w:t>
      </w:r>
      <w:r>
        <w:rPr>
          <w:rFonts w:ascii="Times New Roman" w:hAnsi="Times New Roman"/>
        </w:rPr>
        <w:t xml:space="preserve"> alternative to study mortality differentials </w:t>
      </w:r>
      <w:r>
        <w:rPr>
          <w:rFonts w:ascii="Times New Roman" w:hAnsi="Times New Roman"/>
        </w:rPr>
        <w:t>by inquiring about</w:t>
      </w:r>
      <w:r>
        <w:rPr>
          <w:rFonts w:ascii="Times New Roman" w:hAnsi="Times New Roman"/>
        </w:rPr>
        <w:t xml:space="preserve"> household deaths over a defined time, also including information on the age and sex of the deceased (</w:t>
      </w:r>
      <w:r>
        <w:rPr>
          <w:rFonts w:ascii="Times New Roman" w:hAnsi="Times New Roman"/>
        </w:rPr>
        <w:t>IBGE 2010</w:t>
      </w:r>
      <w:r>
        <w:rPr>
          <w:rFonts w:ascii="Times New Roman" w:hAnsi="Times New Roman"/>
        </w:rPr>
        <w:t>). It allows one to study and analyze mortality differentials that are not possible using the national mortality information system data from the Ministry of Health since this system data does not provide important information about the deceased socio-economic characteristics (Queiroz and Sawyer 2012). In addition to limitations in the completeness of reporting, one should be careful about limitations in age declaration of population and the deceased, specially at older ages (Nepomuceno and Turra 2020).</w:t>
      </w:r>
    </w:p>
    <w:p>
      <w:pPr>
        <w:pStyle w:val="Heading2"/>
        <w:spacing w:lineRule="auto" w:line="240"/>
        <w:rPr>
          <w:rFonts w:ascii="Times New Roman" w:hAnsi="Times New Roman"/>
        </w:rPr>
      </w:pPr>
      <w:bookmarkStart w:id="3" w:name="data-analysis"/>
      <w:r>
        <w:rPr>
          <w:rFonts w:ascii="Times New Roman" w:hAnsi="Times New Roman"/>
        </w:rPr>
        <w:t>2.2 Data analysis</w:t>
      </w:r>
      <w:bookmarkEnd w:id="3"/>
    </w:p>
    <w:p>
      <w:pPr>
        <w:pStyle w:val="FirstParagraph"/>
        <w:spacing w:lineRule="auto" w:line="240"/>
        <w:rPr>
          <w:rFonts w:ascii="Times New Roman" w:hAnsi="Times New Roman"/>
        </w:rPr>
      </w:pPr>
      <w:r>
        <w:rPr>
          <w:rFonts w:ascii="Times New Roman" w:hAnsi="Times New Roman"/>
        </w:rPr>
        <w:t>To answer our main research question, we developed a four-stage methodology: 1) estimation of essential life table functions for each population group (urban and rural residents) from 2010 national census mortality data, that involves adjustment for under-reporting of death counts (Queiroz and Sawyer 2012);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spacing w:lineRule="auto" w:line="240"/>
        <w:rPr>
          <w:rFonts w:ascii="Times New Roman" w:hAnsi="Times New Roman"/>
        </w:rPr>
      </w:pPr>
      <w:bookmarkStart w:id="4" w:name="correction-of-mortality-levels"/>
      <w:r>
        <w:rPr>
          <w:rFonts w:ascii="Times New Roman" w:hAnsi="Times New Roman"/>
        </w:rPr>
        <w:t>2.3 Correction of mortality levels</w:t>
      </w:r>
      <w:bookmarkEnd w:id="4"/>
    </w:p>
    <w:p>
      <w:pPr>
        <w:pStyle w:val="FirstParagraph"/>
        <w:spacing w:lineRule="auto" w:line="240"/>
        <w:rPr>
          <w:rFonts w:ascii="Times New Roman" w:hAnsi="Times New Roman"/>
        </w:rPr>
      </w:pPr>
      <w:r>
        <w:rPr>
          <w:rFonts w:ascii="Times New Roman" w:hAnsi="Times New Roman"/>
        </w:rPr>
        <w:t>Brazilian 2010 national census mortality information has completeness of death ennumeration rates ranging from 80-85% (Queiroz and Sawyer 2012). Since death registry coverage is sensitive to regional inequalities (Queiroz et al. 2017), census mortality data might also exhibit this pattern and is likely to present differences between rural and urban households. We first estimate completeness of death counts enumeration for each of these settings by applying synthetic extinct generations (SEG) (Bennett and Horiuchi 1984), generalized growth balance (GGB) (Hill 1987) and adjusted synthetic extinct generations (SEG-adjusted) (Hill, You, and Choi 2009) methods built in the R package DDM (Death Registration Coverage Estimation) (Riffe, Lima, and Queiroz 2017)</w:t>
      </w:r>
      <w:r>
        <w:rPr>
          <w:rStyle w:val="FootnoteAnchor"/>
          <w:rFonts w:ascii="Times New Roman" w:hAnsi="Times New Roman"/>
        </w:rPr>
        <w:footnoteReference w:id="2"/>
      </w:r>
      <w:r>
        <w:rPr>
          <w:rFonts w:ascii="Times New Roman" w:hAnsi="Times New Roman"/>
        </w:rPr>
        <w:t>.</w:t>
      </w:r>
    </w:p>
    <w:p>
      <w:pPr>
        <w:pStyle w:val="TextBody"/>
        <w:spacing w:lineRule="auto" w:line="240"/>
        <w:rPr>
          <w:rFonts w:ascii="Times New Roman" w:hAnsi="Times New Roman"/>
        </w:rPr>
      </w:pPr>
      <w:r>
        <w:rPr>
          <w:rFonts w:ascii="Times New Roman" w:hAnsi="Times New Roman"/>
        </w:rPr>
        <w:t>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t>
      </w:r>
    </w:p>
    <w:p>
      <w:pPr>
        <w:pStyle w:val="Heading2"/>
        <w:spacing w:lineRule="auto" w:line="240"/>
        <w:rPr>
          <w:rFonts w:ascii="Times New Roman" w:hAnsi="Times New Roman"/>
        </w:rPr>
      </w:pPr>
      <w:bookmarkStart w:id="5" w:name="morbidity-free-life-expectancy-estimatio"/>
      <w:r>
        <w:rPr>
          <w:rFonts w:ascii="Times New Roman" w:hAnsi="Times New Roman"/>
        </w:rPr>
        <w:t>2.4 Morbidity-free life expectancy estimation by Sullivan method</w:t>
      </w:r>
      <w:bookmarkEnd w:id="5"/>
    </w:p>
    <w:p>
      <w:pPr>
        <w:pStyle w:val="FirstParagraph"/>
        <w:spacing w:lineRule="auto" w:line="240"/>
        <w:rPr>
          <w:rFonts w:ascii="Times New Roman" w:hAnsi="Times New Roman"/>
        </w:rPr>
      </w:pPr>
      <w:r>
        <w:rPr>
          <w:rFonts w:ascii="Times New Roman" w:hAnsi="Times New Roman"/>
        </w:rPr>
        <w:t>The second step was to estimate disability-free life expectancy. We use the Sullivan method to use data from disease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spacing w:lineRule="auto" w:line="240"/>
        <w:rPr>
          <w:rFonts w:ascii="Times New Roman" w:hAnsi="Times New Roman"/>
        </w:rPr>
      </w:pPr>
      <w:r>
        <w:rPr>
          <w:rFonts w:ascii="Times New Roman" w:hAnsi="Times New Roman"/>
        </w:rPr>
        <w:t>The primary inputs of the method are the age-specific mortality rates for life table functions estimation and age-specific disease or disability (morbidity) prevalence (</w:t>
      </w: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x</m:t>
            </m:r>
          </m:sub>
        </m:sSub>
      </m:oMath>
      <w:r>
        <w:rPr>
          <w:rFonts w:ascii="Times New Roman" w:hAnsi="Times New Roman"/>
        </w:rPr>
        <w:t>). After the estimation of life table functions using mortality rates as inputs, the complement of the morbidity prevalence (morbidity-free prevalence) are multiplied by the person-years lived (</w:t>
      </w:r>
      <w:r>
        <w:rPr>
          <w:rFonts w:ascii="Times New Roman" w:hAnsi="Times New Roman"/>
        </w:rPr>
      </w:r>
      <m:oMath xmlns:m="http://schemas.openxmlformats.org/officeDocument/2006/math">
        <m:sSub>
          <m:e>
            <m:r>
              <w:rPr>
                <w:rFonts w:ascii="Cambria Math" w:hAnsi="Cambria Math"/>
              </w:rPr>
              <m:t xml:space="preserve">L</m:t>
            </m:r>
          </m:e>
          <m:sub>
            <m:r>
              <w:rPr>
                <w:rFonts w:ascii="Cambria Math" w:hAnsi="Cambria Math"/>
              </w:rPr>
              <m:t xml:space="preserve">x</m:t>
            </m:r>
          </m:sub>
        </m:sSub>
      </m:oMath>
      <w:r>
        <w:rPr>
          <w:rFonts w:ascii="Times New Roman" w:hAnsi="Times New Roman"/>
        </w:rPr>
        <w:t>) for each age group (Equation 1). Therefore, the life expectancy computed by the Sullivan method (</w:t>
      </w:r>
      <w:r>
        <w:rPr>
          <w:rFonts w:ascii="Times New Roman" w:hAnsi="Times New Roman"/>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rFonts w:ascii="Times New Roman" w:hAnsi="Times New Roman"/>
        </w:rPr>
        <w:t xml:space="preserve"> or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is an estimate of the morbidity-free life expectancy of the respective age-group</w:t>
      </w:r>
    </w:p>
    <w:p>
      <w:pPr>
        <w:pStyle w:val="TextBody"/>
        <w:spacing w:lineRule="auto" w:line="240"/>
        <w:jc w:val="center"/>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1</m:t>
            </m:r>
          </m:e>
        </m:d>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spacing w:lineRule="auto" w:line="240"/>
        <w:rPr>
          <w:rFonts w:ascii="Times New Roman" w:hAnsi="Times New Roman"/>
        </w:rPr>
      </w:pPr>
      <w:r>
        <w:rPr>
          <w:rFonts w:ascii="Times New Roman" w:hAnsi="Times New Roman"/>
        </w:rPr>
        <w:t>We evaluate the morbidity prevalence and compute morbidity-free life expectancy for some specific sets of morbidities grouped in 4 categories: cardiovascular diseases; diabetes; osteoarticular diseases (e.g., arthritis, rheumatism and back pain), and incapacity/disabilities: to walk, see or listen (restricted to severe or total incapacity).</w:t>
      </w:r>
    </w:p>
    <w:p>
      <w:pPr>
        <w:pStyle w:val="TextBody"/>
        <w:spacing w:lineRule="auto" w:line="240"/>
        <w:rPr>
          <w:rFonts w:ascii="Times New Roman" w:hAnsi="Times New Roman"/>
        </w:rPr>
      </w:pPr>
      <w:r>
        <w:rPr>
          <w:rFonts w:ascii="Times New Roman" w:hAnsi="Times New Roman"/>
        </w:rPr>
        <w:t>Since differences in urban-rural mortality are expected to favor rural residents (Albuquerque 2019), we compare both populations also by a relative measure of morbidity-free life expectancy. That is, we compute the proportion of life expectancy that the synthetic cohort is expected to live free from each related morbidity (</w:t>
      </w:r>
      <w:r>
        <w:rPr>
          <w:rFonts w:ascii="Times New Roman" w:hAnsi="Times New Roman"/>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rPr>
        <w:t xml:space="preserve"> ratio). We adopt this strategy to compare relative measures and avoid distortions that might come from absolute values. We focus our attention on adult mortality differentials (15-69 age-groups) because PNS had disease prevalence data available only for the adult population (18+)</w:t>
      </w:r>
      <w:r>
        <w:rPr>
          <w:rStyle w:val="FootnoteAnchor"/>
          <w:rFonts w:ascii="Times New Roman" w:hAnsi="Times New Roman"/>
        </w:rPr>
        <w:footnoteReference w:id="3"/>
      </w:r>
      <w:r>
        <w:rPr>
          <w:rFonts w:ascii="Times New Roman" w:hAnsi="Times New Roman"/>
        </w:rPr>
        <w:t>.</w:t>
      </w:r>
    </w:p>
    <w:p>
      <w:pPr>
        <w:pStyle w:val="Heading2"/>
        <w:spacing w:lineRule="auto" w:line="240"/>
        <w:rPr>
          <w:rFonts w:ascii="Times New Roman" w:hAnsi="Times New Roman"/>
        </w:rPr>
      </w:pPr>
      <w:bookmarkStart w:id="6" w:name="decomposition-of-rural-urban-dfle-differ"/>
      <w:r>
        <w:rPr>
          <w:rFonts w:ascii="Times New Roman" w:hAnsi="Times New Roman"/>
        </w:rPr>
        <w:t>2.5 Decomposition of rural-urban DFLE differentials</w:t>
      </w:r>
      <w:bookmarkEnd w:id="6"/>
    </w:p>
    <w:p>
      <w:pPr>
        <w:pStyle w:val="FirstParagraph"/>
        <w:spacing w:lineRule="auto" w:line="240"/>
        <w:rPr>
          <w:rFonts w:ascii="Times New Roman" w:hAnsi="Times New Roman"/>
        </w:rPr>
      </w:pPr>
      <w:r>
        <w:rPr>
          <w:rFonts w:ascii="Times New Roman" w:hAnsi="Times New Roman"/>
        </w:rPr>
        <w:t>In our final stage, we apply decomposition methods developed by (Andreev, Shkolnikov, and Begun 2002). The estimation of person-years lived in good health, in Equation 1, requires two-variable vectors: person-years lived by age group (</w:t>
      </w:r>
      <w:r>
        <w:rPr>
          <w:rFonts w:ascii="Times New Roman" w:hAnsi="Times New Roman"/>
        </w:rPr>
      </w:r>
      <m:oMath xmlns:m="http://schemas.openxmlformats.org/officeDocument/2006/math">
        <m:sSub>
          <m:e>
            <m:r>
              <w:rPr>
                <w:rFonts w:ascii="Cambria Math" w:hAnsi="Cambria Math"/>
              </w:rPr>
              <m:t xml:space="preserve">L</m:t>
            </m:r>
          </m:e>
          <m:sub>
            <m:r>
              <w:rPr>
                <w:rFonts w:ascii="Cambria Math" w:hAnsi="Cambria Math"/>
              </w:rPr>
              <m:t xml:space="preserve">x</m:t>
            </m:r>
          </m:sub>
        </m:sSub>
      </m:oMath>
      <w:r>
        <w:rPr>
          <w:rFonts w:ascii="Times New Roman" w:hAnsi="Times New Roman"/>
        </w:rPr>
        <w:t>), derived from age-specific mortality rates vector (</w:t>
      </w:r>
      <w:r>
        <w:rPr>
          <w:rFonts w:ascii="Times New Roman" w:hAnsi="Times New Roman"/>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rFonts w:ascii="Times New Roman" w:hAnsi="Times New Roman"/>
        </w:rPr>
        <w:t>), and age-specific healthy condition or morbidity-free prevalence vectors (</w:t>
      </w:r>
      <w:r>
        <w:rPr>
          <w:rFonts w:ascii="Times New Roman" w:hAnsi="Times New Roman"/>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rFonts w:ascii="Times New Roman" w:hAnsi="Times New Roman"/>
        </w:rPr>
        <w:t>). Then, the health expectancy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at age x can be stated as a function of age-specific mortality rates and age-specific health prevalence (Equation 2).</w:t>
      </w:r>
    </w:p>
    <w:p>
      <w:pPr>
        <w:pStyle w:val="TextBody"/>
        <w:spacing w:lineRule="auto" w:line="240"/>
        <w:jc w:val="center"/>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spacing w:lineRule="auto" w:line="240"/>
        <w:rPr>
          <w:rFonts w:ascii="Times New Roman" w:hAnsi="Times New Roman"/>
        </w:rPr>
      </w:pPr>
      <w:r>
        <w:rPr>
          <w:rFonts w:ascii="Times New Roman" w:hAnsi="Times New Roman"/>
        </w:rPr>
        <w:t>The urban-rural differences for health expectancy can be decomposed into two components computed by applying the stepwise replacement algorithm. The algorithm’s rationale lies behind the transformation of one population group vector of health expectancy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for example) into the other population group vector of health expectancy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in our case). Considering the components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function (Equation 2),we can obtain rural health expectancy vector estimates out of urban health expectancy vector by transforming each of its elements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into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which is performed in an age-by-age replacement mode: </w:t>
      </w:r>
      <w:r>
        <w:rPr>
          <w:rFonts w:ascii="Times New Roman" w:hAnsi="Times New Roman"/>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rFonts w:ascii="Times New Roman" w:hAnsi="Times New Roman"/>
        </w:rPr>
        <w:t xml:space="preserve"> and </w:t>
      </w:r>
      <w:r>
        <w:rPr>
          <w:rFonts w:ascii="Times New Roman" w:hAnsi="Times New Roman"/>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rFonts w:ascii="Times New Roman" w:hAnsi="Times New Roman"/>
        </w:rPr>
        <w:t xml:space="preserve"> are the mortality and morbidity-free prevalence rates vectors composed by rates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at ages </w:t>
      </w:r>
      <w:r>
        <w:rPr>
          <w:rFonts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at ages </w:t>
      </w:r>
      <w:r>
        <w:rPr>
          <w:rFonts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rPr>
        <w:t>, respectively (Andreev, Shkolnikov, and Begun 2002).</w:t>
      </w:r>
    </w:p>
    <w:p>
      <w:pPr>
        <w:pStyle w:val="TextBody"/>
        <w:spacing w:lineRule="auto" w:line="240"/>
        <w:rPr>
          <w:rFonts w:ascii="Times New Roman" w:hAnsi="Times New Roman"/>
        </w:rPr>
      </w:pPr>
      <w:r>
        <w:rPr>
          <w:rFonts w:ascii="Times New Roman" w:hAnsi="Times New Roman"/>
        </w:rPr>
        <w:t xml:space="preserve">Therefore, the difference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is the sum of two components: 1) </w:t>
      </w:r>
      <w:r>
        <w:rPr>
          <w:rFonts w:ascii="Times New Roman" w:hAnsi="Times New Roman"/>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(Equation 3), component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difference due to difference in mortality rates at age x, and 2) </w:t>
      </w:r>
      <w:r>
        <w:rPr>
          <w:rFonts w:ascii="Times New Roman" w:hAnsi="Times New Roman"/>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(Equation 4), component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difference due to difference in morbidity-free prevalence at age x.</w:t>
      </w:r>
    </w:p>
    <w:p>
      <w:pPr>
        <w:pStyle w:val="TextBody"/>
        <w:spacing w:lineRule="auto" w:line="240"/>
        <w:jc w:val="center"/>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spacing w:lineRule="auto" w:line="240"/>
        <w:jc w:val="center"/>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spacing w:lineRule="auto" w:line="240"/>
        <w:rPr>
          <w:rFonts w:ascii="Times New Roman" w:hAnsi="Times New Roman"/>
        </w:rPr>
      </w:pPr>
      <w:r>
        <w:rPr>
          <w:rFonts w:ascii="Times New Roman" w:hAnsi="Times New Roman"/>
        </w:rPr>
      </w:r>
    </w:p>
    <w:p>
      <w:pPr>
        <w:pStyle w:val="Heading1"/>
        <w:spacing w:lineRule="auto" w:line="240"/>
        <w:rPr>
          <w:rFonts w:ascii="Times New Roman" w:hAnsi="Times New Roman"/>
        </w:rPr>
      </w:pPr>
      <w:bookmarkStart w:id="7" w:name="results"/>
      <w:r>
        <w:rPr>
          <w:rFonts w:ascii="Times New Roman" w:hAnsi="Times New Roman"/>
        </w:rPr>
        <w:t>3. Results</w:t>
      </w:r>
      <w:bookmarkEnd w:id="7"/>
    </w:p>
    <w:p>
      <w:pPr>
        <w:pStyle w:val="FirstParagraph"/>
        <w:spacing w:lineRule="auto" w:line="240"/>
        <w:rPr>
          <w:rFonts w:ascii="Times New Roman" w:hAnsi="Times New Roman"/>
        </w:rPr>
      </w:pPr>
      <w:r>
        <w:rPr>
          <w:rFonts w:ascii="Times New Roman" w:hAnsi="Times New Roman"/>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Higher levels of adult mortality by external causes of deaths in urban areas (violence and accidents) might explain the large differences observed (Malta et al. 2017).</w:t>
      </w:r>
    </w:p>
    <w:p>
      <w:pPr>
        <w:pStyle w:val="ImageCaption"/>
        <w:spacing w:lineRule="auto" w:line="240"/>
        <w:rPr>
          <w:rFonts w:ascii="Times New Roman" w:hAnsi="Times New Roman"/>
        </w:rPr>
      </w:pPr>
      <w:r>
        <w:rPr>
          <w:rFonts w:ascii="Times New Roman" w:hAnsi="Times New Roman"/>
          <w:b/>
          <w:bCs/>
        </w:rPr>
        <w:t xml:space="preserve">Figure 1: </w:t>
      </w:r>
      <w:r>
        <w:rPr>
          <w:rFonts w:ascii="Times New Roman" w:hAnsi="Times New Roman"/>
        </w:rPr>
        <w:t>Rural and urban age-specific mortality rates by sex - Brazil, 2010. Source: 2010 Brazilian National Census.</w:t>
      </w:r>
    </w:p>
    <w:p>
      <w:pPr>
        <w:pStyle w:val="CaptionedFigure"/>
        <w:spacing w:lineRule="auto" w:line="240"/>
        <w:rPr>
          <w:rFonts w:ascii="Times New Roman" w:hAnsi="Times New Roman"/>
        </w:rPr>
      </w:pPr>
      <w:r>
        <w:rPr>
          <w:rFonts w:ascii="Times New Roman" w:hAnsi="Times New Roman"/>
        </w:rPr>
        <w:drawing>
          <wp:inline distT="0" distB="0" distL="114935" distR="114935">
            <wp:extent cx="5486400" cy="2743200"/>
            <wp:effectExtent l="0" t="0" r="0" b="0"/>
            <wp:docPr id="1"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ImageCaption"/>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rPr>
        <w:t>T</w:t>
      </w:r>
      <w:r>
        <w:rPr>
          <w:rFonts w:ascii="Times New Roman" w:hAnsi="Times New Roman"/>
          <w:b/>
          <w:bCs/>
        </w:rPr>
        <w:t>able</w:t>
      </w:r>
      <w:r>
        <w:rPr>
          <w:rFonts w:ascii="Times New Roman" w:hAnsi="Times New Roman"/>
          <w:b/>
          <w:bCs/>
        </w:rPr>
        <w:t xml:space="preserve"> 1:</w:t>
      </w:r>
      <w:r>
        <w:rPr>
          <w:rFonts w:ascii="Times New Roman" w:hAnsi="Times New Roman"/>
        </w:rPr>
        <w:t xml:space="preserve"> Rural and urban life expectancy estimates by sex and age - Brazil, 2010. Source: 2010 Brazilian National Census.</w:t>
      </w:r>
    </w:p>
    <w:tbl>
      <w:tblPr>
        <w:tblW w:w="8617" w:type="dxa"/>
        <w:jc w:val="left"/>
        <w:tblInd w:w="0" w:type="dxa"/>
        <w:tblBorders>
          <w:top w:val="single" w:sz="4" w:space="0" w:color="000000"/>
        </w:tblBorders>
        <w:tblCellMar>
          <w:top w:w="55" w:type="dxa"/>
          <w:left w:w="55" w:type="dxa"/>
          <w:bottom w:w="55" w:type="dxa"/>
          <w:right w:w="55" w:type="dxa"/>
        </w:tblCellMar>
      </w:tblPr>
      <w:tblGrid>
        <w:gridCol w:w="693"/>
        <w:gridCol w:w="720"/>
        <w:gridCol w:w="720"/>
        <w:gridCol w:w="1502"/>
        <w:gridCol w:w="720"/>
        <w:gridCol w:w="720"/>
        <w:gridCol w:w="1502"/>
        <w:gridCol w:w="1020"/>
        <w:gridCol w:w="1020"/>
      </w:tblGrid>
      <w:tr>
        <w:trPr/>
        <w:tc>
          <w:tcPr>
            <w:tcW w:w="693"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rPr>
            </w:pPr>
            <w:r>
              <w:rPr>
                <w:rFonts w:cs="Times New Roman" w:ascii="Times New Roman" w:hAnsi="Times New Roman"/>
                <w:sz w:val="24"/>
                <w:szCs w:val="24"/>
              </w:rPr>
            </w:r>
          </w:p>
        </w:tc>
        <w:tc>
          <w:tcPr>
            <w:tcW w:w="2942"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Males</w:t>
            </w:r>
          </w:p>
        </w:tc>
        <w:tc>
          <w:tcPr>
            <w:tcW w:w="2942"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Females</w:t>
            </w:r>
          </w:p>
        </w:tc>
        <w:tc>
          <w:tcPr>
            <w:tcW w:w="2040" w:type="dxa"/>
            <w:gridSpan w:val="2"/>
            <w:tcBorders>
              <w:top w:val="single" w:sz="4"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 xml:space="preserve">Sex </w:t>
            </w:r>
            <w:r>
              <w:rPr>
                <w:rFonts w:cs="Times New Roman" w:ascii="Times New Roman" w:hAnsi="Times New Roman"/>
                <w:sz w:val="24"/>
                <w:szCs w:val="24"/>
              </w:rPr>
              <w:t>d</w:t>
            </w:r>
            <w:r>
              <w:rPr>
                <w:rFonts w:cs="Times New Roman" w:ascii="Times New Roman" w:hAnsi="Times New Roman"/>
                <w:sz w:val="24"/>
                <w:szCs w:val="24"/>
              </w:rPr>
              <w:t xml:space="preserve">ifferentials </w:t>
            </w:r>
          </w:p>
          <w:p>
            <w:pPr>
              <w:pStyle w:val="TableContents"/>
              <w:spacing w:before="0" w:after="200"/>
              <w:jc w:val="center"/>
              <w:rPr>
                <w:sz w:val="24"/>
                <w:szCs w:val="24"/>
              </w:rPr>
            </w:pPr>
            <w:r>
              <w:rPr>
                <w:rFonts w:cs="Times New Roman" w:ascii="Times New Roman" w:hAnsi="Times New Roman"/>
                <w:sz w:val="24"/>
                <w:szCs w:val="24"/>
              </w:rPr>
              <w:t>(Females-Males)</w:t>
            </w:r>
          </w:p>
        </w:tc>
      </w:tr>
      <w:tr>
        <w:trPr/>
        <w:tc>
          <w:tcPr>
            <w:tcW w:w="693"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Age</w:t>
            </w:r>
          </w:p>
        </w:tc>
        <w:tc>
          <w:tcPr>
            <w:tcW w:w="7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Rural</w:t>
            </w:r>
          </w:p>
        </w:tc>
        <w:tc>
          <w:tcPr>
            <w:tcW w:w="7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Urban</w:t>
            </w:r>
          </w:p>
        </w:tc>
        <w:tc>
          <w:tcPr>
            <w:tcW w:w="1502"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Diff</w:t>
            </w:r>
            <w:r>
              <w:rPr>
                <w:rFonts w:cs="Times New Roman" w:ascii="Times New Roman" w:hAnsi="Times New Roman"/>
                <w:sz w:val="24"/>
                <w:szCs w:val="24"/>
              </w:rPr>
              <w:t>erence</w:t>
            </w:r>
          </w:p>
          <w:p>
            <w:pPr>
              <w:pStyle w:val="TableContents"/>
              <w:spacing w:before="0" w:after="200"/>
              <w:jc w:val="center"/>
              <w:rPr>
                <w:sz w:val="24"/>
                <w:szCs w:val="24"/>
              </w:rPr>
            </w:pPr>
            <w:r>
              <w:rPr>
                <w:rFonts w:cs="Times New Roman" w:ascii="Times New Roman" w:hAnsi="Times New Roman"/>
                <w:sz w:val="24"/>
                <w:szCs w:val="24"/>
              </w:rPr>
              <w:t>(Rural-Urban)</w:t>
            </w:r>
          </w:p>
        </w:tc>
        <w:tc>
          <w:tcPr>
            <w:tcW w:w="7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Rural</w:t>
            </w:r>
          </w:p>
        </w:tc>
        <w:tc>
          <w:tcPr>
            <w:tcW w:w="7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Urban</w:t>
            </w:r>
          </w:p>
        </w:tc>
        <w:tc>
          <w:tcPr>
            <w:tcW w:w="1502"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Diff</w:t>
            </w:r>
            <w:r>
              <w:rPr>
                <w:rFonts w:cs="Times New Roman" w:ascii="Times New Roman" w:hAnsi="Times New Roman"/>
                <w:sz w:val="24"/>
                <w:szCs w:val="24"/>
              </w:rPr>
              <w:t>erence</w:t>
            </w:r>
          </w:p>
          <w:p>
            <w:pPr>
              <w:pStyle w:val="TableContents"/>
              <w:spacing w:before="0" w:after="200"/>
              <w:jc w:val="center"/>
              <w:rPr>
                <w:sz w:val="24"/>
                <w:szCs w:val="24"/>
              </w:rPr>
            </w:pPr>
            <w:r>
              <w:rPr>
                <w:rFonts w:cs="Times New Roman" w:ascii="Times New Roman" w:hAnsi="Times New Roman"/>
                <w:sz w:val="24"/>
                <w:szCs w:val="24"/>
              </w:rPr>
              <w:t>(Rural-Urban)</w:t>
            </w:r>
          </w:p>
        </w:tc>
        <w:tc>
          <w:tcPr>
            <w:tcW w:w="10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Rural</w:t>
            </w:r>
          </w:p>
        </w:tc>
        <w:tc>
          <w:tcPr>
            <w:tcW w:w="1020" w:type="dxa"/>
            <w:tcBorders>
              <w:top w:val="single" w:sz="4" w:space="0" w:color="000000"/>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Urban</w:t>
            </w:r>
          </w:p>
        </w:tc>
      </w:tr>
      <w:tr>
        <w:trPr/>
        <w:tc>
          <w:tcPr>
            <w:tcW w:w="693"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0</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74.5</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70.6</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3.9</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78.9</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78.6</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0.3</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4.4</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8.0</w:t>
            </w:r>
          </w:p>
        </w:tc>
      </w:tr>
      <w:tr>
        <w:trPr/>
        <w:tc>
          <w:tcPr>
            <w:tcW w:w="693"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20</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56.9</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52.6</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4.3</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60.8</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60.0</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0.8</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3.9</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7.4</w:t>
            </w:r>
          </w:p>
        </w:tc>
      </w:tr>
      <w:tr>
        <w:trPr/>
        <w:tc>
          <w:tcPr>
            <w:tcW w:w="693"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40</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39.8</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35.5</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4.3</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41.9</w:t>
            </w:r>
          </w:p>
        </w:tc>
        <w:tc>
          <w:tcPr>
            <w:tcW w:w="7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41.0</w:t>
            </w:r>
          </w:p>
        </w:tc>
        <w:tc>
          <w:tcPr>
            <w:tcW w:w="1502"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0.9</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2.1</w:t>
            </w:r>
          </w:p>
        </w:tc>
        <w:tc>
          <w:tcPr>
            <w:tcW w:w="1020" w:type="dxa"/>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5.5</w:t>
            </w:r>
          </w:p>
        </w:tc>
      </w:tr>
      <w:tr>
        <w:trPr/>
        <w:tc>
          <w:tcPr>
            <w:tcW w:w="693"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60</w:t>
            </w:r>
          </w:p>
        </w:tc>
        <w:tc>
          <w:tcPr>
            <w:tcW w:w="7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23.1</w:t>
            </w:r>
          </w:p>
        </w:tc>
        <w:tc>
          <w:tcPr>
            <w:tcW w:w="7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19.6</w:t>
            </w:r>
          </w:p>
        </w:tc>
        <w:tc>
          <w:tcPr>
            <w:tcW w:w="1502"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3.5</w:t>
            </w:r>
          </w:p>
        </w:tc>
        <w:tc>
          <w:tcPr>
            <w:tcW w:w="7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24.2</w:t>
            </w:r>
          </w:p>
        </w:tc>
        <w:tc>
          <w:tcPr>
            <w:tcW w:w="7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23.5</w:t>
            </w:r>
          </w:p>
        </w:tc>
        <w:tc>
          <w:tcPr>
            <w:tcW w:w="1502"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0.7</w:t>
            </w:r>
          </w:p>
        </w:tc>
        <w:tc>
          <w:tcPr>
            <w:tcW w:w="10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1.1</w:t>
            </w:r>
          </w:p>
        </w:tc>
        <w:tc>
          <w:tcPr>
            <w:tcW w:w="1020" w:type="dxa"/>
            <w:tcBorders>
              <w:bottom w:val="single" w:sz="4" w:space="0" w:color="000000"/>
              <w:insideH w:val="single" w:sz="4" w:space="0" w:color="000000"/>
            </w:tcBorders>
            <w:shd w:fill="auto" w:val="clear"/>
          </w:tcPr>
          <w:p>
            <w:pPr>
              <w:pStyle w:val="TableContents"/>
              <w:spacing w:before="0" w:after="200"/>
              <w:jc w:val="center"/>
              <w:rPr>
                <w:rFonts w:ascii="Times New Roman" w:hAnsi="Times New Roman" w:cs="Times New Roman"/>
                <w:sz w:val="24"/>
                <w:szCs w:val="24"/>
              </w:rPr>
            </w:pPr>
            <w:r>
              <w:rPr>
                <w:rFonts w:cs="Times New Roman" w:ascii="Times New Roman" w:hAnsi="Times New Roman"/>
                <w:sz w:val="24"/>
                <w:szCs w:val="24"/>
              </w:rPr>
              <w:t>3.9</w:t>
            </w:r>
          </w:p>
        </w:tc>
      </w:tr>
    </w:tbl>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t>Concerning estimates of disease and disability prevalence, Figure 2 presents results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t>
      </w:r>
      <w:r>
        <w:rPr>
          <w:rStyle w:val="FootnoteAnchor"/>
          <w:rFonts w:ascii="Times New Roman" w:hAnsi="Times New Roman"/>
        </w:rPr>
        <w:footnoteReference w:id="4"/>
      </w:r>
      <w:r>
        <w:rPr>
          <w:rFonts w:ascii="Times New Roman" w:hAnsi="Times New Roman"/>
        </w:rPr>
        <w:t>.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t>
      </w:r>
    </w:p>
    <w:p>
      <w:pPr>
        <w:pStyle w:val="TextBody"/>
        <w:spacing w:lineRule="auto" w:line="240"/>
        <w:rPr>
          <w:rFonts w:ascii="Times New Roman" w:hAnsi="Times New Roman"/>
        </w:rPr>
      </w:pPr>
      <w:r>
        <w:rPr>
          <w:rFonts w:ascii="Times New Roman" w:hAnsi="Times New Roman"/>
        </w:rPr>
      </w:r>
    </w:p>
    <w:p>
      <w:pPr>
        <w:pStyle w:val="ImageCaption"/>
        <w:spacing w:lineRule="auto" w:line="240"/>
        <w:rPr>
          <w:b/>
          <w:b/>
          <w:bCs/>
        </w:rPr>
      </w:pPr>
      <w:r>
        <w:rPr>
          <w:rFonts w:ascii="Times New Roman" w:hAnsi="Times New Roman"/>
        </w:rPr>
      </w:r>
    </w:p>
    <w:p>
      <w:pPr>
        <w:pStyle w:val="ImageCaption"/>
        <w:spacing w:lineRule="auto" w:line="240"/>
        <w:rPr>
          <w:b/>
          <w:b/>
          <w:bCs/>
        </w:rPr>
      </w:pPr>
      <w:r>
        <w:rPr>
          <w:rFonts w:ascii="Times New Roman" w:hAnsi="Times New Roman"/>
        </w:rPr>
      </w:r>
    </w:p>
    <w:p>
      <w:pPr>
        <w:pStyle w:val="ImageCaption"/>
        <w:spacing w:lineRule="auto" w:line="240"/>
        <w:rPr>
          <w:b/>
          <w:b/>
          <w:bCs/>
        </w:rPr>
      </w:pPr>
      <w:r>
        <w:rPr>
          <w:rFonts w:ascii="Times New Roman" w:hAnsi="Times New Roman"/>
        </w:rPr>
      </w:r>
    </w:p>
    <w:p>
      <w:pPr>
        <w:pStyle w:val="ImageCaption"/>
        <w:spacing w:lineRule="auto" w:line="240"/>
        <w:rPr>
          <w:b/>
          <w:b/>
          <w:bCs/>
        </w:rPr>
      </w:pPr>
      <w:r>
        <w:rPr>
          <w:rFonts w:ascii="Times New Roman" w:hAnsi="Times New Roman"/>
        </w:rPr>
      </w:r>
    </w:p>
    <w:p>
      <w:pPr>
        <w:pStyle w:val="ImageCaption"/>
        <w:spacing w:lineRule="auto" w:line="240"/>
        <w:rPr>
          <w:b/>
          <w:b/>
          <w:bCs/>
        </w:rPr>
      </w:pPr>
      <w:r>
        <w:rPr>
          <w:rFonts w:ascii="Times New Roman" w:hAnsi="Times New Roman"/>
        </w:rPr>
      </w:r>
    </w:p>
    <w:p>
      <w:pPr>
        <w:pStyle w:val="ImageCaption"/>
        <w:spacing w:lineRule="auto" w:line="240"/>
        <w:rPr>
          <w:rFonts w:ascii="Times New Roman" w:hAnsi="Times New Roman"/>
        </w:rPr>
      </w:pPr>
      <w:r>
        <w:rPr>
          <w:rFonts w:ascii="Times New Roman" w:hAnsi="Times New Roman"/>
          <w:b/>
          <w:bCs/>
        </w:rPr>
        <w:t xml:space="preserve">Figure 2: </w:t>
      </w:r>
      <w:r>
        <w:rPr>
          <w:rFonts w:ascii="Times New Roman" w:hAnsi="Times New Roman"/>
        </w:rPr>
        <w:t>Rural and urban disease and disability prevalence by sex and age - Brazil, 2010-2013. Source: 2010 Brazilian National Census 2010 and 2013 National Health Survey.</w:t>
      </w:r>
    </w:p>
    <w:p>
      <w:pPr>
        <w:pStyle w:val="CaptionedFigure"/>
        <w:spacing w:lineRule="auto" w:line="240"/>
        <w:rPr>
          <w:rFonts w:ascii="Times New Roman" w:hAnsi="Times New Roman"/>
        </w:rPr>
      </w:pPr>
      <w:r>
        <w:rPr>
          <w:rFonts w:ascii="Times New Roman" w:hAnsi="Times New Roman"/>
        </w:rPr>
        <w:drawing>
          <wp:inline distT="0" distB="0" distL="114935" distR="114935">
            <wp:extent cx="5486400" cy="2743200"/>
            <wp:effectExtent l="0" t="0" r="0" b="0"/>
            <wp:docPr id="2"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ImageCaption"/>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t>Table 2 presents the results of morbidity-free life expectancy or health expectancy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elderly. These absolute values present worse scenarios in urban areas for life expectancy without cardiovascular diseases and diabetes estimates. These two groups of diseases exhibited a higher prevalence for the urban population for the adult and the older age groups. Female absolute values estimates reported negligible differences between urban and rural areas, even though a slight rural advantage was observed for diabetes-free life expectancy at ages 40 and 60.</w:t>
      </w:r>
    </w:p>
    <w:p>
      <w:pPr>
        <w:pStyle w:val="TextBody"/>
        <w:spacing w:lineRule="auto" w:line="240"/>
        <w:rPr>
          <w:b/>
          <w:b/>
          <w:bCs/>
        </w:rPr>
      </w:pPr>
      <w:r>
        <w:rPr>
          <w:rFonts w:ascii="Times New Roman" w:hAnsi="Times New Roman"/>
        </w:rPr>
      </w:r>
    </w:p>
    <w:p>
      <w:pPr>
        <w:pStyle w:val="TextBody"/>
        <w:spacing w:lineRule="auto" w:line="240"/>
        <w:rPr>
          <w:b/>
          <w:b/>
          <w:bCs/>
        </w:rPr>
      </w:pPr>
      <w:r>
        <w:rPr>
          <w:rFonts w:ascii="Times New Roman" w:hAnsi="Times New Roman"/>
        </w:rPr>
      </w:r>
    </w:p>
    <w:p>
      <w:pPr>
        <w:pStyle w:val="TextBody"/>
        <w:spacing w:lineRule="auto" w:line="240"/>
        <w:rPr>
          <w:b/>
          <w:b/>
          <w:bCs/>
        </w:rPr>
      </w:pPr>
      <w:r>
        <w:rPr>
          <w:rFonts w:ascii="Times New Roman" w:hAnsi="Times New Roman"/>
        </w:rPr>
      </w:r>
    </w:p>
    <w:p>
      <w:pPr>
        <w:pStyle w:val="TextBody"/>
        <w:spacing w:lineRule="auto" w:line="240"/>
        <w:rPr>
          <w:b/>
          <w:b/>
          <w:bCs/>
        </w:rPr>
      </w:pPr>
      <w:r>
        <w:rPr>
          <w:rFonts w:ascii="Times New Roman" w:hAnsi="Times New Roman"/>
        </w:rPr>
      </w:r>
    </w:p>
    <w:p>
      <w:pPr>
        <w:pStyle w:val="TextBody"/>
        <w:spacing w:lineRule="auto" w:line="240"/>
        <w:rPr>
          <w:b/>
          <w:b/>
          <w:bCs/>
        </w:rPr>
      </w:pPr>
      <w:r>
        <w:rPr>
          <w:rFonts w:ascii="Times New Roman" w:hAnsi="Times New Roman"/>
        </w:rPr>
      </w:r>
    </w:p>
    <w:p>
      <w:pPr>
        <w:pStyle w:val="TextBody"/>
        <w:spacing w:lineRule="auto" w:line="240"/>
        <w:rPr>
          <w:b/>
          <w:b/>
          <w:bCs/>
        </w:rPr>
      </w:pPr>
      <w:r>
        <w:rPr>
          <w:rFonts w:ascii="Times New Roman" w:hAnsi="Times New Roman"/>
        </w:rPr>
      </w:r>
    </w:p>
    <w:p>
      <w:pPr>
        <w:pStyle w:val="TextBody"/>
        <w:spacing w:lineRule="auto" w:line="240"/>
        <w:rPr>
          <w:rFonts w:ascii="Times New Roman" w:hAnsi="Times New Roman"/>
        </w:rPr>
      </w:pPr>
      <w:r>
        <w:rPr>
          <w:rFonts w:ascii="Times New Roman" w:hAnsi="Times New Roman"/>
          <w:b/>
          <w:bCs/>
        </w:rPr>
        <w:t>T</w:t>
      </w:r>
      <w:r>
        <w:rPr>
          <w:rFonts w:ascii="Times New Roman" w:hAnsi="Times New Roman"/>
          <w:b/>
          <w:bCs/>
        </w:rPr>
        <w:t>able</w:t>
      </w:r>
      <w:r>
        <w:rPr>
          <w:rFonts w:ascii="Times New Roman" w:hAnsi="Times New Roman"/>
          <w:b/>
          <w:bCs/>
        </w:rPr>
        <w:t xml:space="preserve"> 2:</w:t>
      </w:r>
      <w:r>
        <w:rPr>
          <w:rFonts w:ascii="Times New Roman" w:hAnsi="Times New Roman"/>
        </w:rPr>
        <w:t xml:space="preserve"> Rural and urban health expectancy estimates (h</w:t>
      </w:r>
      <w:r>
        <w:rPr>
          <w:rFonts w:ascii="Times New Roman" w:hAnsi="Times New Roman"/>
          <w:vertAlign w:val="subscript"/>
        </w:rPr>
        <w:t>x</w:t>
      </w:r>
      <w:r>
        <w:rPr>
          <w:rFonts w:ascii="Times New Roman" w:hAnsi="Times New Roman"/>
        </w:rPr>
        <w:t xml:space="preserve">) and health expectancy to life </w:t>
      </w:r>
      <w:r>
        <w:rPr>
          <w:rFonts w:ascii="Times New Roman" w:hAnsi="Times New Roman"/>
        </w:rPr>
        <w:t>expectancy</w:t>
      </w:r>
      <w:r>
        <w:rPr>
          <w:rFonts w:ascii="Times New Roman" w:hAnsi="Times New Roman"/>
        </w:rPr>
        <w:t xml:space="preserve"> ratios (h</w:t>
      </w:r>
      <w:r>
        <w:rPr>
          <w:rFonts w:ascii="Times New Roman" w:hAnsi="Times New Roman"/>
          <w:vertAlign w:val="subscript"/>
        </w:rPr>
        <w:t>x</w:t>
      </w:r>
      <w:r>
        <w:rPr>
          <w:rFonts w:ascii="Times New Roman" w:hAnsi="Times New Roman"/>
        </w:rPr>
        <w:t xml:space="preserve"> / e</w:t>
      </w:r>
      <w:r>
        <w:rPr>
          <w:rFonts w:ascii="Times New Roman" w:hAnsi="Times New Roman"/>
          <w:vertAlign w:val="subscript"/>
        </w:rPr>
        <w:t>x</w:t>
      </w:r>
      <w:r>
        <w:rPr>
          <w:rFonts w:ascii="Times New Roman" w:hAnsi="Times New Roman"/>
        </w:rPr>
        <w:t xml:space="preserve">) by sex and age - Brazil, 2010-2013. Source: Brazilian National Census 2010 and National Health Survey 2013. </w:t>
      </w:r>
    </w:p>
    <w:tbl>
      <w:tblPr>
        <w:tblW w:w="8385" w:type="dxa"/>
        <w:jc w:val="left"/>
        <w:tblInd w:w="0" w:type="dxa"/>
        <w:tblBorders>
          <w:top w:val="single" w:sz="4" w:space="0" w:color="000000"/>
        </w:tblBorders>
        <w:tblCellMar>
          <w:top w:w="55" w:type="dxa"/>
          <w:left w:w="55" w:type="dxa"/>
          <w:bottom w:w="55" w:type="dxa"/>
          <w:right w:w="55" w:type="dxa"/>
        </w:tblCellMar>
      </w:tblPr>
      <w:tblGrid>
        <w:gridCol w:w="2259"/>
        <w:gridCol w:w="1531"/>
        <w:gridCol w:w="1532"/>
        <w:gridCol w:w="1531"/>
        <w:gridCol w:w="1532"/>
      </w:tblGrid>
      <w:tr>
        <w:trPr/>
        <w:tc>
          <w:tcPr>
            <w:tcW w:w="2259"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rPr>
            </w:pPr>
            <w:r>
              <w:rPr>
                <w:rFonts w:cs="Times New Roman" w:ascii="Times New Roman" w:hAnsi="Times New Roman"/>
                <w:sz w:val="24"/>
                <w:szCs w:val="24"/>
              </w:rPr>
            </w:r>
          </w:p>
        </w:tc>
        <w:tc>
          <w:tcPr>
            <w:tcW w:w="3063"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rPr>
            </w:pPr>
            <w:r>
              <w:rPr>
                <w:rFonts w:cs="Times New Roman" w:ascii="Times New Roman" w:hAnsi="Times New Roman"/>
                <w:b/>
                <w:bCs/>
                <w:sz w:val="24"/>
                <w:szCs w:val="24"/>
              </w:rPr>
              <w:t>Males</w:t>
            </w:r>
          </w:p>
        </w:tc>
        <w:tc>
          <w:tcPr>
            <w:tcW w:w="3063"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rPr>
            </w:pPr>
            <w:r>
              <w:rPr>
                <w:rFonts w:cs="Times New Roman" w:ascii="Times New Roman" w:hAnsi="Times New Roman"/>
                <w:b/>
                <w:bCs/>
                <w:sz w:val="24"/>
                <w:szCs w:val="24"/>
              </w:rPr>
              <w:t>Females</w:t>
            </w:r>
          </w:p>
        </w:tc>
      </w:tr>
      <w:tr>
        <w:trPr>
          <w:trHeight w:val="537" w:hRule="atLeast"/>
        </w:trPr>
        <w:tc>
          <w:tcPr>
            <w:tcW w:w="2259" w:type="dxa"/>
            <w:tcBorders>
              <w:top w:val="single" w:sz="4" w:space="0" w:color="000000"/>
              <w:bottom w:val="single" w:sz="4" w:space="0" w:color="000000"/>
              <w:insideH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rPr>
            </w:pPr>
            <w:r>
              <w:rPr>
                <w:rFonts w:cs="Times New Roman" w:ascii="Times New Roman" w:hAnsi="Times New Roman"/>
                <w:sz w:val="24"/>
                <w:szCs w:val="24"/>
              </w:rPr>
            </w:r>
          </w:p>
        </w:tc>
        <w:tc>
          <w:tcPr>
            <w:tcW w:w="1531" w:type="dxa"/>
            <w:tcBorders>
              <w:top w:val="single" w:sz="4" w:space="0" w:color="000000"/>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Rural</w:t>
            </w:r>
          </w:p>
        </w:tc>
        <w:tc>
          <w:tcPr>
            <w:tcW w:w="1532" w:type="dxa"/>
            <w:tcBorders>
              <w:top w:val="single" w:sz="4" w:space="0" w:color="000000"/>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Urban</w:t>
            </w:r>
          </w:p>
        </w:tc>
        <w:tc>
          <w:tcPr>
            <w:tcW w:w="1531" w:type="dxa"/>
            <w:tcBorders>
              <w:top w:val="single" w:sz="4" w:space="0" w:color="000000"/>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Rural</w:t>
            </w:r>
          </w:p>
        </w:tc>
        <w:tc>
          <w:tcPr>
            <w:tcW w:w="1532" w:type="dxa"/>
            <w:tcBorders>
              <w:top w:val="single" w:sz="4" w:space="0" w:color="000000"/>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Urban</w:t>
            </w:r>
          </w:p>
        </w:tc>
      </w:tr>
      <w:tr>
        <w:trPr/>
        <w:tc>
          <w:tcPr>
            <w:tcW w:w="2259"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rPr>
            </w:pPr>
            <w:r>
              <w:rPr>
                <w:rFonts w:cs="Times New Roman" w:ascii="Times New Roman" w:hAnsi="Times New Roman"/>
                <w:b/>
                <w:bCs/>
                <w:sz w:val="24"/>
                <w:szCs w:val="24"/>
              </w:rPr>
              <w:t xml:space="preserve">Cardiovascular </w:t>
            </w:r>
            <w:r>
              <w:rPr>
                <w:rFonts w:cs="Times New Roman" w:ascii="Times New Roman" w:hAnsi="Times New Roman"/>
                <w:b/>
                <w:bCs/>
                <w:sz w:val="24"/>
                <w:szCs w:val="24"/>
              </w:rPr>
              <w:t>di</w:t>
            </w:r>
            <w:r>
              <w:rPr>
                <w:rFonts w:cs="Times New Roman" w:ascii="Times New Roman" w:hAnsi="Times New Roman"/>
                <w:b/>
                <w:bCs/>
                <w:sz w:val="24"/>
                <w:szCs w:val="24"/>
              </w:rPr>
              <w:t>seases</w:t>
            </w:r>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259" w:type="dxa"/>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Age</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20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43.5 (0.74)</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35.7 (0.67)</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37.8 (0.60)</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35.6 (0.58)</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40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27.5 (0.65)</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19.6 (0.54)</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21.0 (0.48)</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18.6 (0.43)</w:t>
            </w:r>
          </w:p>
        </w:tc>
      </w:tr>
      <w:tr>
        <w:trPr/>
        <w:tc>
          <w:tcPr>
            <w:tcW w:w="2259" w:type="dxa"/>
            <w:tcBorders>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60</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14.6 (0.57)</w:t>
            </w:r>
          </w:p>
        </w:tc>
        <w:tc>
          <w:tcPr>
            <w:tcW w:w="1532" w:type="dxa"/>
            <w:tcBorders>
              <w:bottom w:val="single" w:sz="4" w:space="0" w:color="000000"/>
              <w:insideH w:val="single" w:sz="4" w:space="0" w:color="000000"/>
            </w:tcBorders>
            <w:shd w:fill="auto" w:val="clear"/>
          </w:tcPr>
          <w:p>
            <w:pPr>
              <w:pStyle w:val="Normal"/>
              <w:bidi w:val="0"/>
              <w:spacing w:before="0" w:after="200"/>
              <w:jc w:val="right"/>
              <w:rPr>
                <w:sz w:val="24"/>
                <w:szCs w:val="24"/>
              </w:rPr>
            </w:pPr>
            <w:r>
              <w:rPr>
                <w:rFonts w:eastAsia="Times New Roman" w:cs="Times New Roman" w:ascii="Times New Roman" w:hAnsi="Times New Roman"/>
                <w:b w:val="false"/>
                <w:i w:val="false"/>
                <w:strike w:val="false"/>
                <w:dstrike w:val="false"/>
                <w:outline w:val="false"/>
                <w:shadow w:val="false"/>
                <w:sz w:val="24"/>
                <w:szCs w:val="24"/>
                <w:u w:val="none"/>
                <w:em w:val="none"/>
              </w:rPr>
              <w:t xml:space="preserve"> </w:t>
            </w:r>
            <w:r>
              <w:rPr>
                <w:rFonts w:cs="Times New Roman" w:ascii="Times New Roman" w:hAnsi="Times New Roman"/>
                <w:b w:val="false"/>
                <w:i w:val="false"/>
                <w:strike w:val="false"/>
                <w:dstrike w:val="false"/>
                <w:outline w:val="false"/>
                <w:shadow w:val="false"/>
                <w:sz w:val="24"/>
                <w:szCs w:val="24"/>
                <w:u w:val="none"/>
                <w:em w:val="none"/>
              </w:rPr>
              <w:t>8.5 (0.41)</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10.9 (0.41)</w:t>
            </w:r>
          </w:p>
        </w:tc>
        <w:tc>
          <w:tcPr>
            <w:tcW w:w="1532" w:type="dxa"/>
            <w:tcBorders>
              <w:bottom w:val="single" w:sz="4" w:space="0" w:color="000000"/>
              <w:insideH w:val="single" w:sz="4" w:space="0" w:color="000000"/>
            </w:tcBorders>
            <w:shd w:fill="auto" w:val="clear"/>
          </w:tcPr>
          <w:p>
            <w:pPr>
              <w:pStyle w:val="Normal"/>
              <w:bidi w:val="0"/>
              <w:spacing w:before="0" w:after="200"/>
              <w:jc w:val="right"/>
              <w:rPr>
                <w:sz w:val="24"/>
                <w:szCs w:val="24"/>
              </w:rPr>
            </w:pPr>
            <w:r>
              <w:rPr>
                <w:rFonts w:eastAsia="Times New Roman" w:cs="Times New Roman" w:ascii="Times New Roman" w:hAnsi="Times New Roman"/>
                <w:b w:val="false"/>
                <w:i w:val="false"/>
                <w:strike w:val="false"/>
                <w:dstrike w:val="false"/>
                <w:outline w:val="false"/>
                <w:shadow w:val="false"/>
                <w:sz w:val="24"/>
                <w:szCs w:val="24"/>
                <w:u w:val="none"/>
                <w:em w:val="none"/>
              </w:rPr>
              <w:t xml:space="preserve"> </w:t>
            </w:r>
            <w:r>
              <w:rPr>
                <w:rFonts w:cs="Times New Roman" w:ascii="Times New Roman" w:hAnsi="Times New Roman"/>
                <w:b w:val="false"/>
                <w:i w:val="false"/>
                <w:strike w:val="false"/>
                <w:dstrike w:val="false"/>
                <w:outline w:val="false"/>
                <w:shadow w:val="false"/>
                <w:sz w:val="24"/>
                <w:szCs w:val="24"/>
                <w:u w:val="none"/>
                <w:em w:val="none"/>
              </w:rPr>
              <w:t>8.2 (0.32)</w:t>
            </w:r>
          </w:p>
        </w:tc>
      </w:tr>
      <w:tr>
        <w:trPr/>
        <w:tc>
          <w:tcPr>
            <w:tcW w:w="2259" w:type="dxa"/>
            <w:tcBorders/>
            <w:shd w:fill="auto" w:val="clear"/>
          </w:tcPr>
          <w:p>
            <w:pPr>
              <w:pStyle w:val="TableContents"/>
              <w:spacing w:before="0" w:after="200"/>
              <w:jc w:val="left"/>
              <w:rPr>
                <w:rFonts w:ascii="Times New Roman" w:hAnsi="Times New Roman" w:cs="Times New Roman"/>
                <w:b/>
                <w:b/>
                <w:bCs/>
                <w:sz w:val="24"/>
                <w:szCs w:val="24"/>
              </w:rPr>
            </w:pPr>
            <w:r>
              <w:rPr>
                <w:rFonts w:cs="Times New Roman" w:ascii="Times New Roman" w:hAnsi="Times New Roman"/>
                <w:b/>
                <w:bCs/>
                <w:sz w:val="24"/>
                <w:szCs w:val="24"/>
              </w:rPr>
              <w:t>Diabetes</w:t>
            </w:r>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259" w:type="dxa"/>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Age</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20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56.4 (0.96)</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48.9 (0.92)</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57.8 (0.92)</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55.1 (0.89)</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40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39.5 (0.94)</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31.8 (0.88)</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39.2 (0.89)</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36.3 (0.85)</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60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23.5 (0.92)</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16.8 (0.82)</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22.9 (0.87)</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20.1 (0.79)</w:t>
            </w:r>
          </w:p>
        </w:tc>
      </w:tr>
      <w:tr>
        <w:trPr/>
        <w:tc>
          <w:tcPr>
            <w:tcW w:w="2259"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rPr>
            </w:pPr>
            <w:r>
              <w:rPr>
                <w:rFonts w:cs="Times New Roman" w:ascii="Times New Roman" w:hAnsi="Times New Roman"/>
                <w:b/>
                <w:bCs/>
                <w:sz w:val="24"/>
                <w:szCs w:val="24"/>
              </w:rPr>
              <w:t>Osteo</w:t>
            </w:r>
            <w:r>
              <w:rPr>
                <w:rFonts w:cs="Times New Roman" w:ascii="Times New Roman" w:hAnsi="Times New Roman"/>
                <w:b/>
                <w:bCs/>
                <w:sz w:val="24"/>
                <w:szCs w:val="24"/>
              </w:rPr>
              <w:t>articular diseases</w:t>
            </w:r>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259" w:type="dxa"/>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Age</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20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43.9 (0.74)</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42.3 (0.79)</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42.8 (0.68)</w:t>
            </w:r>
          </w:p>
        </w:tc>
        <w:tc>
          <w:tcPr>
            <w:tcW w:w="1532" w:type="dxa"/>
            <w:tcBorders/>
            <w:shd w:fill="auto" w:val="clear"/>
          </w:tcPr>
          <w:p>
            <w:pPr>
              <w:pStyle w:val="Normal"/>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42.6 (0.69)</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40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29.0 (0.69)</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26.8 (0.74)</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26.6 (0.60)</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26.8 (0.63)</w:t>
            </w:r>
          </w:p>
        </w:tc>
      </w:tr>
      <w:tr>
        <w:trPr/>
        <w:tc>
          <w:tcPr>
            <w:tcW w:w="2259" w:type="dxa"/>
            <w:tcBorders>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60</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17.6 (0.69)</w:t>
            </w:r>
          </w:p>
        </w:tc>
        <w:tc>
          <w:tcPr>
            <w:tcW w:w="1532"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14.2 (0.69)</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15.2 (0.58)</w:t>
            </w:r>
          </w:p>
        </w:tc>
        <w:tc>
          <w:tcPr>
            <w:tcW w:w="1532"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15.0 (0.59)</w:t>
            </w:r>
          </w:p>
        </w:tc>
      </w:tr>
      <w:tr>
        <w:trPr/>
        <w:tc>
          <w:tcPr>
            <w:tcW w:w="2259" w:type="dxa"/>
            <w:tcBorders/>
            <w:shd w:fill="auto" w:val="clear"/>
          </w:tcPr>
          <w:p>
            <w:pPr>
              <w:pStyle w:val="TableContents"/>
              <w:spacing w:before="0" w:after="200"/>
              <w:jc w:val="left"/>
              <w:rPr>
                <w:rFonts w:ascii="Times New Roman" w:hAnsi="Times New Roman" w:cs="Times New Roman"/>
                <w:b/>
                <w:b/>
                <w:bCs/>
                <w:sz w:val="24"/>
                <w:szCs w:val="24"/>
              </w:rPr>
            </w:pPr>
            <w:r>
              <w:rPr>
                <w:rFonts w:cs="Times New Roman" w:ascii="Times New Roman" w:hAnsi="Times New Roman"/>
                <w:b/>
                <w:bCs/>
                <w:sz w:val="24"/>
                <w:szCs w:val="24"/>
              </w:rPr>
              <w:t xml:space="preserve">Census </w:t>
            </w:r>
            <w:r>
              <w:rPr>
                <w:rFonts w:cs="Times New Roman" w:ascii="Times New Roman" w:hAnsi="Times New Roman"/>
                <w:b/>
                <w:bCs/>
                <w:sz w:val="24"/>
                <w:szCs w:val="24"/>
              </w:rPr>
              <w:t>d</w:t>
            </w:r>
            <w:r>
              <w:rPr>
                <w:rFonts w:cs="Times New Roman" w:ascii="Times New Roman" w:hAnsi="Times New Roman"/>
                <w:b/>
                <w:bCs/>
                <w:sz w:val="24"/>
                <w:szCs w:val="24"/>
              </w:rPr>
              <w:t>isabilities</w:t>
            </w:r>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259" w:type="dxa"/>
            <w:tcBorders/>
            <w:shd w:fill="auto" w:val="clear"/>
          </w:tcPr>
          <w:p>
            <w:pPr>
              <w:pStyle w:val="TableContents"/>
              <w:spacing w:before="0" w:after="200"/>
              <w:jc w:val="right"/>
              <w:rPr>
                <w:rFonts w:ascii="Times New Roman" w:hAnsi="Times New Roman" w:cs="Times New Roman"/>
                <w:b/>
                <w:b/>
                <w:bCs/>
                <w:sz w:val="24"/>
                <w:szCs w:val="24"/>
              </w:rPr>
            </w:pPr>
            <w:r>
              <w:rPr>
                <w:rFonts w:cs="Times New Roman" w:ascii="Times New Roman" w:hAnsi="Times New Roman"/>
                <w:b/>
                <w:bCs/>
                <w:sz w:val="24"/>
                <w:szCs w:val="24"/>
              </w:rPr>
              <w:t>Age</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1"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c>
          <w:tcPr>
            <w:tcW w:w="1532" w:type="dxa"/>
            <w:tcBorders/>
            <w:shd w:fill="auto" w:val="clear"/>
          </w:tcPr>
          <w:p>
            <w:pPr>
              <w:pStyle w:val="TableContents"/>
              <w:spacing w:before="0" w:after="200"/>
              <w:jc w:val="right"/>
              <w:rPr>
                <w:b/>
                <w:b/>
                <w:bCs/>
                <w:sz w:val="24"/>
                <w:szCs w:val="24"/>
              </w:rPr>
            </w:pP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 xml:space="preserve">x </w:t>
            </w:r>
            <w:r>
              <w:rPr>
                <w:rFonts w:cs="Times New Roman" w:ascii="Times New Roman" w:hAnsi="Times New Roman"/>
                <w:b/>
                <w:bCs/>
                <w:position w:val="0"/>
                <w:sz w:val="24"/>
                <w:sz w:val="24"/>
                <w:szCs w:val="24"/>
                <w:vertAlign w:val="baseline"/>
              </w:rPr>
              <w:t>(h</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 xml:space="preserve"> / e</w:t>
            </w:r>
            <w:r>
              <w:rPr>
                <w:rFonts w:cs="Times New Roman" w:ascii="Times New Roman" w:hAnsi="Times New Roman"/>
                <w:b/>
                <w:bCs/>
                <w:sz w:val="24"/>
                <w:szCs w:val="24"/>
                <w:vertAlign w:val="subscript"/>
              </w:rPr>
              <w:t>x</w:t>
            </w:r>
            <w:r>
              <w:rPr>
                <w:rFonts w:cs="Times New Roman" w:ascii="Times New Roman" w:hAnsi="Times New Roman"/>
                <w:b/>
                <w:bCs/>
                <w:position w:val="0"/>
                <w:sz w:val="24"/>
                <w:sz w:val="24"/>
                <w:szCs w:val="24"/>
                <w:vertAlign w:val="baseline"/>
              </w:rPr>
              <w:t>)</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20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51.1 (0.87)</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47.7 (0.89)</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52.8 (0.84)</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52.8 (0.85)</w:t>
            </w:r>
          </w:p>
        </w:tc>
      </w:tr>
      <w:tr>
        <w:trPr/>
        <w:tc>
          <w:tcPr>
            <w:tcW w:w="2259" w:type="dxa"/>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40</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34.2 (0.81)</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30.8 (0.85)</w:t>
            </w:r>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34.4 (0.78)</w:t>
            </w:r>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34.2 (0.80)</w:t>
            </w:r>
          </w:p>
        </w:tc>
      </w:tr>
      <w:tr>
        <w:trPr/>
        <w:tc>
          <w:tcPr>
            <w:tcW w:w="2259" w:type="dxa"/>
            <w:tcBorders>
              <w:bottom w:val="single" w:sz="4" w:space="0" w:color="000000"/>
              <w:insideH w:val="single" w:sz="4" w:space="0" w:color="000000"/>
            </w:tcBorders>
            <w:shd w:fill="auto" w:val="clear"/>
          </w:tcPr>
          <w:p>
            <w:pPr>
              <w:pStyle w:val="TableContents"/>
              <w:spacing w:before="0" w:after="200"/>
              <w:jc w:val="right"/>
              <w:rPr>
                <w:rFonts w:ascii="Times New Roman" w:hAnsi="Times New Roman" w:cs="Times New Roman"/>
                <w:sz w:val="24"/>
                <w:szCs w:val="24"/>
              </w:rPr>
            </w:pPr>
            <w:r>
              <w:rPr>
                <w:rFonts w:cs="Times New Roman" w:ascii="Times New Roman" w:hAnsi="Times New Roman"/>
                <w:sz w:val="24"/>
                <w:szCs w:val="24"/>
              </w:rPr>
              <w:t>60</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18.8 (0.73)</w:t>
            </w:r>
          </w:p>
        </w:tc>
        <w:tc>
          <w:tcPr>
            <w:tcW w:w="1532"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15.7 (0.77)</w:t>
            </w:r>
          </w:p>
        </w:tc>
        <w:tc>
          <w:tcPr>
            <w:tcW w:w="1531"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18.5 (0.70)</w:t>
            </w:r>
          </w:p>
        </w:tc>
        <w:tc>
          <w:tcPr>
            <w:tcW w:w="1532" w:type="dxa"/>
            <w:tcBorders>
              <w:bottom w:val="single" w:sz="4" w:space="0" w:color="000000"/>
              <w:insideH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rPr>
            </w:pPr>
            <w:r>
              <w:rPr>
                <w:rFonts w:cs="Times New Roman" w:ascii="Times New Roman" w:hAnsi="Times New Roman"/>
                <w:b w:val="false"/>
                <w:i w:val="false"/>
                <w:strike w:val="false"/>
                <w:dstrike w:val="false"/>
                <w:outline w:val="false"/>
                <w:shadow w:val="false"/>
                <w:sz w:val="24"/>
                <w:szCs w:val="24"/>
                <w:u w:val="none"/>
                <w:em w:val="none"/>
              </w:rPr>
              <w:t>18.2 (0.71)</w:t>
            </w:r>
          </w:p>
        </w:tc>
      </w:tr>
    </w:tbl>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t>Figure 3 presents the results of the decomposition of differences in health expectancy from rural and urban settings by related morbidity. For males, positive values of mortality contribution to rural-urban health expectancy differentials show that the overall mortality curve differences among rural and urban populations favor the first ones. However, as expected by morbidity prevalence curves, osteopaths and physical disabilities have negative impacts on the health expectancy differences between rural and urban populations. These differences are, however, lower than the differences in the overall mortality shape.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0.5 difference for osteoarticular diseases and 2.4 for physical disabilities. Of osteoarticular illnesses, the disease prevalence profiles difference accounted for -2.4 of the estimated difference, and the mortality shape differences accounted for 2.9 of the differences. Therefore, musculoskeletal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osteoarticular diseases, but also in the opposite direction of the mortality profiles difference contribution.</w:t>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rPr>
        <w:t xml:space="preserve">Figure 3: </w:t>
      </w:r>
      <w:r>
        <w:rPr>
          <w:rFonts w:ascii="Times New Roman" w:hAnsi="Times New Roman"/>
        </w:rPr>
        <w:t>Decomposition of rural-urban health expectancy differentials by sex and age - Brazil, 2010-2013. Source: 2010 Brazilian National Census and 2013 National Health Survey.</w:t>
      </w:r>
      <w:r>
        <w:rPr>
          <w:rFonts w:ascii="Times New Roman" w:hAnsi="Times New Roman"/>
        </w:rPr>
        <w:drawing>
          <wp:inline distT="0" distB="0" distL="114935" distR="114935">
            <wp:extent cx="5486400" cy="3429000"/>
            <wp:effectExtent l="0" t="0" r="0" b="0"/>
            <wp:docPr id="3"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4"/>
                    <a:stretch>
                      <a:fillRect/>
                    </a:stretch>
                  </pic:blipFill>
                  <pic:spPr bwMode="auto">
                    <a:xfrm>
                      <a:off x="0" y="0"/>
                      <a:ext cx="5486400" cy="3429000"/>
                    </a:xfrm>
                    <a:prstGeom prst="rect">
                      <a:avLst/>
                    </a:prstGeom>
                  </pic:spPr>
                </pic:pic>
              </a:graphicData>
            </a:graphic>
          </wp:inline>
        </w:drawing>
      </w:r>
    </w:p>
    <w:p>
      <w:pPr>
        <w:pStyle w:val="Heading1"/>
        <w:spacing w:lineRule="auto" w:line="240"/>
        <w:rPr>
          <w:rFonts w:ascii="Times New Roman" w:hAnsi="Times New Roman"/>
        </w:rPr>
      </w:pPr>
      <w:bookmarkStart w:id="8" w:name="discussion"/>
      <w:r>
        <w:rPr>
          <w:rFonts w:ascii="Times New Roman" w:hAnsi="Times New Roman"/>
        </w:rPr>
        <w:t>4. Discussion</w:t>
      </w:r>
      <w:bookmarkEnd w:id="8"/>
    </w:p>
    <w:p>
      <w:pPr>
        <w:pStyle w:val="FirstParagraph"/>
        <w:spacing w:lineRule="auto" w:line="240"/>
        <w:rPr>
          <w:rFonts w:ascii="Times New Roman" w:hAnsi="Times New Roman"/>
        </w:rPr>
      </w:pPr>
      <w:r>
        <w:rPr>
          <w:rFonts w:ascii="Times New Roman" w:hAnsi="Times New Roman"/>
        </w:rPr>
        <w:t xml:space="preserve">Over the last 30 years, Brazil has experienced substantial changes in its public health policy represented by the implementation and consolidation of the country’s unified health system (SUS, from Portuguese </w:t>
      </w:r>
      <w:r>
        <w:rPr>
          <w:rFonts w:ascii="Times New Roman" w:hAnsi="Times New Roman"/>
          <w:i/>
        </w:rPr>
        <w:t>Sistema Único de Saúde</w:t>
      </w:r>
      <w:r>
        <w:rPr>
          <w:rFonts w:ascii="Times New Roman" w:hAnsi="Times New Roman"/>
        </w:rPr>
        <w:t>) (Castro et al. 2019). SUS guaranteed a massive expansion of health care assistance for the most vulnerable social groups through a universal and free of charge health services.</w:t>
      </w:r>
    </w:p>
    <w:p>
      <w:pPr>
        <w:pStyle w:val="TextBody"/>
        <w:spacing w:lineRule="auto" w:line="240"/>
        <w:rPr>
          <w:rFonts w:ascii="Times New Roman" w:hAnsi="Times New Roman"/>
        </w:rPr>
      </w:pPr>
      <w:r>
        <w:rPr>
          <w:rFonts w:ascii="Times New Roman" w:hAnsi="Times New Roman"/>
        </w:rPr>
        <w:t xml:space="preserve">Gradual implementation of the family health strategy (ESF, from Portuguese </w:t>
      </w:r>
      <w:r>
        <w:rPr>
          <w:rFonts w:ascii="Times New Roman" w:hAnsi="Times New Roman"/>
          <w:i/>
        </w:rPr>
        <w:t>Estratégia de Saúde da Família</w:t>
      </w:r>
      <w:r>
        <w:rPr>
          <w:rFonts w:ascii="Times New Roman" w:hAnsi="Times New Roman"/>
        </w:rPr>
        <w:t>) - a public health policy approach focused on primary care at the community level - provided several positive outcomes such as the reduction of infant mortality rates (Macinko, Guanais, and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Therefore, its positive outcomes were mostly visible in regions and areas of the country with worsened health and socio-economic conditions (Guimarães 2018).</w:t>
      </w:r>
    </w:p>
    <w:p>
      <w:pPr>
        <w:pStyle w:val="TextBody"/>
        <w:spacing w:lineRule="auto" w:line="240"/>
        <w:rPr>
          <w:rFonts w:ascii="Times New Roman" w:hAnsi="Times New Roman"/>
        </w:rPr>
      </w:pPr>
      <w:r>
        <w:rPr>
          <w:rFonts w:ascii="Times New Roman" w:hAnsi="Times New Roman"/>
        </w:rPr>
        <w:t>Changes in health policy in Brazil impact on different aspects of the urban-rural differential, and we will discuss each of them below.</w:t>
      </w:r>
    </w:p>
    <w:p>
      <w:pPr>
        <w:pStyle w:val="Heading2"/>
        <w:spacing w:lineRule="auto" w:line="240"/>
        <w:rPr>
          <w:rFonts w:ascii="Times New Roman" w:hAnsi="Times New Roman"/>
        </w:rPr>
      </w:pPr>
      <w:bookmarkStart w:id="9" w:name="urban-rural-mortality-differentials"/>
      <w:r>
        <w:rPr>
          <w:rFonts w:ascii="Times New Roman" w:hAnsi="Times New Roman"/>
        </w:rPr>
        <w:t>4.1 Urban-Rural mortality differentials</w:t>
      </w:r>
      <w:bookmarkEnd w:id="9"/>
    </w:p>
    <w:p>
      <w:pPr>
        <w:pStyle w:val="FirstParagraph"/>
        <w:spacing w:lineRule="auto" w:line="240"/>
        <w:rPr>
          <w:rFonts w:ascii="Times New Roman" w:hAnsi="Times New Roman"/>
        </w:rPr>
      </w:pPr>
      <w:r>
        <w:rPr>
          <w:rFonts w:ascii="Times New Roman" w:hAnsi="Times New Roman"/>
        </w:rPr>
        <w:t>Mortality differentials have already been addressed in previous research (Albuquerque 2019; Carvalho and Wood 1978; Pereira 2020), and our results reflect those earlier findings. Adjusted mortality rates yield different life expectancy estimates from Albuquerque (2019).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 (Queiroz et al. n.d.).</w:t>
      </w:r>
    </w:p>
    <w:p>
      <w:pPr>
        <w:pStyle w:val="TextBody"/>
        <w:spacing w:lineRule="auto" w:line="240"/>
        <w:rPr>
          <w:rFonts w:ascii="Times New Roman" w:hAnsi="Times New Roman"/>
        </w:rPr>
      </w:pPr>
      <w:r>
        <w:rPr>
          <w:rFonts w:ascii="Times New Roman" w:hAnsi="Times New Roman"/>
        </w:rPr>
        <w: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 (Malta et al. 2017; Pereira 2018; Pereira and Queiroz 2016).</w:t>
      </w:r>
    </w:p>
    <w:p>
      <w:pPr>
        <w:pStyle w:val="Heading2"/>
        <w:spacing w:lineRule="auto" w:line="240"/>
        <w:rPr>
          <w:rFonts w:ascii="Times New Roman" w:hAnsi="Times New Roman"/>
        </w:rPr>
      </w:pPr>
      <w:bookmarkStart w:id="10" w:name="urban-rural-health-conditions"/>
      <w:r>
        <w:rPr>
          <w:rFonts w:ascii="Times New Roman" w:hAnsi="Times New Roman"/>
        </w:rPr>
        <w:t>4.2 Urban-rural health conditions</w:t>
      </w:r>
      <w:bookmarkEnd w:id="10"/>
    </w:p>
    <w:p>
      <w:pPr>
        <w:pStyle w:val="FirstParagraph"/>
        <w:spacing w:lineRule="auto" w:line="240"/>
        <w:rPr>
          <w:rFonts w:ascii="Times New Roman" w:hAnsi="Times New Roman"/>
        </w:rPr>
      </w:pPr>
      <w:r>
        <w:rPr>
          <w:rFonts w:ascii="Times New Roman" w:hAnsi="Times New Roman"/>
        </w:rPr>
        <w:t>Urban and rural environments shape the lifestyles and types of work performed by each population. These environmental differences have direct impacts on workers’ health (Moreira et al. 2015). Disadvantages in self-reported health conditions have been observed in rural populations in addition to their socio-economic and transportation penalties to access public health equipment (Arruda, Maia, and Alves 2018).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 (Bhalotra, Rocha, and Soares 2020; Lima et al. 2019; Malta 2016). Even though rural residents showed lower diagnosis rates than urban residents, we still had sufficient data to evaluate disease prevalence of urban and rural populations.</w:t>
      </w:r>
    </w:p>
    <w:p>
      <w:pPr>
        <w:pStyle w:val="TextBody"/>
        <w:spacing w:lineRule="auto" w:line="240"/>
        <w:rPr>
          <w:rFonts w:ascii="Times New Roman" w:hAnsi="Times New Roman"/>
        </w:rPr>
      </w:pPr>
      <w:r>
        <w:rPr>
          <w:rFonts w:ascii="Times New Roman" w:hAnsi="Times New Roman"/>
        </w:rPr>
        <w:t>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 (Moreira et al. 2015). Significant decreases observed in PNS morbidities prevalence for the elderly may be related to poor disease diagnostic of this age-group in rural populations.</w:t>
      </w:r>
    </w:p>
    <w:p>
      <w:pPr>
        <w:pStyle w:val="Heading2"/>
        <w:spacing w:lineRule="auto" w:line="240"/>
        <w:rPr>
          <w:rFonts w:ascii="Times New Roman" w:hAnsi="Times New Roman"/>
        </w:rPr>
      </w:pPr>
      <w:bookmarkStart w:id="11" w:name="morbidity-free-life-expectancy"/>
      <w:r>
        <w:rPr>
          <w:rFonts w:ascii="Times New Roman" w:hAnsi="Times New Roman"/>
        </w:rPr>
        <w:t>4.3 Morbidity-free life expectancy</w:t>
      </w:r>
      <w:bookmarkEnd w:id="11"/>
    </w:p>
    <w:p>
      <w:pPr>
        <w:pStyle w:val="FirstParagraph"/>
        <w:spacing w:lineRule="auto" w:line="240"/>
        <w:rPr>
          <w:rFonts w:ascii="Times New Roman" w:hAnsi="Times New Roman"/>
        </w:rPr>
      </w:pPr>
      <w:r>
        <w:rPr>
          <w:rFonts w:ascii="Times New Roman" w:hAnsi="Times New Roman"/>
        </w:rPr>
        <w:t>Absolute differences highlight rural advantages in mortality and morbidity indicators. We now turn our attention to relative differences in healthy life expectancy estimates, e. g.; we evaluate the ratio of morbidity-free life expectancy by life expectancy (</w:t>
      </w:r>
      <w:r>
        <w:rPr>
          <w:rFonts w:ascii="Times New Roman" w:hAnsi="Times New Roman"/>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rPr>
        <w:t xml:space="preserve"> 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 (Maia 2010; Moreira et al. 2015).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Heading2"/>
        <w:spacing w:lineRule="auto" w:line="240"/>
        <w:rPr>
          <w:rFonts w:ascii="Times New Roman" w:hAnsi="Times New Roman"/>
        </w:rPr>
      </w:pPr>
      <w:bookmarkStart w:id="12" w:name="decomposition-of-health-expectancy"/>
      <w:r>
        <w:rPr>
          <w:rFonts w:ascii="Times New Roman" w:hAnsi="Times New Roman"/>
        </w:rPr>
        <w:t>4.4 Decomposition of health expectancy</w:t>
      </w:r>
      <w:bookmarkEnd w:id="12"/>
    </w:p>
    <w:p>
      <w:pPr>
        <w:pStyle w:val="FirstParagraph"/>
        <w:spacing w:lineRule="auto" w:line="240"/>
        <w:rPr>
          <w:rFonts w:ascii="Times New Roman" w:hAnsi="Times New Roman"/>
        </w:rPr>
      </w:pPr>
      <w:r>
        <w:rPr>
          <w:rFonts w:ascii="Times New Roman" w:hAnsi="Times New Roman"/>
        </w:rPr>
        <w:t>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t>
      </w:r>
    </w:p>
    <w:p>
      <w:pPr>
        <w:pStyle w:val="TextBody"/>
        <w:spacing w:lineRule="auto" w:line="240"/>
        <w:rPr>
          <w:rFonts w:ascii="Times New Roman" w:hAnsi="Times New Roman"/>
        </w:rPr>
      </w:pPr>
      <w:r>
        <w:rPr>
          <w:rFonts w:ascii="Times New Roman" w:hAnsi="Times New Roman"/>
        </w:rPr>
        <w:t>Rural populations observe a higher prevalence of specific disabilities, and diseases such as chronic pains, back pains, arthritis, and urban populations are usually more susceptible to diabetes, high blood pressure, heart diseases, and depression (Camarano 2002). Further, rural residents are more prone to report worsened health status (Arruda, Maia, and Alves 2018; Camarano 2002; Maia 2010). Moreira et al. (2015) found that back pain, rheumatism, arthritis and high blood pressure were associated to the agricultural activities and results from intense physical effort in work. The difference in social status also plays a key role in the self-perception of health state (Viacava et al. 2019). Then, rural populations usually declare poor health conditions than urban ones (Arruda, Maia, and Alves 2018; Maia 2010). However, looking into social groups, rural residents from lower social strata have a higher probability of referring to a good state of health than their identicals from urban areas (Maia 2010).</w:t>
      </w:r>
    </w:p>
    <w:p>
      <w:pPr>
        <w:pStyle w:val="TextBody"/>
        <w:spacing w:lineRule="auto" w:line="240"/>
        <w:rPr>
          <w:rFonts w:ascii="Times New Roman" w:hAnsi="Times New Roman"/>
        </w:rPr>
      </w:pPr>
      <w:r>
        <w:rPr>
          <w:rFonts w:ascii="Times New Roman" w:hAnsi="Times New Roman"/>
        </w:rPr>
        <w:t>ESF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is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spacing w:lineRule="auto" w:line="240"/>
        <w:rPr>
          <w:rFonts w:ascii="Times New Roman" w:hAnsi="Times New Roman"/>
        </w:rPr>
      </w:pPr>
      <w:r>
        <w:rPr>
          <w:rFonts w:ascii="Times New Roman" w:hAnsi="Times New Roman"/>
        </w:rPr>
        <w:t>In 2013, 54.4% of Brazilian households were registered in the local family health unit,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enhancing health literacy levels of local communities.</w:t>
      </w:r>
    </w:p>
    <w:p>
      <w:pPr>
        <w:pStyle w:val="TextBody"/>
        <w:spacing w:lineRule="auto" w:line="240"/>
        <w:rPr>
          <w:rFonts w:ascii="Times New Roman" w:hAnsi="Times New Roman"/>
        </w:rPr>
      </w:pPr>
      <w:r>
        <w:rPr>
          <w:rFonts w:ascii="Times New Roman" w:hAnsi="Times New Roman"/>
        </w:rPr>
        <w:t>Such as in the case of USA, Brazilian rural residents experience higher deprivation in access to services and health facilities and usually report worse health status conditions and are in the worse economic situation than urban residents (Arruda, Maia, and Alves 2018; Camarano 2002; Soares et al. 2016). This scenario echos the higher vulnerability condition of rural areas and other territories with lower economic integration (Soares et al. 2016; Viacava et al. 2019). The distance of health equipment, lack of resources to pay for transportation, the lack of health professionals, or unavailability of higher complexity health services are barriers to the access of public health systems by the rural population (Viacava et al. 2019). This situation is worsened for the elderly, population group with higher demand for such services.</w:t>
      </w:r>
    </w:p>
    <w:p>
      <w:pPr>
        <w:pStyle w:val="TextBody"/>
        <w:spacing w:lineRule="auto" w:line="240"/>
        <w:rPr>
          <w:rFonts w:ascii="Times New Roman" w:hAnsi="Times New Roman"/>
        </w:rPr>
      </w:pPr>
      <w:r>
        <w:rPr>
          <w:rFonts w:ascii="Times New Roman" w:hAnsi="Times New Roman"/>
        </w:rPr>
        <w:t>This paper’s results have some limitations. As mentioned, the rural population’s lower access to health services reflects in lower diagnostic rates of health indicators such as glycemic level and blood pressure. Then, prevalence rates for rural groups might be underestimated due to a lack of diagnosis. Despite this important detail, the data collected is robust enough, and the results agree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osteoarticular diseases. This penalty contributes to lower health expectancy differences about these two morbidities, but the rural mortality advantage compensates it. Therefore, rural residents exhibit higher life expectancies, but a significant share of this life expectancy co-occur with physical and musculoskeletal related morbidities.</w:t>
      </w:r>
    </w:p>
    <w:p>
      <w:pPr>
        <w:pStyle w:val="Heading1"/>
        <w:spacing w:lineRule="auto" w:line="240"/>
        <w:rPr>
          <w:rFonts w:ascii="Times New Roman" w:hAnsi="Times New Roman"/>
        </w:rPr>
      </w:pPr>
      <w:bookmarkStart w:id="13" w:name="references"/>
      <w:r>
        <w:rPr>
          <w:rFonts w:ascii="Times New Roman" w:hAnsi="Times New Roman"/>
        </w:rPr>
        <w:t>5. References</w:t>
      </w:r>
      <w:bookmarkEnd w:id="13"/>
    </w:p>
    <w:p>
      <w:pPr>
        <w:pStyle w:val="Bibliography"/>
        <w:spacing w:lineRule="auto" w:line="240"/>
        <w:rPr>
          <w:rFonts w:ascii="Times New Roman" w:hAnsi="Times New Roman"/>
        </w:rPr>
      </w:pPr>
      <w:r>
        <w:rPr>
          <w:rFonts w:ascii="Times New Roman" w:hAnsi="Times New Roman"/>
        </w:rPr>
        <w:t xml:space="preserve">Albuquerque, F.R.P.C. (2019). </w:t>
      </w:r>
      <w:r>
        <w:rPr>
          <w:rFonts w:ascii="Times New Roman" w:hAnsi="Times New Roman"/>
          <w:i/>
        </w:rPr>
        <w:t>Tábuas de Mortalidade segundo a situação do domicílio utilizando-se o Censo Demográfico de 2010</w:t>
      </w:r>
      <w:r>
        <w:rPr>
          <w:rFonts w:ascii="Times New Roman" w:hAnsi="Times New Roman"/>
        </w:rPr>
        <w:t xml:space="preserve">. </w:t>
      </w:r>
      <w:r>
        <w:rPr>
          <w:rFonts w:ascii="Times New Roman" w:hAnsi="Times New Roman"/>
        </w:rPr>
        <w:t>Informe de Previdência Social.</w:t>
      </w:r>
      <w:r>
        <w:rPr>
          <w:rFonts w:ascii="Times New Roman" w:hAnsi="Times New Roman"/>
        </w:rPr>
        <w:t xml:space="preserve"> Ministério da Economia.</w:t>
      </w:r>
      <w:bookmarkStart w:id="14" w:name="ref-albuquerque2019"/>
      <w:bookmarkEnd w:id="14"/>
      <w:r>
        <w:rPr>
          <w:rFonts w:ascii="Times New Roman" w:hAnsi="Times New Roman"/>
        </w:rPr>
        <w:t xml:space="preserve"> </w:t>
      </w:r>
      <w:r>
        <w:rPr>
          <w:rFonts w:ascii="Times New Roman" w:hAnsi="Times New Roman"/>
        </w:rPr>
        <w:t>Brasília, Brazil.</w:t>
      </w:r>
    </w:p>
    <w:p>
      <w:pPr>
        <w:pStyle w:val="Bibliography"/>
        <w:spacing w:lineRule="auto" w:line="240"/>
        <w:rPr/>
      </w:pPr>
      <w:r>
        <w:rPr>
          <w:rFonts w:ascii="Times New Roman" w:hAnsi="Times New Roman"/>
        </w:rPr>
        <w:t xml:space="preserve">Allan, R., Williamson, P., and Kulu, H. (2017). Unravelling urban–rural health disparities in </w:t>
      </w:r>
      <w:r>
        <w:rPr>
          <w:rFonts w:ascii="Times New Roman" w:hAnsi="Times New Roman"/>
        </w:rPr>
        <w:t>E</w:t>
      </w:r>
      <w:r>
        <w:rPr>
          <w:rFonts w:ascii="Times New Roman" w:hAnsi="Times New Roman"/>
        </w:rPr>
        <w:t xml:space="preserve">ngland. </w:t>
      </w:r>
      <w:r>
        <w:rPr>
          <w:rFonts w:ascii="Times New Roman" w:hAnsi="Times New Roman"/>
          <w:i/>
        </w:rPr>
        <w:t>Population, Space and Place</w:t>
      </w:r>
      <w:r>
        <w:rPr>
          <w:rFonts w:ascii="Times New Roman" w:hAnsi="Times New Roman"/>
        </w:rPr>
        <w:t xml:space="preserve"> 23(8). doi:</w:t>
      </w:r>
      <w:hyperlink r:id="rId5">
        <w:r>
          <w:rPr>
            <w:rStyle w:val="ListLabel23"/>
            <w:rFonts w:ascii="Times New Roman" w:hAnsi="Times New Roman"/>
          </w:rPr>
          <w:t>10.1002/psp.2073</w:t>
        </w:r>
      </w:hyperlink>
      <w:r>
        <w:rPr>
          <w:rFonts w:ascii="Times New Roman" w:hAnsi="Times New Roman"/>
        </w:rPr>
        <w:t>.</w:t>
      </w:r>
      <w:bookmarkStart w:id="15" w:name="ref-allan_etal2017"/>
      <w:bookmarkEnd w:id="15"/>
    </w:p>
    <w:p>
      <w:pPr>
        <w:pStyle w:val="Bibliography"/>
        <w:spacing w:lineRule="auto" w:line="240"/>
        <w:rPr/>
      </w:pPr>
      <w:r>
        <w:rPr>
          <w:rFonts w:ascii="Times New Roman" w:hAnsi="Times New Roman"/>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rFonts w:ascii="Times New Roman" w:hAnsi="Times New Roman"/>
          <w:i/>
        </w:rPr>
        <w:t>Demographic Research</w:t>
      </w:r>
      <w:r>
        <w:rPr>
          <w:rFonts w:ascii="Times New Roman" w:hAnsi="Times New Roman"/>
        </w:rPr>
        <w:t xml:space="preserve"> 7(14):499–522. doi:</w:t>
      </w:r>
      <w:hyperlink r:id="rId6">
        <w:r>
          <w:rPr>
            <w:rStyle w:val="ListLabel23"/>
            <w:rFonts w:ascii="Times New Roman" w:hAnsi="Times New Roman"/>
          </w:rPr>
          <w:t>10.4054/DemRes.2002.7.14</w:t>
        </w:r>
      </w:hyperlink>
      <w:r>
        <w:rPr>
          <w:rFonts w:ascii="Times New Roman" w:hAnsi="Times New Roman"/>
        </w:rPr>
        <w:t>.</w:t>
      </w:r>
      <w:bookmarkStart w:id="16" w:name="ref-andreev_etal2002"/>
      <w:bookmarkEnd w:id="16"/>
    </w:p>
    <w:p>
      <w:pPr>
        <w:pStyle w:val="Bibliography"/>
        <w:spacing w:lineRule="auto" w:line="240"/>
        <w:rPr>
          <w:rFonts w:ascii="Times New Roman" w:hAnsi="Times New Roman"/>
        </w:rPr>
      </w:pPr>
      <w:r>
        <w:rPr>
          <w:rFonts w:ascii="Times New Roman" w:hAnsi="Times New Roman"/>
        </w:rPr>
        <w:t xml:space="preserve">Arruda, N.M., Maia, A.G., and Alves, L.C. (2018). Desigualdade no acesso à saúde entre as áreas urbanas e rurais do Brasil: uma decomposição de fatores entre 1998 a 2008. </w:t>
      </w:r>
      <w:r>
        <w:rPr>
          <w:rFonts w:ascii="Times New Roman" w:hAnsi="Times New Roman"/>
          <w:i/>
        </w:rPr>
        <w:t>Cadernos de Saúde Pública</w:t>
      </w:r>
      <w:r>
        <w:rPr>
          <w:rFonts w:ascii="Times New Roman" w:hAnsi="Times New Roman"/>
        </w:rPr>
        <w:t xml:space="preserve"> 34.</w:t>
      </w:r>
      <w:bookmarkStart w:id="17" w:name="ref-arruda_etal2018"/>
      <w:bookmarkEnd w:id="17"/>
    </w:p>
    <w:p>
      <w:pPr>
        <w:pStyle w:val="Bibliography"/>
        <w:spacing w:lineRule="auto" w:line="240"/>
        <w:rPr>
          <w:rFonts w:ascii="Times New Roman" w:hAnsi="Times New Roman"/>
        </w:rPr>
      </w:pPr>
      <w:r>
        <w:rPr>
          <w:rFonts w:ascii="Times New Roman" w:hAnsi="Times New Roman"/>
        </w:rPr>
        <w:t xml:space="preserve">Bennett, N.G. and Horiuchi, S. (1984). Mortality estimation from registered deaths in less developed countries. </w:t>
      </w:r>
      <w:r>
        <w:rPr>
          <w:rFonts w:ascii="Times New Roman" w:hAnsi="Times New Roman"/>
          <w:i/>
        </w:rPr>
        <w:t>Demography</w:t>
      </w:r>
      <w:r>
        <w:rPr>
          <w:rFonts w:ascii="Times New Roman" w:hAnsi="Times New Roman"/>
        </w:rPr>
        <w:t xml:space="preserve"> 21(2):217–233.</w:t>
      </w:r>
      <w:bookmarkStart w:id="18" w:name="ref-bennett_horiuchi1984"/>
      <w:bookmarkEnd w:id="18"/>
    </w:p>
    <w:p>
      <w:pPr>
        <w:pStyle w:val="Bibliography"/>
        <w:spacing w:lineRule="auto" w:line="240"/>
        <w:rPr/>
      </w:pPr>
      <w:r>
        <w:rPr>
          <w:rFonts w:ascii="Times New Roman" w:hAnsi="Times New Roman"/>
        </w:rPr>
        <w:t xml:space="preserve">Bhalotra, S., Rocha, R., and Soares, R.R. (2020). </w:t>
      </w:r>
      <w:r>
        <w:rPr>
          <w:rFonts w:ascii="Times New Roman" w:hAnsi="Times New Roman"/>
          <w:i/>
        </w:rPr>
        <w:t>Can Universalization of Health Work? Evidence from Health Systems Restructuring and Expansion in Brazil</w:t>
      </w:r>
      <w:r>
        <w:rPr>
          <w:rFonts w:ascii="Times New Roman" w:hAnsi="Times New Roman"/>
        </w:rPr>
        <w:t xml:space="preserve">. </w:t>
      </w:r>
      <w:r>
        <w:rPr>
          <w:rFonts w:ascii="Times New Roman" w:hAnsi="Times New Roman"/>
        </w:rPr>
        <w:t>Working Paper 3.</w:t>
      </w:r>
      <w:r>
        <w:rPr>
          <w:rFonts w:ascii="Times New Roman" w:hAnsi="Times New Roman"/>
        </w:rPr>
        <w:t xml:space="preserve"> Instituto de Estudos para Políticas de Saúde. </w:t>
      </w:r>
      <w:r>
        <w:rPr>
          <w:rFonts w:ascii="Times New Roman" w:hAnsi="Times New Roman"/>
        </w:rPr>
        <w:t>São Paulo, Brazil.</w:t>
      </w:r>
      <w:r>
        <w:rPr>
          <w:rFonts w:ascii="Times New Roman" w:hAnsi="Times New Roman"/>
        </w:rPr>
        <w:t xml:space="preserve"> </w:t>
      </w:r>
      <w:hyperlink r:id="rId7">
        <w:r>
          <w:rPr>
            <w:rStyle w:val="ListLabel23"/>
            <w:rFonts w:ascii="Times New Roman" w:hAnsi="Times New Roman"/>
          </w:rPr>
          <w:t>https://ieps.org.br/wp-content/uploads/2020/02/WPS3.pdf</w:t>
        </w:r>
      </w:hyperlink>
      <w:r>
        <w:rPr>
          <w:rFonts w:ascii="Times New Roman" w:hAnsi="Times New Roman"/>
        </w:rPr>
        <w:t>.</w:t>
      </w:r>
      <w:bookmarkStart w:id="19" w:name="ref-bhalotra_etal2020"/>
      <w:bookmarkEnd w:id="19"/>
    </w:p>
    <w:p>
      <w:pPr>
        <w:pStyle w:val="Bibliography"/>
        <w:spacing w:lineRule="auto" w:line="240"/>
        <w:rPr>
          <w:rFonts w:ascii="Times New Roman" w:hAnsi="Times New Roman"/>
        </w:rPr>
      </w:pPr>
      <w:r>
        <w:rPr>
          <w:rFonts w:ascii="Times New Roman" w:hAnsi="Times New Roman"/>
        </w:rPr>
        <w:t xml:space="preserve">Camarano, A.A. (2002). </w:t>
      </w:r>
      <w:r>
        <w:rPr>
          <w:rFonts w:ascii="Times New Roman" w:hAnsi="Times New Roman"/>
          <w:i/>
        </w:rPr>
        <w:t>Brazilian population ageing: differences in well-being by rural and urban areas</w:t>
      </w:r>
      <w:r>
        <w:rPr>
          <w:rFonts w:ascii="Times New Roman" w:hAnsi="Times New Roman"/>
        </w:rPr>
        <w:t xml:space="preserve">. </w:t>
      </w:r>
      <w:r>
        <w:rPr>
          <w:rFonts w:ascii="Times New Roman" w:hAnsi="Times New Roman"/>
        </w:rPr>
        <w:t xml:space="preserve">Texto para Discussão 878. </w:t>
      </w:r>
      <w:r>
        <w:rPr>
          <w:rFonts w:ascii="Times New Roman" w:hAnsi="Times New Roman"/>
        </w:rPr>
        <w:t xml:space="preserve">Instituto de Pesquisa Econômica e Aplicada. </w:t>
      </w:r>
      <w:r>
        <w:rPr>
          <w:rFonts w:ascii="Times New Roman" w:hAnsi="Times New Roman"/>
        </w:rPr>
        <w:t>Rio de Janeiro, Brazil</w:t>
      </w:r>
      <w:r>
        <w:rPr>
          <w:rFonts w:ascii="Times New Roman" w:hAnsi="Times New Roman"/>
        </w:rPr>
        <w:t>.</w:t>
      </w:r>
      <w:bookmarkStart w:id="20" w:name="ref-camarano2002"/>
      <w:bookmarkEnd w:id="20"/>
    </w:p>
    <w:p>
      <w:pPr>
        <w:pStyle w:val="Bibliography"/>
        <w:spacing w:lineRule="auto" w:line="240"/>
        <w:rPr>
          <w:rFonts w:ascii="Times New Roman" w:hAnsi="Times New Roman"/>
        </w:rPr>
      </w:pPr>
      <w:r>
        <w:rPr>
          <w:rFonts w:ascii="Times New Roman" w:hAnsi="Times New Roman"/>
        </w:rPr>
        <w:t xml:space="preserve">Carvalho, J.A.M. and Wood, C.H. (1978). Mortality, Income Distribution, and Rural-Urban Residence in Brazil. </w:t>
      </w:r>
      <w:r>
        <w:rPr>
          <w:rFonts w:ascii="Times New Roman" w:hAnsi="Times New Roman"/>
          <w:i/>
        </w:rPr>
        <w:t>Population and Development Review</w:t>
      </w:r>
      <w:r>
        <w:rPr>
          <w:rFonts w:ascii="Times New Roman" w:hAnsi="Times New Roman"/>
        </w:rPr>
        <w:t xml:space="preserve"> 4(3):405–420.</w:t>
      </w:r>
      <w:bookmarkStart w:id="21" w:name="ref-carvalho_wood1978"/>
      <w:bookmarkEnd w:id="21"/>
    </w:p>
    <w:p>
      <w:pPr>
        <w:pStyle w:val="Bibliography"/>
        <w:spacing w:lineRule="auto" w:line="240"/>
        <w:rPr/>
      </w:pPr>
      <w:r>
        <w:rPr>
          <w:rFonts w:ascii="Times New Roman" w:hAnsi="Times New Roman"/>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rFonts w:ascii="Times New Roman" w:hAnsi="Times New Roman"/>
          <w:i/>
        </w:rPr>
        <w:t>The Lancet</w:t>
      </w:r>
      <w:r>
        <w:rPr>
          <w:rFonts w:ascii="Times New Roman" w:hAnsi="Times New Roman"/>
        </w:rPr>
        <w:t xml:space="preserve"> 394(10195):345–356. doi:</w:t>
      </w:r>
      <w:hyperlink r:id="rId8">
        <w:r>
          <w:rPr>
            <w:rStyle w:val="ListLabel23"/>
            <w:rFonts w:ascii="Times New Roman" w:hAnsi="Times New Roman"/>
          </w:rPr>
          <w:t>https://doi.org/10.1016/S0140-6736(19)31243-7</w:t>
        </w:r>
      </w:hyperlink>
      <w:r>
        <w:rPr>
          <w:rFonts w:ascii="Times New Roman" w:hAnsi="Times New Roman"/>
        </w:rPr>
        <w:t>.</w:t>
      </w:r>
      <w:bookmarkStart w:id="22" w:name="ref-castro_etal2019"/>
      <w:bookmarkEnd w:id="22"/>
    </w:p>
    <w:p>
      <w:pPr>
        <w:pStyle w:val="Bibliography"/>
        <w:spacing w:lineRule="auto" w:line="240"/>
        <w:rPr>
          <w:rFonts w:ascii="Times New Roman" w:hAnsi="Times New Roman"/>
        </w:rPr>
      </w:pPr>
      <w:r>
        <w:rPr>
          <w:rFonts w:ascii="Times New Roman" w:hAnsi="Times New Roman"/>
        </w:rPr>
        <w:t xml:space="preserve">Chen, X., Orom, H., Hay, J.L., Waters, E.A., Schofield, E., Li, Y., and Kiviniemi, M.T. (2019). Differences in rural and urban health information access and use. </w:t>
      </w:r>
      <w:r>
        <w:rPr>
          <w:rFonts w:ascii="Times New Roman" w:hAnsi="Times New Roman"/>
          <w:i/>
        </w:rPr>
        <w:t>The Journal of Rural Health</w:t>
      </w:r>
      <w:r>
        <w:rPr>
          <w:rFonts w:ascii="Times New Roman" w:hAnsi="Times New Roman"/>
        </w:rPr>
        <w:t xml:space="preserve"> 35(3):405–417.</w:t>
      </w:r>
      <w:bookmarkStart w:id="23" w:name="ref-chen_etal2019"/>
      <w:bookmarkEnd w:id="23"/>
    </w:p>
    <w:p>
      <w:pPr>
        <w:pStyle w:val="Bibliography"/>
        <w:spacing w:lineRule="auto" w:line="240"/>
        <w:rPr>
          <w:rFonts w:ascii="Times New Roman" w:hAnsi="Times New Roman"/>
        </w:rPr>
      </w:pPr>
      <w:r>
        <w:rPr>
          <w:rFonts w:ascii="Times New Roman" w:hAnsi="Times New Roman"/>
        </w:rPr>
        <w:t xml:space="preserve">Deaton, A. (2003). Health, Inequality, and Economic Development. </w:t>
      </w:r>
      <w:r>
        <w:rPr>
          <w:rFonts w:ascii="Times New Roman" w:hAnsi="Times New Roman"/>
          <w:i/>
        </w:rPr>
        <w:t>Journal of Economic Literature</w:t>
      </w:r>
      <w:r>
        <w:rPr>
          <w:rFonts w:ascii="Times New Roman" w:hAnsi="Times New Roman"/>
        </w:rPr>
        <w:t xml:space="preserve"> 41(1):113–158.</w:t>
      </w:r>
      <w:bookmarkStart w:id="24" w:name="ref-deaton2003"/>
      <w:bookmarkEnd w:id="24"/>
    </w:p>
    <w:p>
      <w:pPr>
        <w:pStyle w:val="Bibliography"/>
        <w:spacing w:lineRule="auto" w:line="240"/>
        <w:rPr>
          <w:rFonts w:ascii="Times New Roman" w:hAnsi="Times New Roman"/>
        </w:rPr>
      </w:pPr>
      <w:r>
        <w:rPr>
          <w:rFonts w:ascii="Times New Roman" w:hAnsi="Times New Roman"/>
        </w:rPr>
        <w:t xml:space="preserve">Fink, G., Günther, I., and Hill, K. (2016). Urban Mortality Transitions: The Role of Slums. In: Ramiro Fariñas, D. and Oris, M. (eds.). </w:t>
      </w:r>
      <w:r>
        <w:rPr>
          <w:rFonts w:ascii="Times New Roman" w:hAnsi="Times New Roman"/>
          <w:i/>
        </w:rPr>
        <w:t>New Approaches to Death in Cities During the Health Transition</w:t>
      </w:r>
      <w:r>
        <w:rPr>
          <w:rFonts w:ascii="Times New Roman" w:hAnsi="Times New Roman"/>
        </w:rPr>
        <w:t>. Cham: Springer International Publishing: 197–216.</w:t>
      </w:r>
      <w:bookmarkStart w:id="25" w:name="ref-fink_etal2016"/>
      <w:bookmarkEnd w:id="25"/>
    </w:p>
    <w:p>
      <w:pPr>
        <w:pStyle w:val="Bibliography"/>
        <w:spacing w:lineRule="auto" w:line="240"/>
        <w:rPr/>
      </w:pPr>
      <w:r>
        <w:rPr>
          <w:rFonts w:ascii="Times New Roman" w:hAnsi="Times New Roman"/>
        </w:rPr>
        <w:t xml:space="preserve">Garcia, J. (2020). Urban–rural differentials in Latin American infant mortality. </w:t>
      </w:r>
      <w:r>
        <w:rPr>
          <w:rFonts w:ascii="Times New Roman" w:hAnsi="Times New Roman"/>
          <w:i/>
        </w:rPr>
        <w:t>Demographic Research</w:t>
      </w:r>
      <w:r>
        <w:rPr>
          <w:rFonts w:ascii="Times New Roman" w:hAnsi="Times New Roman"/>
        </w:rPr>
        <w:t xml:space="preserve"> 42(8):203–244. doi:</w:t>
      </w:r>
      <w:hyperlink r:id="rId9">
        <w:r>
          <w:rPr>
            <w:rStyle w:val="ListLabel23"/>
            <w:rFonts w:ascii="Times New Roman" w:hAnsi="Times New Roman"/>
          </w:rPr>
          <w:t>10.4054/DemRes.2020.42.8</w:t>
        </w:r>
      </w:hyperlink>
      <w:r>
        <w:rPr>
          <w:rFonts w:ascii="Times New Roman" w:hAnsi="Times New Roman"/>
        </w:rPr>
        <w:t>.</w:t>
      </w:r>
      <w:bookmarkStart w:id="26" w:name="ref-garcia2020"/>
      <w:bookmarkEnd w:id="26"/>
    </w:p>
    <w:p>
      <w:pPr>
        <w:pStyle w:val="Bibliography"/>
        <w:spacing w:lineRule="auto" w:line="240"/>
        <w:rPr/>
      </w:pPr>
      <w:r>
        <w:rPr>
          <w:rFonts w:ascii="Times New Roman" w:hAnsi="Times New Roman"/>
        </w:rPr>
        <w:t xml:space="preserve">Guimarães, R.M. (2018). A teoria da equidade reversa se aplica na atenção primária à saúde? Evidências de 5 564 municípios brasileiros. </w:t>
      </w:r>
      <w:r>
        <w:rPr>
          <w:rFonts w:ascii="Times New Roman" w:hAnsi="Times New Roman"/>
          <w:i/>
        </w:rPr>
        <w:t>Revista Panamericana de Salud Pública [online]</w:t>
      </w:r>
      <w:r>
        <w:rPr>
          <w:rFonts w:ascii="Times New Roman" w:hAnsi="Times New Roman"/>
        </w:rPr>
        <w:t xml:space="preserve"> 42. doi:</w:t>
      </w:r>
      <w:hyperlink r:id="rId10">
        <w:r>
          <w:rPr>
            <w:rStyle w:val="ListLabel23"/>
            <w:rFonts w:ascii="Times New Roman" w:hAnsi="Times New Roman"/>
          </w:rPr>
          <w:t>10.26633/RPSP.2018.128</w:t>
        </w:r>
      </w:hyperlink>
      <w:r>
        <w:rPr>
          <w:rFonts w:ascii="Times New Roman" w:hAnsi="Times New Roman"/>
        </w:rPr>
        <w:t>.</w:t>
      </w:r>
      <w:bookmarkStart w:id="27" w:name="ref-guimaraes2018"/>
      <w:bookmarkEnd w:id="27"/>
    </w:p>
    <w:p>
      <w:pPr>
        <w:pStyle w:val="Bibliography"/>
        <w:spacing w:lineRule="auto" w:line="240"/>
        <w:rPr>
          <w:rFonts w:ascii="Times New Roman" w:hAnsi="Times New Roman"/>
        </w:rPr>
      </w:pPr>
      <w:r>
        <w:rPr>
          <w:rFonts w:ascii="Times New Roman" w:hAnsi="Times New Roman"/>
        </w:rPr>
        <w:t xml:space="preserve">Henning-Smith, C., Prasad, S., Casey, M., Kozhimannil, K., and Moscovice, I. (2019). Rural-urban differences in medicare quality scores persist after adjusting for sociodemographic and environmental characteristics. </w:t>
      </w:r>
      <w:r>
        <w:rPr>
          <w:rFonts w:ascii="Times New Roman" w:hAnsi="Times New Roman"/>
          <w:i/>
        </w:rPr>
        <w:t>The Journal of Rural Health</w:t>
      </w:r>
      <w:r>
        <w:rPr>
          <w:rFonts w:ascii="Times New Roman" w:hAnsi="Times New Roman"/>
        </w:rPr>
        <w:t xml:space="preserve"> 35(1):58–67.</w:t>
      </w:r>
      <w:bookmarkStart w:id="28" w:name="ref-henning_etal2019"/>
      <w:bookmarkEnd w:id="28"/>
    </w:p>
    <w:p>
      <w:pPr>
        <w:pStyle w:val="Bibliography"/>
        <w:spacing w:lineRule="auto" w:line="240"/>
        <w:rPr>
          <w:rFonts w:ascii="Times New Roman" w:hAnsi="Times New Roman"/>
        </w:rPr>
      </w:pPr>
      <w:r>
        <w:rPr>
          <w:rFonts w:ascii="Times New Roman" w:hAnsi="Times New Roman"/>
        </w:rPr>
        <w:t xml:space="preserve">Hill, K. (1987). Estimating census and death registration completeness. </w:t>
      </w:r>
      <w:r>
        <w:rPr>
          <w:rFonts w:ascii="Times New Roman" w:hAnsi="Times New Roman"/>
          <w:i/>
        </w:rPr>
        <w:t>Asian Pac Popul Forum East-West Popul</w:t>
      </w:r>
      <w:r>
        <w:rPr>
          <w:rFonts w:ascii="Times New Roman" w:hAnsi="Times New Roman"/>
        </w:rPr>
        <w:t xml:space="preserve"> 1(3):23–24.</w:t>
      </w:r>
      <w:bookmarkStart w:id="29" w:name="ref-hill1987"/>
      <w:bookmarkEnd w:id="29"/>
    </w:p>
    <w:p>
      <w:pPr>
        <w:pStyle w:val="Bibliography"/>
        <w:spacing w:lineRule="auto" w:line="240"/>
        <w:rPr>
          <w:rFonts w:ascii="Times New Roman" w:hAnsi="Times New Roman"/>
        </w:rPr>
      </w:pPr>
      <w:r>
        <w:rPr>
          <w:rFonts w:ascii="Times New Roman" w:hAnsi="Times New Roman"/>
        </w:rPr>
        <w:t xml:space="preserve">Hill, K., You, D., and Choi, Y. (2009). Death distribution methods for estimating adult mortality: Sensitivity analysis with simulated data errors. </w:t>
      </w:r>
      <w:r>
        <w:rPr>
          <w:rFonts w:ascii="Times New Roman" w:hAnsi="Times New Roman"/>
          <w:i/>
        </w:rPr>
        <w:t>Demographic Research</w:t>
      </w:r>
      <w:r>
        <w:rPr>
          <w:rFonts w:ascii="Times New Roman" w:hAnsi="Times New Roman"/>
        </w:rPr>
        <w:t xml:space="preserve"> 21(9):235–254.</w:t>
      </w:r>
      <w:bookmarkStart w:id="30" w:name="ref-hill_etal2009"/>
      <w:bookmarkEnd w:id="30"/>
    </w:p>
    <w:p>
      <w:pPr>
        <w:pStyle w:val="Bibliography"/>
        <w:spacing w:lineRule="auto" w:line="240"/>
        <w:rPr>
          <w:rFonts w:ascii="Times New Roman" w:hAnsi="Times New Roman"/>
        </w:rPr>
      </w:pPr>
      <w:r>
        <w:rPr>
          <w:rFonts w:ascii="Times New Roman" w:hAnsi="Times New Roman"/>
        </w:rPr>
        <w:t>I</w:t>
      </w:r>
      <w:r>
        <w:rPr>
          <w:rFonts w:ascii="Times New Roman" w:hAnsi="Times New Roman"/>
        </w:rPr>
        <w:t>nstituto Brasileiro de Geografia e Estatística (I</w:t>
      </w:r>
      <w:r>
        <w:rPr>
          <w:rFonts w:ascii="Times New Roman" w:hAnsi="Times New Roman"/>
        </w:rPr>
        <w:t>BGE</w:t>
      </w:r>
      <w:r>
        <w:rPr>
          <w:rFonts w:ascii="Times New Roman" w:hAnsi="Times New Roman"/>
        </w:rPr>
        <w:t>)</w:t>
      </w:r>
      <w:r>
        <w:rPr>
          <w:rFonts w:ascii="Times New Roman" w:hAnsi="Times New Roman"/>
        </w:rPr>
        <w:t xml:space="preserve"> (201</w:t>
      </w:r>
      <w:r>
        <w:rPr>
          <w:rFonts w:ascii="Times New Roman" w:hAnsi="Times New Roman"/>
        </w:rPr>
        <w:t>0</w:t>
      </w:r>
      <w:r>
        <w:rPr>
          <w:rFonts w:ascii="Times New Roman" w:hAnsi="Times New Roman"/>
        </w:rPr>
        <w:t xml:space="preserve">). </w:t>
      </w:r>
      <w:r>
        <w:rPr>
          <w:rFonts w:ascii="Times New Roman" w:hAnsi="Times New Roman"/>
        </w:rPr>
        <w:t>Censo Demográfico.</w:t>
      </w:r>
    </w:p>
    <w:p>
      <w:pPr>
        <w:pStyle w:val="Bibliography"/>
        <w:spacing w:lineRule="auto" w:line="240"/>
        <w:rPr>
          <w:rFonts w:ascii="Times New Roman" w:hAnsi="Times New Roman"/>
        </w:rPr>
      </w:pPr>
      <w:r>
        <w:rPr>
          <w:rFonts w:ascii="Times New Roman" w:hAnsi="Times New Roman"/>
        </w:rPr>
        <w:t>I</w:t>
      </w:r>
      <w:r>
        <w:rPr>
          <w:rFonts w:ascii="Times New Roman" w:hAnsi="Times New Roman"/>
        </w:rPr>
        <w:t>nstituto Brasileiro de Geografia e Estatística (I</w:t>
      </w:r>
      <w:r>
        <w:rPr>
          <w:rFonts w:ascii="Times New Roman" w:hAnsi="Times New Roman"/>
        </w:rPr>
        <w:t>BGE</w:t>
      </w:r>
      <w:r>
        <w:rPr>
          <w:rFonts w:ascii="Times New Roman" w:hAnsi="Times New Roman"/>
        </w:rPr>
        <w:t>)</w:t>
      </w:r>
      <w:r>
        <w:rPr>
          <w:rFonts w:ascii="Times New Roman" w:hAnsi="Times New Roman"/>
        </w:rPr>
        <w:t xml:space="preserve"> (2013). </w:t>
      </w:r>
      <w:r>
        <w:rPr>
          <w:rFonts w:ascii="Times New Roman" w:hAnsi="Times New Roman"/>
        </w:rPr>
        <w:t>Pesquisa Nacional de Saúde</w:t>
      </w:r>
      <w:r>
        <w:rPr>
          <w:rFonts w:ascii="Times New Roman" w:hAnsi="Times New Roman"/>
        </w:rPr>
        <w:t>.</w:t>
      </w:r>
      <w:bookmarkStart w:id="31" w:name="ref-pns2013"/>
      <w:bookmarkEnd w:id="31"/>
    </w:p>
    <w:p>
      <w:pPr>
        <w:pStyle w:val="Bibliography"/>
        <w:spacing w:lineRule="auto" w:line="240"/>
        <w:rPr>
          <w:rFonts w:ascii="Times New Roman" w:hAnsi="Times New Roman"/>
        </w:rPr>
      </w:pPr>
      <w:r>
        <w:rPr>
          <w:rFonts w:ascii="Times New Roman" w:hAnsi="Times New Roman"/>
        </w:rPr>
        <w:t xml:space="preserve">Lima, Â.R.A., Dias, N.S., Lopes, L.B., and Heck, R.M. (2019). Health needs of the rural population: How can health professionals contribute? </w:t>
      </w:r>
      <w:r>
        <w:rPr>
          <w:rFonts w:ascii="Times New Roman" w:hAnsi="Times New Roman"/>
          <w:i/>
        </w:rPr>
        <w:t>Saúde debate</w:t>
      </w:r>
      <w:r>
        <w:rPr>
          <w:rFonts w:ascii="Times New Roman" w:hAnsi="Times New Roman"/>
        </w:rPr>
        <w:t xml:space="preserve"> 43(122).</w:t>
      </w:r>
      <w:bookmarkStart w:id="32" w:name="ref-lima_etal2019"/>
      <w:bookmarkEnd w:id="32"/>
    </w:p>
    <w:p>
      <w:pPr>
        <w:pStyle w:val="Bibliography"/>
        <w:spacing w:lineRule="auto" w:line="240"/>
        <w:rPr/>
      </w:pPr>
      <w:r>
        <w:rPr>
          <w:rFonts w:ascii="Times New Roman" w:hAnsi="Times New Roman"/>
        </w:rPr>
        <w:t xml:space="preserve">Macinko, J., Guanais, F.C., and Souza, </w:t>
      </w:r>
      <w:r>
        <w:rPr>
          <w:rFonts w:ascii="Times New Roman" w:hAnsi="Times New Roman"/>
        </w:rPr>
        <w:t>F.</w:t>
      </w:r>
      <w:r>
        <w:rPr>
          <w:rFonts w:ascii="Times New Roman" w:hAnsi="Times New Roman"/>
        </w:rPr>
        <w:t xml:space="preserve">M. de (2006). Evaluation of the impact of the family health program on infant mortality in brazil, 19902002. </w:t>
      </w:r>
      <w:r>
        <w:rPr>
          <w:rFonts w:ascii="Times New Roman" w:hAnsi="Times New Roman"/>
          <w:i/>
        </w:rPr>
        <w:t>Journal of Epidemiology &amp; Community Health</w:t>
      </w:r>
      <w:r>
        <w:rPr>
          <w:rFonts w:ascii="Times New Roman" w:hAnsi="Times New Roman"/>
        </w:rPr>
        <w:t xml:space="preserve"> 60(1):13–19. doi:</w:t>
      </w:r>
      <w:hyperlink r:id="rId11">
        <w:r>
          <w:rPr>
            <w:rStyle w:val="ListLabel23"/>
            <w:rFonts w:ascii="Times New Roman" w:hAnsi="Times New Roman"/>
          </w:rPr>
          <w:t>10.1136/jech.2005.038323</w:t>
        </w:r>
      </w:hyperlink>
      <w:r>
        <w:rPr>
          <w:rFonts w:ascii="Times New Roman" w:hAnsi="Times New Roman"/>
        </w:rPr>
        <w:t>.</w:t>
      </w:r>
      <w:bookmarkStart w:id="33" w:name="ref-macinko_etal2006"/>
      <w:bookmarkEnd w:id="33"/>
    </w:p>
    <w:p>
      <w:pPr>
        <w:pStyle w:val="Bibliography"/>
        <w:spacing w:lineRule="auto" w:line="240"/>
        <w:rPr/>
      </w:pPr>
      <w:r>
        <w:rPr>
          <w:rFonts w:ascii="Times New Roman" w:hAnsi="Times New Roman"/>
        </w:rPr>
        <w:t xml:space="preserve">Maia, C.G., Alexandre Gori </w:t>
      </w:r>
      <w:r>
        <w:rPr>
          <w:rFonts w:ascii="Times New Roman" w:hAnsi="Times New Roman"/>
        </w:rPr>
        <w:t>and</w:t>
      </w:r>
      <w:r>
        <w:rPr>
          <w:rFonts w:ascii="Times New Roman" w:hAnsi="Times New Roman"/>
        </w:rPr>
        <w:t xml:space="preserve"> Rodrigues (2010). Saúde e mercado de trabalho no Brasil: diferenciais entre ocupados agrícolas e não agrícolas. </w:t>
      </w:r>
      <w:r>
        <w:rPr>
          <w:rFonts w:ascii="Times New Roman" w:hAnsi="Times New Roman"/>
          <w:i/>
        </w:rPr>
        <w:t>Revista de Economia e Sociologia Rural</w:t>
      </w:r>
      <w:r>
        <w:rPr>
          <w:rFonts w:ascii="Times New Roman" w:hAnsi="Times New Roman"/>
        </w:rPr>
        <w:t xml:space="preserve"> 48:737–765. </w:t>
      </w:r>
      <w:hyperlink r:id="rId12">
        <w:r>
          <w:rPr>
            <w:rStyle w:val="ListLabel23"/>
            <w:rFonts w:ascii="Times New Roman" w:hAnsi="Times New Roman"/>
          </w:rPr>
          <w:t>http://www.scielo.br/scielo.php?script=sci_arttext&amp;pid=S0103-20032010000400010&amp;nrm=iso</w:t>
        </w:r>
      </w:hyperlink>
      <w:r>
        <w:rPr>
          <w:rFonts w:ascii="Times New Roman" w:hAnsi="Times New Roman"/>
        </w:rPr>
        <w:t>.</w:t>
      </w:r>
      <w:bookmarkStart w:id="34" w:name="ref-maia_rodrigues2010"/>
      <w:bookmarkEnd w:id="34"/>
    </w:p>
    <w:p>
      <w:pPr>
        <w:pStyle w:val="Bibliography"/>
        <w:spacing w:lineRule="auto" w:line="240"/>
        <w:rPr>
          <w:rFonts w:ascii="Times New Roman" w:hAnsi="Times New Roman"/>
        </w:rPr>
      </w:pPr>
      <w:r>
        <w:rPr>
          <w:rFonts w:ascii="Times New Roman" w:hAnsi="Times New Roman"/>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rFonts w:ascii="Times New Roman" w:hAnsi="Times New Roman"/>
          <w:i/>
        </w:rPr>
        <w:t>Revista Brasileira de Epidemiologia</w:t>
      </w:r>
      <w:r>
        <w:rPr>
          <w:rFonts w:ascii="Times New Roman" w:hAnsi="Times New Roman"/>
        </w:rPr>
        <w:t xml:space="preserve"> 20:142–156.</w:t>
      </w:r>
      <w:bookmarkStart w:id="35" w:name="ref-malta_etal2017"/>
      <w:bookmarkEnd w:id="35"/>
    </w:p>
    <w:p>
      <w:pPr>
        <w:pStyle w:val="Bibliography"/>
        <w:spacing w:lineRule="auto" w:line="240"/>
        <w:rPr/>
      </w:pPr>
      <w:r>
        <w:rPr>
          <w:rFonts w:ascii="Times New Roman" w:hAnsi="Times New Roman"/>
        </w:rPr>
        <w:t xml:space="preserve">Malta, M.A.S.A.S., Deborah Carvalho AND Santos (2016). Family Health Strategy Coverage in Brazil, according to the National Health Survey, 2013. </w:t>
      </w:r>
      <w:r>
        <w:rPr>
          <w:rFonts w:ascii="Times New Roman" w:hAnsi="Times New Roman"/>
          <w:i/>
        </w:rPr>
        <w:t>Ciência &amp; Saúde Coletiva</w:t>
      </w:r>
      <w:r>
        <w:rPr>
          <w:rFonts w:ascii="Times New Roman" w:hAnsi="Times New Roman"/>
        </w:rPr>
        <w:t xml:space="preserve"> 21:327–338. </w:t>
      </w:r>
      <w:hyperlink r:id="rId13">
        <w:r>
          <w:rPr>
            <w:rStyle w:val="ListLabel23"/>
            <w:rFonts w:ascii="Times New Roman" w:hAnsi="Times New Roman"/>
          </w:rPr>
          <w:t>http://www.scielo.br/scielo.php?script=sci_arttext&amp;pid=S1413-81232016000200327&amp;nrm=iso</w:t>
        </w:r>
      </w:hyperlink>
      <w:r>
        <w:rPr>
          <w:rFonts w:ascii="Times New Roman" w:hAnsi="Times New Roman"/>
        </w:rPr>
        <w:t>.</w:t>
      </w:r>
      <w:bookmarkStart w:id="36" w:name="ref-malta_etal2016"/>
      <w:bookmarkEnd w:id="36"/>
    </w:p>
    <w:p>
      <w:pPr>
        <w:pStyle w:val="Bibliography"/>
        <w:spacing w:lineRule="auto" w:line="240"/>
        <w:rPr>
          <w:rFonts w:ascii="Times New Roman" w:hAnsi="Times New Roman"/>
        </w:rPr>
      </w:pPr>
      <w:r>
        <w:rPr>
          <w:rFonts w:ascii="Times New Roman" w:hAnsi="Times New Roman"/>
        </w:rPr>
        <w:t xml:space="preserve">Menashe-Oren, A. and Stecklov, G. (2018). Urban–rural disparities in adult mortality in sub-saharan africa. </w:t>
      </w:r>
      <w:r>
        <w:rPr>
          <w:rFonts w:ascii="Times New Roman" w:hAnsi="Times New Roman"/>
          <w:i/>
        </w:rPr>
        <w:t>Demographic Research</w:t>
      </w:r>
      <w:r>
        <w:rPr>
          <w:rFonts w:ascii="Times New Roman" w:hAnsi="Times New Roman"/>
        </w:rPr>
        <w:t xml:space="preserve"> 39:136–176.</w:t>
      </w:r>
      <w:bookmarkStart w:id="37" w:name="ref-oren2018"/>
      <w:bookmarkEnd w:id="37"/>
    </w:p>
    <w:p>
      <w:pPr>
        <w:pStyle w:val="Bibliography"/>
        <w:spacing w:lineRule="auto" w:line="240"/>
        <w:rPr>
          <w:rFonts w:ascii="Times New Roman" w:hAnsi="Times New Roman"/>
        </w:rPr>
      </w:pPr>
      <w:r>
        <w:rPr>
          <w:rFonts w:ascii="Times New Roman" w:hAnsi="Times New Roman"/>
        </w:rPr>
        <w:t xml:space="preserve">Moreira, J.P.L., Oliveira, B.L.C.A. de, Muzi, C.D., Cunha, C.L.F., Brito, A. dos S., and Luiz, R.R. (2015). A saúde dos trabalhadores da atividade rural no Brasil. </w:t>
      </w:r>
      <w:r>
        <w:rPr>
          <w:rFonts w:ascii="Times New Roman" w:hAnsi="Times New Roman"/>
          <w:i/>
        </w:rPr>
        <w:t>Cadernos de Saúde Pública</w:t>
      </w:r>
      <w:r>
        <w:rPr>
          <w:rFonts w:ascii="Times New Roman" w:hAnsi="Times New Roman"/>
        </w:rPr>
        <w:t xml:space="preserve"> 31:1698–1708.</w:t>
      </w:r>
      <w:bookmarkStart w:id="38" w:name="ref-moreira_etal2015"/>
      <w:bookmarkEnd w:id="38"/>
    </w:p>
    <w:p>
      <w:pPr>
        <w:pStyle w:val="Bibliography"/>
        <w:spacing w:lineRule="auto" w:line="240"/>
        <w:rPr/>
      </w:pPr>
      <w:r>
        <w:rPr>
          <w:rFonts w:ascii="Times New Roman" w:hAnsi="Times New Roman"/>
        </w:rPr>
        <w:t xml:space="preserve">Nepomuceno, M.R. and Turra, C.M. (2020). The population of centenarians in brazil: Historical estimates from 1900 to 2000. </w:t>
      </w:r>
      <w:r>
        <w:rPr>
          <w:rFonts w:ascii="Times New Roman" w:hAnsi="Times New Roman"/>
          <w:i/>
        </w:rPr>
        <w:t>Population and Development Review</w:t>
      </w:r>
      <w:r>
        <w:rPr>
          <w:rFonts w:ascii="Times New Roman" w:hAnsi="Times New Roman"/>
        </w:rPr>
        <w:t xml:space="preserve"> n/a(n/a). doi:</w:t>
      </w:r>
      <w:hyperlink r:id="rId14">
        <w:r>
          <w:rPr>
            <w:rStyle w:val="ListLabel23"/>
            <w:rFonts w:ascii="Times New Roman" w:hAnsi="Times New Roman"/>
          </w:rPr>
          <w:t>10.1111/padr.12355</w:t>
        </w:r>
      </w:hyperlink>
      <w:r>
        <w:rPr>
          <w:rFonts w:ascii="Times New Roman" w:hAnsi="Times New Roman"/>
        </w:rPr>
        <w:t>.</w:t>
      </w:r>
      <w:bookmarkStart w:id="39" w:name="ref-nepomuceno_turra2020"/>
      <w:bookmarkEnd w:id="39"/>
    </w:p>
    <w:p>
      <w:pPr>
        <w:pStyle w:val="Bibliography"/>
        <w:spacing w:lineRule="auto" w:line="240"/>
        <w:rPr>
          <w:rFonts w:ascii="Times New Roman" w:hAnsi="Times New Roman"/>
        </w:rPr>
      </w:pPr>
      <w:r>
        <w:rPr>
          <w:rFonts w:ascii="Times New Roman" w:hAnsi="Times New Roman"/>
        </w:rPr>
        <w:t xml:space="preserve">Pereira, F.N.A. (2018). </w:t>
      </w:r>
      <w:r>
        <w:rPr>
          <w:rFonts w:ascii="Times New Roman" w:hAnsi="Times New Roman"/>
          <w:i/>
        </w:rPr>
        <w:t>Geografia é Destino? Diferenciais de Mortalidade Por Local de Moradia No Brasil Dentre Moradores de áreas Urbanas de Favela E Não Favela</w:t>
      </w:r>
      <w:r>
        <w:rPr>
          <w:rFonts w:ascii="Times New Roman" w:hAnsi="Times New Roman"/>
        </w:rPr>
        <w:t>. Poços de Caldas, Brasil: Associação Brasileira de Estudos Populacionais.</w:t>
      </w:r>
      <w:bookmarkStart w:id="40" w:name="ref-pereira2018"/>
      <w:bookmarkEnd w:id="40"/>
    </w:p>
    <w:p>
      <w:pPr>
        <w:pStyle w:val="Bibliography"/>
        <w:spacing w:lineRule="auto" w:line="240"/>
        <w:rPr>
          <w:rFonts w:ascii="Times New Roman" w:hAnsi="Times New Roman"/>
        </w:rPr>
      </w:pPr>
      <w:r>
        <w:rPr>
          <w:rFonts w:ascii="Times New Roman" w:hAnsi="Times New Roman"/>
        </w:rPr>
        <w:t xml:space="preserve">Pereira, F.N.A. (2020). </w:t>
      </w:r>
      <w:r>
        <w:rPr>
          <w:rFonts w:ascii="Times New Roman" w:hAnsi="Times New Roman"/>
          <w:i/>
        </w:rPr>
        <w:t>Penalidade urbana na mortalidade por local de moradia no Brasil: Diferenciais de mortalidade entre moradores de áreas urbanas em favelas, fora de favelas e de áreas rurais</w:t>
      </w:r>
      <w:r>
        <w:rPr>
          <w:rFonts w:ascii="Times New Roman" w:hAnsi="Times New Roman"/>
        </w:rPr>
        <w:t>. [PhD thesis]. Belo Horizonte: Centro de Desenvolvimento e Planejamento Regional, Faculdade de Ciências Econômicas - UFMG.</w:t>
      </w:r>
      <w:bookmarkStart w:id="41" w:name="ref-pereira2020"/>
      <w:bookmarkEnd w:id="41"/>
    </w:p>
    <w:p>
      <w:pPr>
        <w:pStyle w:val="Bibliography"/>
        <w:spacing w:lineRule="auto" w:line="240"/>
        <w:rPr>
          <w:rFonts w:ascii="Times New Roman" w:hAnsi="Times New Roman"/>
        </w:rPr>
      </w:pPr>
      <w:r>
        <w:rPr>
          <w:rFonts w:ascii="Times New Roman" w:hAnsi="Times New Roman"/>
        </w:rPr>
        <w:t xml:space="preserve">Pereira, F.N.A. and Queiroz, B.L. (2016). Differences in mortality in </w:t>
      </w:r>
      <w:r>
        <w:rPr>
          <w:rFonts w:ascii="Times New Roman" w:hAnsi="Times New Roman"/>
        </w:rPr>
        <w:t>Brazilian</w:t>
      </w:r>
      <w:r>
        <w:rPr>
          <w:rFonts w:ascii="Times New Roman" w:hAnsi="Times New Roman"/>
        </w:rPr>
        <w:t xml:space="preserve"> youth: The importance of household socioeconomic factors and living conditions in Brazilian municipalities and states. </w:t>
      </w:r>
      <w:r>
        <w:rPr>
          <w:rFonts w:ascii="Times New Roman" w:hAnsi="Times New Roman"/>
          <w:i/>
        </w:rPr>
        <w:t>Cadernos de Saúde Pública</w:t>
      </w:r>
      <w:r>
        <w:rPr>
          <w:rFonts w:ascii="Times New Roman" w:hAnsi="Times New Roman"/>
        </w:rPr>
        <w:t xml:space="preserve"> 32(9).</w:t>
      </w:r>
      <w:bookmarkStart w:id="42" w:name="ref-pereira_queiroz2016"/>
      <w:bookmarkEnd w:id="42"/>
    </w:p>
    <w:p>
      <w:pPr>
        <w:pStyle w:val="Bibliography"/>
        <w:spacing w:lineRule="auto" w:line="240"/>
        <w:rPr/>
      </w:pPr>
      <w:r>
        <w:rPr>
          <w:rFonts w:ascii="Times New Roman" w:hAnsi="Times New Roman"/>
        </w:rPr>
        <w:t>Pimenta, L., Dutra, V.</w:t>
      </w:r>
      <w:r>
        <w:rPr>
          <w:rFonts w:ascii="Times New Roman" w:hAnsi="Times New Roman"/>
        </w:rPr>
        <w:t>G.P.</w:t>
      </w:r>
      <w:r>
        <w:rPr>
          <w:rFonts w:ascii="Times New Roman" w:hAnsi="Times New Roman"/>
        </w:rPr>
        <w:t xml:space="preserve">, </w:t>
      </w:r>
      <w:r>
        <w:rPr>
          <w:rFonts w:ascii="Times New Roman" w:hAnsi="Times New Roman"/>
        </w:rPr>
        <w:t xml:space="preserve">de </w:t>
      </w:r>
      <w:r>
        <w:rPr>
          <w:rFonts w:ascii="Times New Roman" w:hAnsi="Times New Roman"/>
        </w:rPr>
        <w:t>Castro, A.</w:t>
      </w:r>
      <w:r>
        <w:rPr>
          <w:rFonts w:ascii="Times New Roman" w:hAnsi="Times New Roman"/>
        </w:rPr>
        <w:t>L.B.</w:t>
      </w:r>
      <w:r>
        <w:rPr>
          <w:rFonts w:ascii="Times New Roman" w:hAnsi="Times New Roman"/>
        </w:rPr>
        <w:t xml:space="preserve"> and Guimarães, R.</w:t>
      </w:r>
      <w:r>
        <w:rPr>
          <w:rFonts w:ascii="Times New Roman" w:hAnsi="Times New Roman"/>
        </w:rPr>
        <w:t>M.</w:t>
      </w:r>
      <w:r>
        <w:rPr>
          <w:rFonts w:ascii="Times New Roman" w:hAnsi="Times New Roman"/>
        </w:rPr>
        <w:t xml:space="preserve"> (2018). Analysis of conditions sensitive to primary care in a successful experience of primary healthcare expansion in brazil, 1998–2015. </w:t>
      </w:r>
      <w:r>
        <w:rPr>
          <w:rFonts w:ascii="Times New Roman" w:hAnsi="Times New Roman"/>
          <w:i/>
        </w:rPr>
        <w:t>Public Health</w:t>
      </w:r>
      <w:r>
        <w:rPr>
          <w:rFonts w:ascii="Times New Roman" w:hAnsi="Times New Roman"/>
        </w:rPr>
        <w:t xml:space="preserve"> 162:32–40. doi:</w:t>
      </w:r>
      <w:hyperlink r:id="rId15">
        <w:r>
          <w:rPr>
            <w:rStyle w:val="ListLabel23"/>
            <w:rFonts w:ascii="Times New Roman" w:hAnsi="Times New Roman"/>
          </w:rPr>
          <w:t>https://doi.org/10.1016/j.puhe.2018.05.011</w:t>
        </w:r>
      </w:hyperlink>
      <w:r>
        <w:rPr>
          <w:rFonts w:ascii="Times New Roman" w:hAnsi="Times New Roman"/>
        </w:rPr>
        <w:t>.</w:t>
      </w:r>
      <w:bookmarkStart w:id="43" w:name="ref-pimenta_etal2018"/>
      <w:bookmarkEnd w:id="43"/>
    </w:p>
    <w:p>
      <w:pPr>
        <w:pStyle w:val="Bibliography"/>
        <w:spacing w:lineRule="auto" w:line="240"/>
        <w:rPr>
          <w:rFonts w:ascii="Times New Roman" w:hAnsi="Times New Roman"/>
        </w:rPr>
      </w:pPr>
      <w:r>
        <w:rPr>
          <w:rFonts w:ascii="Times New Roman" w:hAnsi="Times New Roman"/>
        </w:rPr>
        <w:t xml:space="preserve">Queiroz, B.L., Freire, F.H.M. de A., Gonzaga, M.R., and Lima, E.E.C. de (2017). Estimativas do grau de cobertura e da mortalidade adulta (45q15) para as unidades da federação no Brasil entre 1980 e 2010. </w:t>
      </w:r>
      <w:r>
        <w:rPr>
          <w:rFonts w:ascii="Times New Roman" w:hAnsi="Times New Roman"/>
          <w:i/>
        </w:rPr>
        <w:t>Revista Brasileira de Epidemiologia</w:t>
      </w:r>
      <w:r>
        <w:rPr>
          <w:rFonts w:ascii="Times New Roman" w:hAnsi="Times New Roman"/>
        </w:rPr>
        <w:t xml:space="preserve"> 20:21–33.</w:t>
      </w:r>
      <w:bookmarkStart w:id="44" w:name="ref-queiroz_etal2017"/>
      <w:bookmarkEnd w:id="44"/>
    </w:p>
    <w:p>
      <w:pPr>
        <w:pStyle w:val="Bibliography"/>
        <w:spacing w:lineRule="auto" w:line="240"/>
        <w:rPr>
          <w:rFonts w:ascii="Times New Roman" w:hAnsi="Times New Roman"/>
        </w:rPr>
      </w:pPr>
      <w:r>
        <w:rPr>
          <w:rFonts w:ascii="Times New Roman" w:hAnsi="Times New Roman"/>
        </w:rPr>
        <w:t>Queiroz, B.L., Gonzaga, M.R., Vasconcelos, A.M.N., Lopes, B.T., and Abreu, D.M.X. (</w:t>
      </w:r>
      <w:r>
        <w:rPr>
          <w:rFonts w:ascii="Times New Roman" w:hAnsi="Times New Roman"/>
        </w:rPr>
        <w:t>forthcoming</w:t>
      </w:r>
      <w:r>
        <w:rPr>
          <w:rFonts w:ascii="Times New Roman" w:hAnsi="Times New Roman"/>
        </w:rPr>
        <w:t xml:space="preserve">). Comparative analysis of completeness of death registration, adult mortality and life expectancy at birth in Brazil at the subnational level. </w:t>
      </w:r>
      <w:r>
        <w:rPr>
          <w:rFonts w:ascii="Times New Roman" w:hAnsi="Times New Roman"/>
          <w:i/>
        </w:rPr>
        <w:t>Population Health Metrics</w:t>
      </w:r>
      <w:r>
        <w:rPr>
          <w:rFonts w:ascii="Times New Roman" w:hAnsi="Times New Roman"/>
        </w:rPr>
        <w:t>.</w:t>
      </w:r>
      <w:bookmarkStart w:id="45" w:name="ref-queiroz_etal2020"/>
      <w:bookmarkEnd w:id="45"/>
    </w:p>
    <w:p>
      <w:pPr>
        <w:pStyle w:val="Bibliography"/>
        <w:spacing w:lineRule="auto" w:line="240"/>
        <w:rPr>
          <w:rFonts w:ascii="Times New Roman" w:hAnsi="Times New Roman"/>
        </w:rPr>
      </w:pPr>
      <w:r>
        <w:rPr>
          <w:rFonts w:ascii="Times New Roman" w:hAnsi="Times New Roman"/>
        </w:rPr>
        <w:t xml:space="preserve">Queiroz, B.L. and Sawyer, D.O.T. (2012). O que os dados de mortalidade do Censo de 2010 podem nos dizer? </w:t>
      </w:r>
      <w:r>
        <w:rPr>
          <w:rFonts w:ascii="Times New Roman" w:hAnsi="Times New Roman"/>
          <w:i/>
        </w:rPr>
        <w:t>Revista Brasileira de Estudos de População</w:t>
      </w:r>
      <w:r>
        <w:rPr>
          <w:rFonts w:ascii="Times New Roman" w:hAnsi="Times New Roman"/>
        </w:rPr>
        <w:t xml:space="preserve"> 29:225–238.</w:t>
      </w:r>
      <w:bookmarkStart w:id="46" w:name="ref-queiroz_sawyer2012"/>
      <w:bookmarkEnd w:id="46"/>
    </w:p>
    <w:p>
      <w:pPr>
        <w:pStyle w:val="Bibliography"/>
        <w:spacing w:lineRule="auto" w:line="240"/>
        <w:rPr>
          <w:rFonts w:ascii="Times New Roman" w:hAnsi="Times New Roman"/>
        </w:rPr>
      </w:pPr>
      <w:r>
        <w:rPr>
          <w:rFonts w:ascii="Times New Roman" w:hAnsi="Times New Roman"/>
        </w:rPr>
        <w:t xml:space="preserve">Riffe, T., Lima, E., and Queiroz, B. (2017). </w:t>
      </w:r>
      <w:r>
        <w:rPr>
          <w:rFonts w:ascii="Times New Roman" w:hAnsi="Times New Roman"/>
          <w:i/>
        </w:rPr>
        <w:t>DDM: Death Registration Coverage Estimation</w:t>
      </w:r>
      <w:r>
        <w:rPr>
          <w:rFonts w:ascii="Times New Roman" w:hAnsi="Times New Roman"/>
        </w:rPr>
        <w:t>.</w:t>
      </w:r>
      <w:bookmarkStart w:id="47" w:name="ref-riffe_etal2017"/>
      <w:bookmarkEnd w:id="47"/>
    </w:p>
    <w:p>
      <w:pPr>
        <w:pStyle w:val="Bibliography"/>
        <w:spacing w:lineRule="auto" w:line="240"/>
        <w:rPr/>
      </w:pPr>
      <w:r>
        <w:rPr>
          <w:rFonts w:ascii="Times New Roman" w:hAnsi="Times New Roman"/>
        </w:rPr>
        <w:t xml:space="preserve">Rocha, R. and Soares, R.R. (2010). Evaluating the impact of community-based health interventions: Evidence from brazil’s family health program. </w:t>
      </w:r>
      <w:r>
        <w:rPr>
          <w:rFonts w:ascii="Times New Roman" w:hAnsi="Times New Roman"/>
          <w:i/>
        </w:rPr>
        <w:t>Health Economics</w:t>
      </w:r>
      <w:r>
        <w:rPr>
          <w:rFonts w:ascii="Times New Roman" w:hAnsi="Times New Roman"/>
        </w:rPr>
        <w:t xml:space="preserve"> 19(S1):126–158. doi:</w:t>
      </w:r>
      <w:hyperlink r:id="rId16">
        <w:r>
          <w:rPr>
            <w:rStyle w:val="ListLabel23"/>
            <w:rFonts w:ascii="Times New Roman" w:hAnsi="Times New Roman"/>
          </w:rPr>
          <w:t>10.1002/hec.1607</w:t>
        </w:r>
      </w:hyperlink>
      <w:r>
        <w:rPr>
          <w:rFonts w:ascii="Times New Roman" w:hAnsi="Times New Roman"/>
        </w:rPr>
        <w:t>.</w:t>
      </w:r>
      <w:bookmarkStart w:id="48" w:name="ref-rocha_soares2010"/>
      <w:bookmarkEnd w:id="48"/>
    </w:p>
    <w:p>
      <w:pPr>
        <w:pStyle w:val="Bibliography"/>
        <w:spacing w:lineRule="auto" w:line="240"/>
        <w:rPr>
          <w:rFonts w:ascii="Times New Roman" w:hAnsi="Times New Roman"/>
        </w:rPr>
      </w:pPr>
      <w:r>
        <w:rPr>
          <w:rFonts w:ascii="Times New Roman" w:hAnsi="Times New Roman"/>
        </w:rPr>
        <w:t xml:space="preserve">Rodella, A.-S. (2015). </w:t>
      </w:r>
      <w:r>
        <w:rPr>
          <w:rFonts w:ascii="Times New Roman" w:hAnsi="Times New Roman"/>
          <w:i/>
        </w:rPr>
        <w:t>Poverty and Shared Prosperity in Brazil’s Metropolitan Regions: Taking Stock and Identifying Priorities</w:t>
      </w:r>
      <w:r>
        <w:rPr>
          <w:rFonts w:ascii="Times New Roman" w:hAnsi="Times New Roman"/>
        </w:rPr>
        <w:t>. World Bank Group.: pages.</w:t>
      </w:r>
      <w:bookmarkStart w:id="49" w:name="ref-rodella2015"/>
      <w:bookmarkEnd w:id="49"/>
    </w:p>
    <w:p>
      <w:pPr>
        <w:pStyle w:val="Bibliography"/>
        <w:spacing w:lineRule="auto" w:line="240"/>
        <w:rPr>
          <w:rFonts w:ascii="Times New Roman" w:hAnsi="Times New Roman"/>
        </w:rPr>
      </w:pPr>
      <w:r>
        <w:rPr>
          <w:rFonts w:ascii="Times New Roman" w:hAnsi="Times New Roman"/>
        </w:rPr>
        <w:t xml:space="preserve">Sastry, N. (1997). What explains rural-urban differentials in child mortality in Brazil? </w:t>
      </w:r>
      <w:r>
        <w:rPr>
          <w:rFonts w:ascii="Times New Roman" w:hAnsi="Times New Roman"/>
          <w:i/>
        </w:rPr>
        <w:t>Social Science &amp; Medicine</w:t>
      </w:r>
      <w:r>
        <w:rPr>
          <w:rFonts w:ascii="Times New Roman" w:hAnsi="Times New Roman"/>
        </w:rPr>
        <w:t xml:space="preserve"> 44(7):989–1002.</w:t>
      </w:r>
      <w:bookmarkStart w:id="50" w:name="ref-sastry1997"/>
      <w:bookmarkEnd w:id="50"/>
    </w:p>
    <w:p>
      <w:pPr>
        <w:pStyle w:val="Bibliography"/>
        <w:spacing w:lineRule="auto" w:line="240"/>
        <w:rPr/>
      </w:pPr>
      <w:r>
        <w:rPr>
          <w:rFonts w:ascii="Times New Roman" w:hAnsi="Times New Roman"/>
        </w:rPr>
        <w:t xml:space="preserve">Soares, S., Souza, L.R., Silva, W.J., Silveira, F.G., and Campos, A. (2016). </w:t>
      </w:r>
      <w:r>
        <w:rPr>
          <w:rFonts w:ascii="Times New Roman" w:hAnsi="Times New Roman"/>
          <w:i/>
        </w:rPr>
        <w:t>Poverty Profile: The Rural North and Northeast of Brazil</w:t>
      </w:r>
      <w:r>
        <w:rPr>
          <w:rFonts w:ascii="Times New Roman" w:hAnsi="Times New Roman"/>
        </w:rPr>
        <w:t xml:space="preserve">. </w:t>
      </w:r>
      <w:r>
        <w:rPr>
          <w:rFonts w:ascii="Times New Roman" w:hAnsi="Times New Roman"/>
        </w:rPr>
        <w:t xml:space="preserve">Working Paper 50. </w:t>
      </w:r>
      <w:r>
        <w:rPr>
          <w:rFonts w:ascii="Times New Roman" w:hAnsi="Times New Roman"/>
        </w:rPr>
        <w:t xml:space="preserve">International Policy Centre for Inclusive Growth. </w:t>
      </w:r>
      <w:hyperlink r:id="rId17">
        <w:r>
          <w:rPr>
            <w:rStyle w:val="ListLabel23"/>
            <w:rFonts w:ascii="Times New Roman" w:hAnsi="Times New Roman"/>
          </w:rPr>
          <w:t>https://ipcig.org/pub/eng/PRB50_Poverty_profile_the_rural_North_Northeast_regions_of_Brazil.pdf</w:t>
        </w:r>
      </w:hyperlink>
      <w:r>
        <w:rPr>
          <w:rFonts w:ascii="Times New Roman" w:hAnsi="Times New Roman"/>
        </w:rPr>
        <w:t>.</w:t>
      </w:r>
      <w:bookmarkStart w:id="51" w:name="ref-soares_etal2016"/>
      <w:bookmarkEnd w:id="51"/>
    </w:p>
    <w:p>
      <w:pPr>
        <w:pStyle w:val="Bibliography"/>
        <w:spacing w:lineRule="auto" w:line="240"/>
        <w:rPr>
          <w:rFonts w:ascii="Times New Roman" w:hAnsi="Times New Roman"/>
        </w:rPr>
      </w:pPr>
      <w:r>
        <w:rPr>
          <w:rFonts w:ascii="Times New Roman" w:hAnsi="Times New Roman"/>
        </w:rPr>
        <w:t xml:space="preserve">Sullivan, D.F. (1971). A single index of mortality and morbidity. </w:t>
      </w:r>
      <w:r>
        <w:rPr>
          <w:rFonts w:ascii="Times New Roman" w:hAnsi="Times New Roman"/>
          <w:i/>
        </w:rPr>
        <w:t>HSMHA Health Reports</w:t>
      </w:r>
      <w:r>
        <w:rPr>
          <w:rFonts w:ascii="Times New Roman" w:hAnsi="Times New Roman"/>
        </w:rPr>
        <w:t xml:space="preserve"> 86(4):347–354.</w:t>
      </w:r>
      <w:bookmarkStart w:id="52" w:name="ref-sullivan1971"/>
      <w:bookmarkEnd w:id="52"/>
    </w:p>
    <w:p>
      <w:pPr>
        <w:pStyle w:val="Bibliography"/>
        <w:spacing w:lineRule="auto" w:line="240"/>
        <w:rPr>
          <w:rFonts w:ascii="Times New Roman" w:hAnsi="Times New Roman"/>
        </w:rPr>
      </w:pPr>
      <w:r>
        <w:rPr>
          <w:rFonts w:ascii="Times New Roman" w:hAnsi="Times New Roman"/>
        </w:rPr>
        <w:t xml:space="preserve">Viacava, F., Porto, S.M., Carvalho, C. de C., and Bellido, J.G. (2019). Health inequalities by region and social group based on data from household surveys (Brazil, 1998-2013). </w:t>
      </w:r>
      <w:r>
        <w:rPr>
          <w:rFonts w:ascii="Times New Roman" w:hAnsi="Times New Roman"/>
          <w:i/>
        </w:rPr>
        <w:t>Ciência &amp; Saúde Coletiva</w:t>
      </w:r>
      <w:r>
        <w:rPr>
          <w:rFonts w:ascii="Times New Roman" w:hAnsi="Times New Roman"/>
        </w:rPr>
        <w:t xml:space="preserve"> 24:2745–2760.</w:t>
      </w:r>
      <w:bookmarkStart w:id="53" w:name="ref-viacava_etal2019"/>
      <w:bookmarkEnd w:id="53"/>
    </w:p>
    <w:p>
      <w:pPr>
        <w:pStyle w:val="Bibliography"/>
        <w:spacing w:lineRule="auto" w:line="240" w:before="57" w:after="257"/>
        <w:rPr>
          <w:rFonts w:ascii="Times New Roman" w:hAnsi="Times New Roman"/>
        </w:rPr>
      </w:pPr>
      <w:r>
        <w:rPr>
          <w:rFonts w:ascii="Times New Roman" w:hAnsi="Times New Roman"/>
        </w:rPr>
        <w:t xml:space="preserve">Woods, R. (2003). Urban-rural mortality differentials: An unresolved debate. </w:t>
      </w:r>
      <w:r>
        <w:rPr>
          <w:rFonts w:ascii="Times New Roman" w:hAnsi="Times New Roman"/>
          <w:i/>
        </w:rPr>
        <w:t>Population and Development Review</w:t>
      </w:r>
      <w:r>
        <w:rPr>
          <w:rFonts w:ascii="Times New Roman" w:hAnsi="Times New Roman"/>
        </w:rPr>
        <w:t xml:space="preserve"> 29(1):29–46.</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 xml:space="preserve">Package is available at: </w:t>
      </w:r>
      <w:hyperlink r:id="rId1">
        <w:r>
          <w:rPr>
            <w:rStyle w:val="InternetLink"/>
          </w:rPr>
          <w:t>https://cran.r-project.org/web/packages/DDM/index.html</w:t>
        </w:r>
      </w:hyperlink>
      <w:r>
        <w:rPr/>
        <w:t>.</w:t>
      </w:r>
    </w:p>
  </w:footnote>
  <w:footnote w:id="3">
    <w:p>
      <w:pPr>
        <w:pStyle w:val="Footnote"/>
        <w:spacing w:before="0" w:after="200"/>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4">
    <w:p>
      <w:pPr>
        <w:pStyle w:val="Footnote"/>
        <w:spacing w:before="0" w:after="200"/>
        <w:rPr/>
      </w:pPr>
      <w:r>
        <w:rPr>
          <w:rStyle w:val="FootnoteCharacters"/>
        </w:rPr>
        <w:footnoteRef/>
      </w:r>
      <w:r>
        <w:rPr/>
        <w:tab/>
        <w:t xml:space="preserve"> </w:t>
      </w:r>
      <w:r>
        <w:rPr/>
        <w:t>Prevalence rates of diseases and disabilities were smoothed by apply the localy estimated scatter plot smoothing method (LOESS).</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character" w:styleId="ListLabel23">
    <w:name w:val="ListLabel 2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hyperlink" Target="https://doi.org/10.1002/psp.2073" TargetMode="External"/><Relationship Id="rId6" Type="http://schemas.openxmlformats.org/officeDocument/2006/relationships/hyperlink" Target="https://doi.org/10.4054/DemRes.2002.7.14" TargetMode="External"/><Relationship Id="rId7" Type="http://schemas.openxmlformats.org/officeDocument/2006/relationships/hyperlink" Target="https://ieps.org.br/wp-content/uploads/2020/02/WPS3.pdf" TargetMode="External"/><Relationship Id="rId8" Type="http://schemas.openxmlformats.org/officeDocument/2006/relationships/hyperlink" Target="https://doi.org/https://doi.org/10.1016/S0140-6736(19)31243-7" TargetMode="External"/><Relationship Id="rId9" Type="http://schemas.openxmlformats.org/officeDocument/2006/relationships/hyperlink" Target="https://doi.org/10.4054/DemRes.2020.42.8" TargetMode="External"/><Relationship Id="rId10" Type="http://schemas.openxmlformats.org/officeDocument/2006/relationships/hyperlink" Target="https://doi.org/10.26633/RPSP.2018.128" TargetMode="External"/><Relationship Id="rId11" Type="http://schemas.openxmlformats.org/officeDocument/2006/relationships/hyperlink" Target="https://doi.org/10.1136/jech.2005.038323" TargetMode="External"/><Relationship Id="rId12" Type="http://schemas.openxmlformats.org/officeDocument/2006/relationships/hyperlink" Target="http://www.scielo.br/scielo.php?script=sci_arttext&amp;pid=S0103-20032010000400010&amp;nrm=iso" TargetMode="External"/><Relationship Id="rId13" Type="http://schemas.openxmlformats.org/officeDocument/2006/relationships/hyperlink" Target="http://www.scielo.br/scielo.php?script=sci_arttext&amp;pid=S1413-81232016000200327&amp;nrm=iso" TargetMode="External"/><Relationship Id="rId14" Type="http://schemas.openxmlformats.org/officeDocument/2006/relationships/hyperlink" Target="https://doi.org/10.1111/padr.12355" TargetMode="External"/><Relationship Id="rId15" Type="http://schemas.openxmlformats.org/officeDocument/2006/relationships/hyperlink" Target="https://doi.org/https://doi.org/10.1016/j.puhe.2018.05.011" TargetMode="External"/><Relationship Id="rId16" Type="http://schemas.openxmlformats.org/officeDocument/2006/relationships/hyperlink" Target="https://doi.org/10.1002/hec.1607" TargetMode="External"/><Relationship Id="rId17" Type="http://schemas.openxmlformats.org/officeDocument/2006/relationships/hyperlink" Target="https://ipcig.org/pub/eng/PRB50_Poverty_profile_the_rural_North_Northeast_regions_of_Brazil.pdf"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18</Pages>
  <Words>6061</Words>
  <Characters>35686</Characters>
  <CharactersWithSpaces>41492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2020-08-28T19:05:21Z</dcterms:created>
  <dc:creator/>
  <dc:description/>
  <dc:language>en-US</dc:language>
  <cp:lastModifiedBy/>
  <dcterms:modified xsi:type="dcterms:W3CDTF">2020-08-28T16:55:27Z</dcterms:modified>
  <cp:revision>3</cp:revision>
  <dc:subject/>
  <dc:title>Rural-Urban health and mortality differentials in Brazil, 2010-2013</dc:title>
</cp:coreProperties>
</file>