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1EA37" w14:textId="77777777" w:rsidR="000F7F6A" w:rsidRDefault="00FC2C7D">
      <w:pPr>
        <w:pStyle w:val="Ttulo"/>
        <w:rPr>
          <w:rFonts w:ascii="DejaVu Sans" w:hAnsi="DejaVu Sans"/>
          <w:sz w:val="24"/>
          <w:szCs w:val="24"/>
        </w:rPr>
      </w:pPr>
      <w:ins w:id="0" w:author="Frank Japson" w:date="2020-11-10T15:51:00Z">
        <w:r>
          <w:rPr>
            <w:rFonts w:ascii="DejaVu Sans" w:hAnsi="DejaVu Sans" w:hint="eastAsia"/>
            <w:sz w:val="24"/>
            <w:szCs w:val="24"/>
          </w:rPr>
          <w:t>E</w:t>
        </w:r>
      </w:ins>
      <w:r w:rsidR="00952983">
        <w:rPr>
          <w:rFonts w:ascii="DejaVu Sans" w:hAnsi="DejaVu Sans"/>
          <w:sz w:val="24"/>
          <w:szCs w:val="24"/>
        </w:rPr>
        <w:t>ducational Pairings and Fertility Decline in Brazil: An Analysis Through Cohort Fertility</w:t>
      </w:r>
    </w:p>
    <w:p w14:paraId="6482DEED" w14:textId="77777777" w:rsidR="000F7F6A" w:rsidRDefault="00952983">
      <w:pPr>
        <w:pStyle w:val="Ttulo1"/>
      </w:pPr>
      <w:bookmarkStart w:id="1" w:name="abstract"/>
      <w:r>
        <w:t>Abstract</w:t>
      </w:r>
      <w:bookmarkEnd w:id="1"/>
    </w:p>
    <w:p w14:paraId="0BAF049E" w14:textId="77777777" w:rsidR="000F7F6A" w:rsidRDefault="00952983">
      <w:pPr>
        <w:pStyle w:val="Ttulo2"/>
      </w:pPr>
      <w:bookmarkStart w:id="2" w:name="background"/>
      <w:r>
        <w:t>BACKGROUND</w:t>
      </w:r>
      <w:bookmarkEnd w:id="2"/>
    </w:p>
    <w:p w14:paraId="5450CC8E" w14:textId="77777777" w:rsidR="000F7F6A" w:rsidRDefault="00952983">
      <w:pPr>
        <w:pStyle w:val="FirstParagraph"/>
      </w:pPr>
      <w:r>
        <w:t xml:space="preserve">The fertility transition in Brazil was the result of multiple socioeconomic transformations that initiated </w:t>
      </w:r>
      <w:r w:rsidR="0090714B">
        <w:t>in</w:t>
      </w:r>
      <w:r>
        <w:t xml:space="preserve"> </w:t>
      </w:r>
      <w:r w:rsidR="0090714B">
        <w:t xml:space="preserve">the </w:t>
      </w:r>
      <w:r>
        <w:t>1930s. The education expansion plays an important role in this process by promoting changes in social norms and in assortative matching profiles.</w:t>
      </w:r>
    </w:p>
    <w:p w14:paraId="3AC45567" w14:textId="77777777" w:rsidR="000F7F6A" w:rsidRDefault="00952983">
      <w:pPr>
        <w:pStyle w:val="Ttulo2"/>
      </w:pPr>
      <w:bookmarkStart w:id="3" w:name="objective"/>
      <w:r>
        <w:t>OBJECTIVE</w:t>
      </w:r>
      <w:bookmarkEnd w:id="3"/>
    </w:p>
    <w:p w14:paraId="190D26E3" w14:textId="77777777" w:rsidR="000F7F6A" w:rsidRDefault="00952983">
      <w:pPr>
        <w:pStyle w:val="FirstParagraph"/>
      </w:pPr>
      <w:r>
        <w:t xml:space="preserve">This paper estimates effects of </w:t>
      </w:r>
      <w:r w:rsidR="0090714B">
        <w:t xml:space="preserve">the education of </w:t>
      </w:r>
      <w:r>
        <w:t xml:space="preserve">male partners on </w:t>
      </w:r>
      <w:r w:rsidR="0090714B">
        <w:t xml:space="preserve">the </w:t>
      </w:r>
      <w:r>
        <w:t xml:space="preserve">reproductive behavior of couples </w:t>
      </w:r>
      <w:r w:rsidR="0090714B">
        <w:t>in</w:t>
      </w:r>
      <w:r>
        <w:t xml:space="preserve"> Brazil and its regions during the process of fertility transition, </w:t>
      </w:r>
      <w:proofErr w:type="gramStart"/>
      <w:r>
        <w:t>taking into account</w:t>
      </w:r>
      <w:proofErr w:type="gramEnd"/>
      <w:r>
        <w:t xml:space="preserve"> the effects of changes in educational pairings composition.</w:t>
      </w:r>
    </w:p>
    <w:p w14:paraId="28999D78" w14:textId="77777777" w:rsidR="000F7F6A" w:rsidRDefault="00952983">
      <w:pPr>
        <w:pStyle w:val="Ttulo2"/>
      </w:pPr>
      <w:bookmarkStart w:id="4" w:name="methods"/>
      <w:r>
        <w:t>METHODS</w:t>
      </w:r>
      <w:bookmarkEnd w:id="4"/>
    </w:p>
    <w:p w14:paraId="283AD79E" w14:textId="77777777" w:rsidR="000F7F6A" w:rsidRDefault="00952983">
      <w:pPr>
        <w:pStyle w:val="FirstParagraph"/>
      </w:pPr>
      <w:r>
        <w:t>We compute cohort fertility rates (CFRs) for groups of educational pairings, considering the female cohorts born between the years 1925-1969. The CFRs decline were decomposed between compositional and rate effects using Das Gupta (1993) decomposition methods.</w:t>
      </w:r>
    </w:p>
    <w:p w14:paraId="746E85C3" w14:textId="77777777" w:rsidR="000F7F6A" w:rsidRDefault="00952983">
      <w:pPr>
        <w:pStyle w:val="Ttulo2"/>
      </w:pPr>
      <w:bookmarkStart w:id="5" w:name="results"/>
      <w:r>
        <w:lastRenderedPageBreak/>
        <w:t>RESULTS</w:t>
      </w:r>
      <w:bookmarkEnd w:id="5"/>
    </w:p>
    <w:p w14:paraId="4F0E80FA" w14:textId="77777777" w:rsidR="000F7F6A" w:rsidRDefault="0090714B">
      <w:pPr>
        <w:pStyle w:val="FirstParagraph"/>
      </w:pPr>
      <w:r>
        <w:t xml:space="preserve">The </w:t>
      </w:r>
      <w:r w:rsidR="00952983">
        <w:t xml:space="preserve">CFR </w:t>
      </w:r>
      <w:r>
        <w:t>of couples in the country decreased</w:t>
      </w:r>
      <w:r w:rsidR="00952983">
        <w:t xml:space="preserve"> from 6.30 to 2.94 between the analyzed cohorts. Educational pairing composition accounted for approximately 30% of these changes in cohort fertility. Increases in male schooling, especially the jump from incomplete to complete primary education, resulted in significant CFR reductions, even controlling for female schooling levels.</w:t>
      </w:r>
    </w:p>
    <w:p w14:paraId="7A76C977" w14:textId="77777777" w:rsidR="000F7F6A" w:rsidRDefault="00952983">
      <w:pPr>
        <w:pStyle w:val="Ttulo2"/>
      </w:pPr>
      <w:bookmarkStart w:id="6" w:name="conclusions"/>
      <w:r>
        <w:t>CONCLUSIONS</w:t>
      </w:r>
      <w:bookmarkEnd w:id="6"/>
    </w:p>
    <w:p w14:paraId="3A1BC17B" w14:textId="77777777" w:rsidR="000F7F6A" w:rsidRDefault="00952983">
      <w:pPr>
        <w:pStyle w:val="FirstParagraph"/>
      </w:pPr>
      <w:r>
        <w:t xml:space="preserve">Results suggest that </w:t>
      </w:r>
      <w:r w:rsidR="0090714B">
        <w:t xml:space="preserve">the </w:t>
      </w:r>
      <w:r>
        <w:t xml:space="preserve">education </w:t>
      </w:r>
      <w:r w:rsidR="0090714B">
        <w:t xml:space="preserve">of males </w:t>
      </w:r>
      <w:r>
        <w:t>does affect family size, especially considering older</w:t>
      </w:r>
      <w:r w:rsidR="0090714B">
        <w:t>-</w:t>
      </w:r>
      <w:r>
        <w:t>cohort couples. Additionally, we argue that to a certain extent, a slower male educational expansion might have restrained the pace of fertility transition in some regions of the country.</w:t>
      </w:r>
    </w:p>
    <w:p w14:paraId="55DA7136" w14:textId="77777777" w:rsidR="000F7F6A" w:rsidRDefault="00952983">
      <w:pPr>
        <w:pStyle w:val="Ttulo2"/>
      </w:pPr>
      <w:bookmarkStart w:id="7" w:name="contribution"/>
      <w:r>
        <w:t>CONTRIBUTION</w:t>
      </w:r>
      <w:bookmarkEnd w:id="7"/>
    </w:p>
    <w:p w14:paraId="3836032D" w14:textId="77777777" w:rsidR="000F7F6A" w:rsidRDefault="00952983">
      <w:pPr>
        <w:pStyle w:val="FirstParagraph"/>
      </w:pPr>
      <w:r>
        <w:t xml:space="preserve">The cohort analysis and male schooling influences on family size provide a useful </w:t>
      </w:r>
      <w:r w:rsidR="0090714B">
        <w:t xml:space="preserve">set of </w:t>
      </w:r>
      <w:r>
        <w:t>tools to understand</w:t>
      </w:r>
      <w:r w:rsidR="0090714B">
        <w:t>ing</w:t>
      </w:r>
      <w:r>
        <w:t xml:space="preserve"> Brazilian fertility transition, </w:t>
      </w:r>
      <w:r w:rsidR="0090714B">
        <w:t>while</w:t>
      </w:r>
      <w:r>
        <w:t xml:space="preserve"> it also provides new perspectives of analyses for other Latin</w:t>
      </w:r>
      <w:r w:rsidR="0090714B">
        <w:t>-</w:t>
      </w:r>
      <w:r>
        <w:t>American countries that have experienced a similar reproductive decline process.</w:t>
      </w:r>
    </w:p>
    <w:p w14:paraId="0B24B808" w14:textId="77777777" w:rsidR="000F7F6A" w:rsidRDefault="00952983">
      <w:pPr>
        <w:pStyle w:val="Ttulo1"/>
      </w:pPr>
      <w:bookmarkStart w:id="8" w:name="introduction"/>
      <w:r>
        <w:t>1. Introduction</w:t>
      </w:r>
      <w:bookmarkEnd w:id="8"/>
    </w:p>
    <w:p w14:paraId="1AB4C6DA" w14:textId="77777777" w:rsidR="000F7F6A" w:rsidRDefault="00952983">
      <w:pPr>
        <w:pStyle w:val="FirstParagraph"/>
      </w:pPr>
      <w:r>
        <w:t xml:space="preserve">Brazil observed a significant drop on its total fertility levels from 1960s on (Merrick and Berquó 1983) and since 2010-2015 exhibits below </w:t>
      </w:r>
      <w:r>
        <w:lastRenderedPageBreak/>
        <w:t xml:space="preserve">replacement fertility levels (Berquó and </w:t>
      </w:r>
      <w:proofErr w:type="spellStart"/>
      <w:r>
        <w:t>Cavenaghi</w:t>
      </w:r>
      <w:proofErr w:type="spellEnd"/>
      <w:r>
        <w:t xml:space="preserve"> 2014; Castanheira and Kohler 2015; Lima et al. 2018; Rios-Neto, Miranda-Ribeiro, and Miranda-Ribeiro 2018). One main characteristic of this country’s fertility transition was the heterogeneous process which took place within its regions and across its socioeconomic strata, both in terms of transition, starting, timing and pace (Potter et al. 2010).</w:t>
      </w:r>
    </w:p>
    <w:p w14:paraId="243D58A9" w14:textId="77777777" w:rsidR="000F7F6A" w:rsidRDefault="00952983">
      <w:pPr>
        <w:pStyle w:val="Corpodetexto"/>
      </w:pPr>
      <w:r>
        <w:t xml:space="preserve">The pioneers of fertility reduction were social groups with higher socioeconomic status, especially those living in </w:t>
      </w:r>
      <w:r w:rsidR="004C56F7">
        <w:t xml:space="preserve">the </w:t>
      </w:r>
      <w:r>
        <w:t>urban</w:t>
      </w:r>
      <w:r w:rsidR="004C56F7">
        <w:t>ized</w:t>
      </w:r>
      <w:r>
        <w:t xml:space="preserve"> and industrialized areas of </w:t>
      </w:r>
      <w:r w:rsidR="004C56F7">
        <w:t xml:space="preserve">the </w:t>
      </w:r>
      <w:r>
        <w:t xml:space="preserve">South and Southeast of the country; they </w:t>
      </w:r>
      <w:r w:rsidR="004C56F7">
        <w:t xml:space="preserve">first </w:t>
      </w:r>
      <w:r>
        <w:t xml:space="preserve">started </w:t>
      </w:r>
      <w:r w:rsidR="004C56F7">
        <w:t xml:space="preserve">to </w:t>
      </w:r>
      <w:r>
        <w:t xml:space="preserve">practice birth control even before the beginning of the generalized decline of fertility in the 1960s (Gonçalves et al. 2019; Guzmán and Rodríguez 1993; Merrick and Berquó 1983). To the contrary of other developed regions of the globe, this contraceptive </w:t>
      </w:r>
      <w:r w:rsidR="00EA752C">
        <w:t>behavior</w:t>
      </w:r>
      <w:r>
        <w:t xml:space="preserve"> rapidly spread fast towards the lower status socioeconomic groups from Northern and Northeastern parts of Brazil (Berquó and </w:t>
      </w:r>
      <w:proofErr w:type="spellStart"/>
      <w:r>
        <w:t>Cavenaghi</w:t>
      </w:r>
      <w:proofErr w:type="spellEnd"/>
      <w:r>
        <w:t xml:space="preserve"> 2014; Carvalho and Wong 1992; </w:t>
      </w:r>
      <w:proofErr w:type="spellStart"/>
      <w:r>
        <w:t>Perpétuo</w:t>
      </w:r>
      <w:proofErr w:type="spellEnd"/>
      <w:r>
        <w:t xml:space="preserve"> and </w:t>
      </w:r>
      <w:proofErr w:type="spellStart"/>
      <w:r>
        <w:t>Wajnman</w:t>
      </w:r>
      <w:proofErr w:type="spellEnd"/>
      <w:r>
        <w:t xml:space="preserve"> 1998). For example, in these last regions, social groups with lower education and income began to control fertility by the 1980s, but at a much accelerated pace than other regions, where the fertility decline took place twenty years earlier (Potter et al. 2010; Potter, Schmertmann, and </w:t>
      </w:r>
      <w:proofErr w:type="spellStart"/>
      <w:r>
        <w:t>Cavenaghi</w:t>
      </w:r>
      <w:proofErr w:type="spellEnd"/>
      <w:r>
        <w:t xml:space="preserve"> 2002).</w:t>
      </w:r>
    </w:p>
    <w:p w14:paraId="607F1F76" w14:textId="77777777" w:rsidR="000F7F6A" w:rsidRDefault="00952983">
      <w:pPr>
        <w:pStyle w:val="Corpodetexto"/>
      </w:pPr>
      <w:r>
        <w:t xml:space="preserve">Several factors explain the converging fertility regimes of social groups and thus the fertility transition in Brazil. Industrialization and urbanization, changes in labor market and productive structures, </w:t>
      </w:r>
      <w:r>
        <w:lastRenderedPageBreak/>
        <w:t xml:space="preserve">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 (Alves 1994; Castanheira and Kohler 2017; </w:t>
      </w:r>
      <w:proofErr w:type="spellStart"/>
      <w:r>
        <w:t>Faria</w:t>
      </w:r>
      <w:proofErr w:type="spellEnd"/>
      <w:r>
        <w:t xml:space="preserve"> 1989; Lam, </w:t>
      </w:r>
      <w:proofErr w:type="spellStart"/>
      <w:r>
        <w:t>Sedlacek</w:t>
      </w:r>
      <w:proofErr w:type="spellEnd"/>
      <w:r>
        <w:t xml:space="preserve">, and Duryea 1992; Martine 1996; Merrick and Berquó 1983; Oliveira 1989; Paiva 1987; Potter, Schmertmann, and </w:t>
      </w:r>
      <w:proofErr w:type="spellStart"/>
      <w:r>
        <w:t>Cavenaghi</w:t>
      </w:r>
      <w:proofErr w:type="spellEnd"/>
      <w:r>
        <w:t xml:space="preserve"> 2002; Rios-Neto, Miranda-Ribeiro, and Miranda-Ribeiro 2018). Notwithstanding, the difference in </w:t>
      </w:r>
      <w:r w:rsidR="008E4E76">
        <w:t>pacing</w:t>
      </w:r>
      <w:r>
        <w:t xml:space="preserve"> and period</w:t>
      </w:r>
      <w:r w:rsidR="008E4E76">
        <w:t>s</w:t>
      </w:r>
      <w:r>
        <w:t xml:space="preserve"> </w:t>
      </w:r>
      <w:r w:rsidR="008E4E76">
        <w:t xml:space="preserve">which </w:t>
      </w:r>
      <w:r>
        <w:t xml:space="preserve">each region experienced the fertility transition can be attributed to an uneven spread of these factors </w:t>
      </w:r>
      <w:r w:rsidR="00D97EA9">
        <w:t>across</w:t>
      </w:r>
      <w:r>
        <w:t xml:space="preserve"> the country, resulting in non-negligible demographic inequalities (Carvalho and Brito 2005; </w:t>
      </w:r>
      <w:proofErr w:type="spellStart"/>
      <w:r>
        <w:t>Patarra</w:t>
      </w:r>
      <w:proofErr w:type="spellEnd"/>
      <w:r>
        <w:t xml:space="preserve"> and Oliveira 1988; Wong and Carvalho 2006; Wood and Carvalho 1988).</w:t>
      </w:r>
    </w:p>
    <w:p w14:paraId="07E6EA6E" w14:textId="77777777" w:rsidR="000F7F6A" w:rsidRDefault="00952983">
      <w:pPr>
        <w:pStyle w:val="Corpodetexto"/>
      </w:pPr>
      <w:r>
        <w:t xml:space="preserve">Despite the importance of all these variables, we may argue that the expansion of </w:t>
      </w:r>
      <w:r w:rsidR="008E4E76">
        <w:t xml:space="preserve">the </w:t>
      </w:r>
      <w:r>
        <w:t xml:space="preserve">population’s access to education was one of the main drivers of the fertility transition in Brazil (Carvalho and Wong 1992; Lam, </w:t>
      </w:r>
      <w:proofErr w:type="spellStart"/>
      <w:r>
        <w:t>Sedlacek</w:t>
      </w:r>
      <w:proofErr w:type="spellEnd"/>
      <w:r>
        <w:t xml:space="preserve">, and Duryea 1992; Merrick and Berquó 1983), especially in more recent periods. Education exerts multiple direct and indirect influences on demographic processes (Lutz 2010). For instance, family formation and reproductive behavior are affected by the levels of </w:t>
      </w:r>
      <w:r w:rsidR="00C72DFF">
        <w:t xml:space="preserve">an </w:t>
      </w:r>
      <w:r>
        <w:t xml:space="preserve">individual’s education, because it provides the basis for human capital formation, which </w:t>
      </w:r>
      <w:r w:rsidR="00C72DFF">
        <w:t xml:space="preserve">– in turn – </w:t>
      </w:r>
      <w:r>
        <w:t>affects th</w:t>
      </w:r>
      <w:r w:rsidR="00C72DFF">
        <w:t>at</w:t>
      </w:r>
      <w:r>
        <w:t xml:space="preserve"> </w:t>
      </w:r>
      <w:r w:rsidR="00C72DFF">
        <w:t>person’s</w:t>
      </w:r>
      <w:r>
        <w:t xml:space="preserve"> life</w:t>
      </w:r>
      <w:r w:rsidR="00A85864">
        <w:t>-course</w:t>
      </w:r>
      <w:r>
        <w:t xml:space="preserve"> decisions, </w:t>
      </w:r>
      <w:r>
        <w:lastRenderedPageBreak/>
        <w:t xml:space="preserve">by favoring more women participation in the labor market and postponing their the entry into motherhood as consequence (Neels et al. 2017); education may also </w:t>
      </w:r>
      <w:r w:rsidR="00C72DFF">
        <w:t>trigger</w:t>
      </w:r>
      <w:r>
        <w:t xml:space="preserve"> changes in the composition of conjugal markets and assortative mating profiles (</w:t>
      </w:r>
      <w:proofErr w:type="spellStart"/>
      <w:r>
        <w:t>Esteve</w:t>
      </w:r>
      <w:proofErr w:type="spellEnd"/>
      <w:r>
        <w:t xml:space="preserve"> and McCaa 2007; Mare 1991; Ribeiro and Silva 2009) and, at last, it helps to shape </w:t>
      </w:r>
      <w:r w:rsidR="00C72DFF">
        <w:t xml:space="preserve">an </w:t>
      </w:r>
      <w:r>
        <w:t xml:space="preserve">individual’s social and gender norms </w:t>
      </w:r>
      <w:r w:rsidR="00C72DFF">
        <w:t>which</w:t>
      </w:r>
      <w:r>
        <w:t xml:space="preserve"> foster new ideals of family size (</w:t>
      </w:r>
      <w:proofErr w:type="spellStart"/>
      <w:r>
        <w:t>Adserà</w:t>
      </w:r>
      <w:proofErr w:type="spellEnd"/>
      <w:r>
        <w:t xml:space="preserve"> 2018; </w:t>
      </w:r>
      <w:proofErr w:type="spellStart"/>
      <w:r>
        <w:t>Esping</w:t>
      </w:r>
      <w:proofErr w:type="spellEnd"/>
      <w:r>
        <w:t xml:space="preserve">-Andersen 2009; </w:t>
      </w:r>
      <w:proofErr w:type="spellStart"/>
      <w:r>
        <w:t>Jejeebhoy</w:t>
      </w:r>
      <w:proofErr w:type="spellEnd"/>
      <w:r>
        <w:t xml:space="preserve"> 1995; McDonald 2000).</w:t>
      </w:r>
    </w:p>
    <w:p w14:paraId="40BC3B67" w14:textId="77777777" w:rsidR="000F7F6A" w:rsidRDefault="00952983">
      <w:pPr>
        <w:pStyle w:val="Corpodetexto"/>
      </w:pPr>
      <w:r>
        <w:t xml:space="preserve">In fertility studies, we may cite cohort fertility analysis as well as male fertility intention as tools that are being recently used for the assessment of fertility trends, </w:t>
      </w:r>
      <w:r w:rsidR="00C72DFF">
        <w:t>e</w:t>
      </w:r>
      <w:r>
        <w:t xml:space="preserve">specially in the context of postponement of childbearing (Neels et al. 2017; </w:t>
      </w:r>
      <w:proofErr w:type="spellStart"/>
      <w:r>
        <w:t>Rosero</w:t>
      </w:r>
      <w:proofErr w:type="spellEnd"/>
      <w:r>
        <w:t>-Bixby, Castro-Martin, and Martin-Garcia 2009; Sobotka 2004), rising female schooling (</w:t>
      </w:r>
      <w:proofErr w:type="spellStart"/>
      <w:r>
        <w:t>Esping</w:t>
      </w:r>
      <w:proofErr w:type="spellEnd"/>
      <w:r>
        <w:t xml:space="preserve">-Andersen 2009; Neels et al. 2017; Van </w:t>
      </w:r>
      <w:proofErr w:type="spellStart"/>
      <w:r>
        <w:t>Bavel</w:t>
      </w:r>
      <w:proofErr w:type="spellEnd"/>
      <w:r>
        <w:t xml:space="preserve">, Schwartz, and </w:t>
      </w:r>
      <w:proofErr w:type="spellStart"/>
      <w:r>
        <w:t>Esteve</w:t>
      </w:r>
      <w:proofErr w:type="spellEnd"/>
      <w:r>
        <w:t xml:space="preserve"> 2018) and its consequent effects on changing gender norms, family commitment and reproductive behavior (</w:t>
      </w:r>
      <w:proofErr w:type="spellStart"/>
      <w:r>
        <w:t>Adserà</w:t>
      </w:r>
      <w:proofErr w:type="spellEnd"/>
      <w:r>
        <w:t xml:space="preserve"> 2018; </w:t>
      </w:r>
      <w:proofErr w:type="spellStart"/>
      <w:r>
        <w:t>Esping</w:t>
      </w:r>
      <w:proofErr w:type="spellEnd"/>
      <w:r>
        <w:t xml:space="preserve">-Andersen 2009; </w:t>
      </w:r>
      <w:proofErr w:type="spellStart"/>
      <w:r>
        <w:t>Goldscheider</w:t>
      </w:r>
      <w:proofErr w:type="spellEnd"/>
      <w:r>
        <w:t xml:space="preserve">, Bernhardt, and </w:t>
      </w:r>
      <w:proofErr w:type="spellStart"/>
      <w:r>
        <w:t>Lappegård</w:t>
      </w:r>
      <w:proofErr w:type="spellEnd"/>
      <w:r>
        <w:t xml:space="preserve"> 2015; McDonald 2000). Neither of these approaches have been broadly explored in Brazil, however.</w:t>
      </w:r>
    </w:p>
    <w:p w14:paraId="103FB62A" w14:textId="77777777" w:rsidR="000F7F6A" w:rsidRDefault="00952983">
      <w:pPr>
        <w:pStyle w:val="Corpodetexto"/>
      </w:pPr>
      <w:r>
        <w:t xml:space="preserve">Cohort analysis in Brazil are usually estimated using census or household data as an alternative to the scarcity of reliable longitudinal surveys to track down life course demographic processes. These data sources provide information that permits the reconstruction of </w:t>
      </w:r>
      <w:r>
        <w:lastRenderedPageBreak/>
        <w:t xml:space="preserve">reproductive trends of cohorts in association with the urbanization, </w:t>
      </w:r>
      <w:proofErr w:type="gramStart"/>
      <w:r>
        <w:t>industrialization</w:t>
      </w:r>
      <w:proofErr w:type="gramEnd"/>
      <w:r>
        <w:t xml:space="preserve"> and schooling expansion of the country. By linking cohort analysis of women’s reproductive data with the information on their spouse’s education, </w:t>
      </w:r>
      <w:r w:rsidR="00C72DFF">
        <w:t>to give insight</w:t>
      </w:r>
      <w:r>
        <w:t xml:space="preserve"> </w:t>
      </w:r>
      <w:r w:rsidR="00C72DFF">
        <w:t>on</w:t>
      </w:r>
      <w:r>
        <w:t xml:space="preserve"> the influence</w:t>
      </w:r>
      <w:r w:rsidR="00C72DFF">
        <w:t xml:space="preserve"> of males</w:t>
      </w:r>
      <w:r>
        <w:t xml:space="preserve"> on conjugal reproductive levels, </w:t>
      </w:r>
      <w:r w:rsidR="00C72DFF">
        <w:t>throughout</w:t>
      </w:r>
      <w:r>
        <w:t xml:space="preserve"> the country’s fertility transition</w:t>
      </w:r>
      <w:r w:rsidR="00C72DFF">
        <w:t xml:space="preserve"> period</w:t>
      </w:r>
      <w:r>
        <w:t>.</w:t>
      </w:r>
    </w:p>
    <w:p w14:paraId="773C1144" w14:textId="77777777" w:rsidR="000F7F6A" w:rsidRDefault="00952983">
      <w:pPr>
        <w:pStyle w:val="Corpodetexto"/>
      </w:pPr>
      <w:r>
        <w:t xml:space="preserve">Using different Brazilian censuses, we evaluate the cohort fertility of Brazilian educational pairings, </w:t>
      </w:r>
      <w:proofErr w:type="gramStart"/>
      <w:r>
        <w:t>taking into account</w:t>
      </w:r>
      <w:proofErr w:type="gramEnd"/>
      <w:r>
        <w:t xml:space="preserve"> the period of the country’s fertility transition. We estimate the cohort fertility of women within specific educational pairings </w:t>
      </w:r>
      <w:proofErr w:type="gramStart"/>
      <w:r>
        <w:t>in order to</w:t>
      </w:r>
      <w:proofErr w:type="gramEnd"/>
      <w:r>
        <w:t xml:space="preserve"> account for </w:t>
      </w:r>
      <w:r w:rsidR="00C72DFF">
        <w:t xml:space="preserve">the </w:t>
      </w:r>
      <w:r>
        <w:t>males</w:t>
      </w:r>
      <w:r w:rsidR="00C72DFF">
        <w:t>’</w:t>
      </w:r>
      <w:r>
        <w:t xml:space="preserve"> educational influence on a couple’s reproductive outcome. Our analysis also reports regional cohort fertility trends </w:t>
      </w:r>
      <w:proofErr w:type="gramStart"/>
      <w:r>
        <w:t>as a way to</w:t>
      </w:r>
      <w:proofErr w:type="gramEnd"/>
      <w:r>
        <w:t xml:space="preserve"> see how the country’s historical regional inequalities could affect fertility levels in each area.</w:t>
      </w:r>
    </w:p>
    <w:p w14:paraId="566F5DC1" w14:textId="77777777" w:rsidR="000F7F6A" w:rsidRDefault="00952983">
      <w:pPr>
        <w:pStyle w:val="Corpodetexto"/>
      </w:pPr>
      <w:r>
        <w:t xml:space="preserve">The present work promotes important discussions and brings major contributions to Brazilian demographic analysis. </w:t>
      </w:r>
      <w:r w:rsidR="00A85864">
        <w:t>Firstly</w:t>
      </w:r>
      <w:r>
        <w:t xml:space="preserve">, there are </w:t>
      </w:r>
      <w:r w:rsidR="00A85864">
        <w:t xml:space="preserve">a </w:t>
      </w:r>
      <w:r>
        <w:t xml:space="preserve">few works that evaluate cohort fertility patterns trends throughout the process of educational expansion. Additionally, this work contemplates the partners that influenced reproductive levels </w:t>
      </w:r>
      <w:r w:rsidR="008B652F">
        <w:t xml:space="preserve">of couples </w:t>
      </w:r>
      <w:r>
        <w:t>(</w:t>
      </w:r>
      <w:proofErr w:type="spellStart"/>
      <w:r>
        <w:t>Nitsche</w:t>
      </w:r>
      <w:proofErr w:type="spellEnd"/>
      <w:r>
        <w:t xml:space="preserve"> et al. 2018; Thomson 1997; Van </w:t>
      </w:r>
      <w:proofErr w:type="spellStart"/>
      <w:r>
        <w:t>Bavel</w:t>
      </w:r>
      <w:proofErr w:type="spellEnd"/>
      <w:r>
        <w:t xml:space="preserve"> 2017). This analysis shed</w:t>
      </w:r>
      <w:r w:rsidR="00A85864">
        <w:t>s</w:t>
      </w:r>
      <w:r>
        <w:t xml:space="preserve"> light on </w:t>
      </w:r>
      <w:r w:rsidR="00A85864">
        <w:t xml:space="preserve">the </w:t>
      </w:r>
      <w:r>
        <w:t>hidden processes of fertility transition that act within changes in gender norms and family structure, by assessing reproductive achievements and conjugal educational profiles of several generations</w:t>
      </w:r>
      <w:r w:rsidR="00A85864">
        <w:t xml:space="preserve"> </w:t>
      </w:r>
      <w:r>
        <w:lastRenderedPageBreak/>
        <w:t>which</w:t>
      </w:r>
      <w:r w:rsidR="00A85864">
        <w:t>,</w:t>
      </w:r>
      <w:r>
        <w:t xml:space="preserve"> in turn</w:t>
      </w:r>
      <w:r w:rsidR="00A85864">
        <w:t>,</w:t>
      </w:r>
      <w:r>
        <w:t xml:space="preserve"> ha</w:t>
      </w:r>
      <w:r w:rsidR="00A85864">
        <w:t>ve</w:t>
      </w:r>
      <w:r>
        <w:t xml:space="preserve"> experienced different life</w:t>
      </w:r>
      <w:r w:rsidR="008B652F">
        <w:t>-</w:t>
      </w:r>
      <w:r>
        <w:t xml:space="preserve">course processes and thus display </w:t>
      </w:r>
      <w:r w:rsidR="008B652F">
        <w:t xml:space="preserve">a </w:t>
      </w:r>
      <w:r>
        <w:t>diverse family formation.</w:t>
      </w:r>
    </w:p>
    <w:p w14:paraId="096C9F4A" w14:textId="77777777" w:rsidR="000F7F6A" w:rsidRDefault="00952983">
      <w:pPr>
        <w:pStyle w:val="Ttulo1"/>
      </w:pPr>
      <w:bookmarkStart w:id="9" w:name="background-1"/>
      <w:r>
        <w:t>2. Background</w:t>
      </w:r>
      <w:bookmarkEnd w:id="9"/>
    </w:p>
    <w:p w14:paraId="27279C1F" w14:textId="77777777" w:rsidR="000F7F6A" w:rsidRDefault="00952983">
      <w:pPr>
        <w:pStyle w:val="Ttulo2"/>
      </w:pPr>
      <w:bookmarkStart w:id="10" w:name="fertility-decline-and-school-expansion-i"/>
      <w:r>
        <w:t>2.1 Fertility decline and school expansion in Brazil</w:t>
      </w:r>
      <w:bookmarkEnd w:id="10"/>
    </w:p>
    <w:p w14:paraId="359D1A9E" w14:textId="77777777" w:rsidR="000F7F6A" w:rsidRDefault="00952983">
      <w:pPr>
        <w:pStyle w:val="FirstParagraph"/>
      </w:pPr>
      <w:r>
        <w:t xml:space="preserve">The Fertility Transition process in Brazil is well documented by many studies. One remarkable characteristic of this process </w:t>
      </w:r>
      <w:r w:rsidR="005910FE">
        <w:t>is</w:t>
      </w:r>
      <w:r>
        <w:t xml:space="preserve"> the contrasting fertility levels among distinguished socioeconomic groups, as for example highly</w:t>
      </w:r>
      <w:r w:rsidR="005910FE">
        <w:t>-</w:t>
      </w:r>
      <w:r>
        <w:t xml:space="preserve">educated social groups already adopted a new reproductive behavior, well </w:t>
      </w:r>
      <w:r w:rsidR="005910FE">
        <w:t>before</w:t>
      </w:r>
      <w:r>
        <w:t xml:space="preserve"> the beginning of the generalized decline of Brazilian fertility (Merrick and Berquó 1983), and a second noteworthy characteristic is that, compared to more developed regions, in a short period of time</w:t>
      </w:r>
      <w:r w:rsidR="008B652F">
        <w:t>,</w:t>
      </w:r>
      <w:r>
        <w:t xml:space="preserve"> the fertility rates of the country from different social strata converged into replacement fertility (Berquó and </w:t>
      </w:r>
      <w:proofErr w:type="spellStart"/>
      <w:r>
        <w:t>Cavenaghi</w:t>
      </w:r>
      <w:proofErr w:type="spellEnd"/>
      <w:r>
        <w:t xml:space="preserve"> 2014), and more recently the TFR is below population replacement levels (Castanheira and Kohler 2015). One particular element that contributed for this rapid transition and fertility convergence processes was the diffusion of contraceptive methods, in particular of female sterilization and the dissemination of contraceptive pill (Martine 1996; Merrick and Berquó 1983; </w:t>
      </w:r>
      <w:proofErr w:type="spellStart"/>
      <w:r>
        <w:t>Perpétuo</w:t>
      </w:r>
      <w:proofErr w:type="spellEnd"/>
      <w:r>
        <w:t xml:space="preserve"> and </w:t>
      </w:r>
      <w:proofErr w:type="spellStart"/>
      <w:r>
        <w:t>Wajnman</w:t>
      </w:r>
      <w:proofErr w:type="spellEnd"/>
      <w:r>
        <w:t xml:space="preserve"> 1998; </w:t>
      </w:r>
      <w:proofErr w:type="spellStart"/>
      <w:r>
        <w:t>Perpétuo</w:t>
      </w:r>
      <w:proofErr w:type="spellEnd"/>
      <w:r>
        <w:t xml:space="preserve"> and Wong 2009). Additionally, the uneven, or in some cases inexistent, access to family planning brought negative </w:t>
      </w:r>
      <w:r>
        <w:lastRenderedPageBreak/>
        <w:t>implications to the most vulnerable social groups (Carvalho and Brito 2005).</w:t>
      </w:r>
    </w:p>
    <w:p w14:paraId="6712F291" w14:textId="77777777" w:rsidR="000F7F6A" w:rsidRDefault="005910FE">
      <w:pPr>
        <w:pStyle w:val="Corpodetexto"/>
      </w:pPr>
      <w:r>
        <w:t>T</w:t>
      </w:r>
      <w:r w:rsidR="00952983">
        <w:t>he low</w:t>
      </w:r>
      <w:r>
        <w:t>er</w:t>
      </w:r>
      <w:r w:rsidR="00952983">
        <w:t xml:space="preserve"> socioeconomic strata </w:t>
      </w:r>
      <w:r>
        <w:t xml:space="preserve">in the country </w:t>
      </w:r>
      <w:r w:rsidR="00952983">
        <w:t>generally made use of more harmful and unreliable contraceptive methods (</w:t>
      </w:r>
      <w:r>
        <w:t xml:space="preserve">usually </w:t>
      </w:r>
      <w:r w:rsidR="00952983">
        <w:t xml:space="preserve">the only methods available </w:t>
      </w:r>
      <w:r>
        <w:t>to</w:t>
      </w:r>
      <w:r w:rsidR="00952983">
        <w:t xml:space="preserve"> them)</w:t>
      </w:r>
      <w:r>
        <w:t xml:space="preserve">, such as </w:t>
      </w:r>
      <w:r w:rsidR="00952983">
        <w:t xml:space="preserve">sterilization and clandestine abortion as </w:t>
      </w:r>
      <w:r>
        <w:t xml:space="preserve">a </w:t>
      </w:r>
      <w:r w:rsidR="00952983">
        <w:t>way to avoid pregnanc</w:t>
      </w:r>
      <w:r>
        <w:t>y</w:t>
      </w:r>
      <w:r w:rsidR="00952983">
        <w:t>, whereas wealthier families consumed safer contraceptive methods, and they applied female sterilization only when their family</w:t>
      </w:r>
      <w:r>
        <w:t>’s</w:t>
      </w:r>
      <w:r w:rsidR="00952983">
        <w:t xml:space="preserve"> size goals </w:t>
      </w:r>
      <w:r>
        <w:t>were</w:t>
      </w:r>
      <w:r w:rsidR="00952983">
        <w:t xml:space="preserve"> achieved (</w:t>
      </w:r>
      <w:proofErr w:type="spellStart"/>
      <w:r w:rsidR="00952983">
        <w:t>Faria</w:t>
      </w:r>
      <w:proofErr w:type="spellEnd"/>
      <w:r w:rsidR="00952983">
        <w:t xml:space="preserve"> 1997; Martine 1996; </w:t>
      </w:r>
      <w:proofErr w:type="spellStart"/>
      <w:r w:rsidR="00952983">
        <w:t>Perpétuo</w:t>
      </w:r>
      <w:proofErr w:type="spellEnd"/>
      <w:r w:rsidR="00952983">
        <w:t xml:space="preserve"> and </w:t>
      </w:r>
      <w:proofErr w:type="spellStart"/>
      <w:r w:rsidR="00952983">
        <w:t>Wajnman</w:t>
      </w:r>
      <w:proofErr w:type="spellEnd"/>
      <w:r w:rsidR="00952983">
        <w:t xml:space="preserve"> 1998; </w:t>
      </w:r>
      <w:proofErr w:type="spellStart"/>
      <w:r w:rsidR="00952983">
        <w:t>Perpétuo</w:t>
      </w:r>
      <w:proofErr w:type="spellEnd"/>
      <w:r w:rsidR="00952983">
        <w:t xml:space="preserve"> and Wong 2009). Nowadays, despite similar fertility levels, social groups </w:t>
      </w:r>
      <w:r>
        <w:t>still</w:t>
      </w:r>
      <w:r w:rsidR="00952983">
        <w:t xml:space="preserve"> present different fertility timing, with low</w:t>
      </w:r>
      <w:r>
        <w:t>-</w:t>
      </w:r>
      <w:r w:rsidR="00952983">
        <w:t>educated women entering more frequently into motherhood at younger ages than their high</w:t>
      </w:r>
      <w:r>
        <w:t>ly-</w:t>
      </w:r>
      <w:r w:rsidR="00952983">
        <w:t xml:space="preserve">educated peers (Lima et al. 2018), and fertility postponement being more common among </w:t>
      </w:r>
      <w:r w:rsidR="008B652F">
        <w:t>the latter</w:t>
      </w:r>
      <w:r w:rsidR="00952983">
        <w:t xml:space="preserve"> (Lima et al. 2018; Rios-Neto, Miranda-Ribeiro, and Miranda-Ribeiro 2018).</w:t>
      </w:r>
    </w:p>
    <w:p w14:paraId="5CF09657" w14:textId="77777777" w:rsidR="000F7F6A" w:rsidRDefault="00952983">
      <w:pPr>
        <w:pStyle w:val="Corpodetexto"/>
      </w:pPr>
      <w:r>
        <w:t xml:space="preserve">In common, these studies show how education has become one and, if not, the most important key element to determine fertility outcomes in Brazil. According to </w:t>
      </w:r>
      <w:proofErr w:type="spellStart"/>
      <w:r>
        <w:t>Ariès</w:t>
      </w:r>
      <w:proofErr w:type="spellEnd"/>
      <w:r>
        <w:t xml:space="preserve"> (1978), during the </w:t>
      </w:r>
      <w:r w:rsidR="008B652F">
        <w:t>17</w:t>
      </w:r>
      <w:r w:rsidR="008B652F" w:rsidRPr="008B652F">
        <w:rPr>
          <w:vertAlign w:val="superscript"/>
        </w:rPr>
        <w:t>th</w:t>
      </w:r>
      <w:r>
        <w:t xml:space="preserve"> and </w:t>
      </w:r>
      <w:r w:rsidR="008B652F">
        <w:t>18</w:t>
      </w:r>
      <w:r w:rsidR="008B652F" w:rsidRPr="008B652F">
        <w:rPr>
          <w:vertAlign w:val="superscript"/>
        </w:rPr>
        <w:t>th</w:t>
      </w:r>
      <w:r w:rsidR="008B652F">
        <w:t xml:space="preserve"> </w:t>
      </w:r>
      <w:r>
        <w:t>Centuries,</w:t>
      </w:r>
      <w:r w:rsidR="008B652F">
        <w:t xml:space="preserve"> </w:t>
      </w:r>
      <w:r>
        <w:t xml:space="preserve">educational systems were set up as important pillars of childhood formation </w:t>
      </w:r>
      <w:proofErr w:type="gramStart"/>
      <w:r>
        <w:t>and also</w:t>
      </w:r>
      <w:proofErr w:type="gramEnd"/>
      <w:r>
        <w:t xml:space="preserve"> seen as </w:t>
      </w:r>
      <w:r w:rsidR="008B652F">
        <w:t xml:space="preserve">a </w:t>
      </w:r>
      <w:r>
        <w:t xml:space="preserve">social duty. Since then, schools have gained relevance in shaping </w:t>
      </w:r>
      <w:r w:rsidR="00AA0FAB">
        <w:t xml:space="preserve">an </w:t>
      </w:r>
      <w:r>
        <w:t>individual’s transition into adulthood.</w:t>
      </w:r>
    </w:p>
    <w:p w14:paraId="14C47681" w14:textId="77777777" w:rsidR="000F7F6A" w:rsidRDefault="00952983">
      <w:pPr>
        <w:pStyle w:val="Corpodetexto"/>
      </w:pPr>
      <w:r>
        <w:lastRenderedPageBreak/>
        <w:t>Schooling acts as a strong determinant of reproductive behavior of women through several mechanisms (</w:t>
      </w:r>
      <w:proofErr w:type="spellStart"/>
      <w:r>
        <w:t>Jejeebhoy</w:t>
      </w:r>
      <w:proofErr w:type="spellEnd"/>
      <w:r>
        <w:t xml:space="preserve"> 1995). </w:t>
      </w:r>
      <w:proofErr w:type="gramStart"/>
      <w:r>
        <w:t>In particular, formal</w:t>
      </w:r>
      <w:proofErr w:type="gramEnd"/>
      <w:r>
        <w:t xml:space="preserve"> education affects women’s exposure to childbearing by influencing their labor market participation and conjugal decisions (Castro-Martin and Juarez 1995; Neels et al. 2017). Additionally, education also helps to provide the accomplishment of reproductive intentions, by giving access to information on modern contraceptive methods</w:t>
      </w:r>
      <w:del w:id="11" w:author="Frank Japson" w:date="2020-11-04T16:46:00Z">
        <w:r w:rsidDel="009433B1">
          <w:delText xml:space="preserve"> and through support </w:delText>
        </w:r>
        <w:r w:rsidR="00AA0FAB" w:rsidDel="009433B1">
          <w:delText>of</w:delText>
        </w:r>
        <w:r w:rsidDel="009433B1">
          <w:delText xml:space="preserve"> scientific knowledge</w:delText>
        </w:r>
      </w:del>
      <w:r>
        <w:t xml:space="preserve"> </w:t>
      </w:r>
      <w:ins w:id="12" w:author="Frank Japson" w:date="2020-11-04T16:47:00Z">
        <w:r w:rsidR="00A6088C">
          <w:t xml:space="preserve">and other relevant scientific knowledge </w:t>
        </w:r>
      </w:ins>
      <w:r>
        <w:t xml:space="preserve">(Cleland and Wilson 1987; </w:t>
      </w:r>
      <w:proofErr w:type="spellStart"/>
      <w:r>
        <w:t>Jejeebhoy</w:t>
      </w:r>
      <w:proofErr w:type="spellEnd"/>
      <w:r>
        <w:t xml:space="preserve"> 1995).</w:t>
      </w:r>
    </w:p>
    <w:p w14:paraId="5002DFBF" w14:textId="77777777" w:rsidR="000F7F6A" w:rsidRDefault="00952983">
      <w:pPr>
        <w:pStyle w:val="Corpodetexto"/>
      </w:pPr>
      <w:r>
        <w:t>Schooling acts as a strong determinant of reproductive behavior of women through several mechanisms (</w:t>
      </w:r>
      <w:proofErr w:type="spellStart"/>
      <w:r>
        <w:t>Jejeebhoy</w:t>
      </w:r>
      <w:proofErr w:type="spellEnd"/>
      <w:r>
        <w:t xml:space="preserve"> 1995). </w:t>
      </w:r>
      <w:del w:id="13" w:author="Frank Japson" w:date="2020-11-04T16:50:00Z">
        <w:r w:rsidDel="00A6088C">
          <w:delText>In particular</w:delText>
        </w:r>
      </w:del>
      <w:ins w:id="14" w:author="Frank Japson" w:date="2020-11-04T16:50:00Z">
        <w:r w:rsidR="00A6088C">
          <w:t>Moreover</w:t>
        </w:r>
      </w:ins>
      <w:r>
        <w:t>, formal education affects women</w:t>
      </w:r>
      <w:ins w:id="15" w:author="Frank Japson" w:date="2020-11-04T16:50:00Z">
        <w:r w:rsidR="00A6088C">
          <w:t>’s</w:t>
        </w:r>
      </w:ins>
      <w:r>
        <w:t xml:space="preserve"> exposure to childbearing by influencing in labor market participation and conjugal decisions (Castro-Martin and Juarez 1995; Neels et al. 2017).</w:t>
      </w:r>
      <w:del w:id="16" w:author="Frank Japson" w:date="2020-11-04T16:52:00Z">
        <w:r w:rsidDel="00A6088C">
          <w:delText xml:space="preserve"> Education also provides the accomplishment of reproductive intentions by providing access to information on modern contraceptive measures and </w:delText>
        </w:r>
      </w:del>
      <w:del w:id="17" w:author="Frank Japson" w:date="2020-11-04T16:51:00Z">
        <w:r w:rsidDel="00A6088C">
          <w:delText>through support to scientific knowledge</w:delText>
        </w:r>
      </w:del>
      <w:del w:id="18" w:author="Frank Japson" w:date="2020-11-04T16:52:00Z">
        <w:r w:rsidDel="00A6088C">
          <w:delText xml:space="preserve"> (Cleland and Wilson 1987; Jejeebhoy 1995).</w:delText>
        </w:r>
      </w:del>
    </w:p>
    <w:p w14:paraId="194E74A9" w14:textId="77777777" w:rsidR="000F7F6A" w:rsidRDefault="00952983">
      <w:pPr>
        <w:pStyle w:val="Corpodetexto"/>
      </w:pPr>
      <w:r>
        <w:t>The massification of educational systems also delivers substantial indirect effects over the population fertility levels. We can mention the increasing social costs of childbearing, promoted by schools and formal education through the cultural changes and the propagation of Western middle</w:t>
      </w:r>
      <w:ins w:id="19" w:author="Frank Japson" w:date="2020-11-04T16:55:00Z">
        <w:r w:rsidR="00A6088C">
          <w:t>-</w:t>
        </w:r>
      </w:ins>
      <w:del w:id="20" w:author="Frank Japson" w:date="2020-11-04T16:55:00Z">
        <w:r w:rsidDel="00A6088C">
          <w:delText xml:space="preserve"> </w:delText>
        </w:r>
      </w:del>
      <w:r>
        <w:t>class values in the educational institutions (</w:t>
      </w:r>
      <w:proofErr w:type="spellStart"/>
      <w:r>
        <w:t>Ariès</w:t>
      </w:r>
      <w:proofErr w:type="spellEnd"/>
      <w:r>
        <w:t xml:space="preserve"> 1978; Caldwell </w:t>
      </w:r>
      <w:r>
        <w:lastRenderedPageBreak/>
        <w:t xml:space="preserve">1980, 2006; </w:t>
      </w:r>
      <w:proofErr w:type="spellStart"/>
      <w:r>
        <w:t>Folbre</w:t>
      </w:r>
      <w:proofErr w:type="spellEnd"/>
      <w:r>
        <w:t xml:space="preserve"> 1983). One can also argue that </w:t>
      </w:r>
      <w:del w:id="21" w:author="Frank Japson" w:date="2020-11-04T16:58:00Z">
        <w:r w:rsidDel="00926946">
          <w:delText>higher</w:delText>
        </w:r>
      </w:del>
      <w:ins w:id="22" w:author="Frank Japson" w:date="2020-11-04T16:58:00Z">
        <w:r w:rsidR="00926946">
          <w:t>highly-</w:t>
        </w:r>
      </w:ins>
      <w:del w:id="23" w:author="Frank Japson" w:date="2020-11-04T16:55:00Z">
        <w:r w:rsidDel="00A6088C">
          <w:delText xml:space="preserve"> </w:delText>
        </w:r>
      </w:del>
      <w:r>
        <w:t xml:space="preserve">schooled women have </w:t>
      </w:r>
      <w:del w:id="24" w:author="Frank Japson" w:date="2020-11-04T16:56:00Z">
        <w:r w:rsidDel="00A6088C">
          <w:delText xml:space="preserve">higher </w:delText>
        </w:r>
      </w:del>
      <w:ins w:id="25" w:author="Frank Japson" w:date="2020-11-04T16:56:00Z">
        <w:r w:rsidR="00A6088C">
          <w:t xml:space="preserve">increased </w:t>
        </w:r>
      </w:ins>
      <w:r>
        <w:t>probabilities of formal labor market participation, which incurs lower opportunity costs of childbearing than their lower educated counterparts (</w:t>
      </w:r>
      <w:proofErr w:type="spellStart"/>
      <w:r>
        <w:t>Adserà</w:t>
      </w:r>
      <w:proofErr w:type="spellEnd"/>
      <w:r>
        <w:t xml:space="preserve"> 2018; Becker 1993; Goldin and Katz 2002). In addition, the population’s formal schooling is a key element in the comprehension of fertility timing (Bongaarts 2003; </w:t>
      </w:r>
      <w:proofErr w:type="spellStart"/>
      <w:r>
        <w:t>Chackiel</w:t>
      </w:r>
      <w:proofErr w:type="spellEnd"/>
      <w:r>
        <w:t xml:space="preserve"> and </w:t>
      </w:r>
      <w:proofErr w:type="spellStart"/>
      <w:r>
        <w:t>Schkolnik</w:t>
      </w:r>
      <w:proofErr w:type="spellEnd"/>
      <w:r>
        <w:t xml:space="preserve"> 2003) and its constraints (</w:t>
      </w:r>
      <w:proofErr w:type="spellStart"/>
      <w:r>
        <w:t>Adserà</w:t>
      </w:r>
      <w:proofErr w:type="spellEnd"/>
      <w:r>
        <w:t xml:space="preserve"> 2018). In most social settings, social elites are the forerunners of reproductive control, due to their higher schooling levels achieved and increased access to modern contraceptive methods (Cleland and Wilson 1987). In addition, some argue that the diffusion of new reproductive behavior from </w:t>
      </w:r>
      <w:ins w:id="26" w:author="Frank Japson" w:date="2020-11-05T13:26:00Z">
        <w:r w:rsidR="006F6C0B">
          <w:t xml:space="preserve">the </w:t>
        </w:r>
      </w:ins>
      <w:r>
        <w:t>high</w:t>
      </w:r>
      <w:ins w:id="27" w:author="Frank Japson" w:date="2020-11-05T13:26:00Z">
        <w:r w:rsidR="006F6C0B">
          <w:t>er</w:t>
        </w:r>
      </w:ins>
      <w:r>
        <w:t xml:space="preserve"> social groups to lower socioeconomic strata in the society sparks the generalization of the fertility decline (Bongaarts 2003; Cleland and Wilson 1987).</w:t>
      </w:r>
    </w:p>
    <w:p w14:paraId="71DE3BCD" w14:textId="77777777" w:rsidR="000F7F6A" w:rsidRDefault="00952983">
      <w:pPr>
        <w:pStyle w:val="Corpodetexto"/>
      </w:pPr>
      <w:del w:id="28" w:author="Frank Japson" w:date="2020-11-05T13:27:00Z">
        <w:r w:rsidDel="006F6C0B">
          <w:delText>In the context of Brazil, b</w:delText>
        </w:r>
      </w:del>
      <w:ins w:id="29" w:author="Frank Japson" w:date="2020-11-05T13:27:00Z">
        <w:r w:rsidR="006F6C0B">
          <w:t>B</w:t>
        </w:r>
      </w:ins>
      <w:r>
        <w:t xml:space="preserve">y the time </w:t>
      </w:r>
      <w:del w:id="30" w:author="Frank Japson" w:date="2020-11-05T13:27:00Z">
        <w:r w:rsidDel="006F6C0B">
          <w:delText xml:space="preserve">of </w:delText>
        </w:r>
      </w:del>
      <w:ins w:id="31" w:author="Frank Japson" w:date="2020-11-05T13:27:00Z">
        <w:r w:rsidR="006F6C0B">
          <w:t xml:space="preserve">the </w:t>
        </w:r>
      </w:ins>
      <w:r>
        <w:t>fertility transition started</w:t>
      </w:r>
      <w:del w:id="32" w:author="Frank Japson" w:date="2020-11-05T13:27:00Z">
        <w:r w:rsidDel="006F6C0B">
          <w:delText>,</w:delText>
        </w:r>
      </w:del>
      <w:r>
        <w:t xml:space="preserve"> </w:t>
      </w:r>
      <w:ins w:id="33" w:author="Frank Japson" w:date="2020-11-05T13:27:00Z">
        <w:r w:rsidR="006F6C0B">
          <w:t xml:space="preserve">in Brazil, </w:t>
        </w:r>
      </w:ins>
      <w:r>
        <w:t xml:space="preserve">its educational system expansion was already ongoing, fomented by a </w:t>
      </w:r>
      <w:del w:id="34" w:author="Frank Japson" w:date="2020-11-05T13:28:00Z">
        <w:r w:rsidDel="006F6C0B">
          <w:delText xml:space="preserve">drift </w:delText>
        </w:r>
      </w:del>
      <w:r>
        <w:t xml:space="preserve">shift in </w:t>
      </w:r>
      <w:ins w:id="35" w:author="Frank Japson" w:date="2020-11-05T13:28:00Z">
        <w:r w:rsidR="006F6C0B">
          <w:t xml:space="preserve">the </w:t>
        </w:r>
      </w:ins>
      <w:r>
        <w:t xml:space="preserve">economic and production model adopted by the country (Romanelli 1986). By the 1930s, Brazil </w:t>
      </w:r>
      <w:ins w:id="36" w:author="Frank Japson" w:date="2020-11-05T13:28:00Z">
        <w:r w:rsidR="006F6C0B">
          <w:t xml:space="preserve">had </w:t>
        </w:r>
      </w:ins>
      <w:r>
        <w:t xml:space="preserve">shifted from a rural society — with an economic model based on the export of agricultural goods — to an urban population with an increasing import substitution industry (Merrick and Graham 1981; Paiva 1987). The Brazilian formal schooling expansion occurred, however, at a slower pace than </w:t>
      </w:r>
      <w:ins w:id="37" w:author="Frank Japson" w:date="2020-11-05T13:28:00Z">
        <w:r w:rsidR="006F6C0B">
          <w:t>in</w:t>
        </w:r>
      </w:ins>
      <w:ins w:id="38" w:author="Frank Japson" w:date="2020-11-05T13:29:00Z">
        <w:r w:rsidR="006F6C0B">
          <w:t xml:space="preserve"> </w:t>
        </w:r>
      </w:ins>
      <w:r>
        <w:t xml:space="preserve">other </w:t>
      </w:r>
      <w:ins w:id="39" w:author="Frank Japson" w:date="2020-11-05T13:29:00Z">
        <w:r w:rsidR="006F6C0B">
          <w:t xml:space="preserve">South American </w:t>
        </w:r>
      </w:ins>
      <w:r>
        <w:t xml:space="preserve">countries </w:t>
      </w:r>
      <w:del w:id="40" w:author="Frank Japson" w:date="2020-11-05T13:29:00Z">
        <w:r w:rsidDel="006F6C0B">
          <w:delText xml:space="preserve">in South America </w:delText>
        </w:r>
      </w:del>
      <w:r>
        <w:t xml:space="preserve">(Komatsu et al. 2017). Prior </w:t>
      </w:r>
      <w:r>
        <w:lastRenderedPageBreak/>
        <w:t xml:space="preserve">to 1930, the pressure for the expansion of educational systems were restricted to minor political groups as a result of the country’s rural economy characteristics, described by its cities’ geographic disconnection and by an obsolete agricultural productive system (Merrick and Graham 1981; Romanelli 1986; Wood and Carvalho 1988). As a result, the country only reached the universalization of primary education </w:t>
      </w:r>
      <w:del w:id="41" w:author="Frank Japson" w:date="2020-11-05T13:30:00Z">
        <w:r w:rsidDel="006F6C0B">
          <w:delText>by 1990 decade</w:delText>
        </w:r>
      </w:del>
      <w:ins w:id="42" w:author="Frank Japson" w:date="2020-11-05T13:30:00Z">
        <w:r w:rsidR="006F6C0B">
          <w:t>in the 1990s</w:t>
        </w:r>
      </w:ins>
      <w:r>
        <w:t xml:space="preserve"> (Castro 1998).</w:t>
      </w:r>
    </w:p>
    <w:p w14:paraId="75A92174" w14:textId="77777777" w:rsidR="000F7F6A" w:rsidRDefault="00952983">
      <w:pPr>
        <w:pStyle w:val="Corpodetexto"/>
      </w:pPr>
      <w:r>
        <w:t>The rupture between dominant political classes promoted a gradual transformation in the country’s economy (Merrick and Graham 1981). In time, Brazil’s productive model shifted from an economy based on exports of agricultural goods to an economic model partially based on urban centers and import substitution industries (Merrick and Graham 1981; Romanelli 1986). The capitalist industrial economic model requires a massive educational system to provide productive and consumption capacity for its success (Romanelli 1986). In this sense, this change in production model of the country resulted in a redesign of the country’s educational policies.</w:t>
      </w:r>
    </w:p>
    <w:p w14:paraId="74755440" w14:textId="77777777" w:rsidR="000F7F6A" w:rsidRDefault="00952983">
      <w:pPr>
        <w:pStyle w:val="Corpodetexto"/>
      </w:pPr>
      <w:del w:id="43" w:author="Frank Japson" w:date="2020-11-05T13:34:00Z">
        <w:r w:rsidDel="0039707F">
          <w:delText>Along the</w:delText>
        </w:r>
      </w:del>
      <w:ins w:id="44" w:author="Frank Japson" w:date="2020-11-05T13:37:00Z">
        <w:r w:rsidR="0039707F">
          <w:t>T</w:t>
        </w:r>
      </w:ins>
      <w:del w:id="45" w:author="Frank Japson" w:date="2020-11-05T13:37:00Z">
        <w:r w:rsidDel="0039707F">
          <w:delText xml:space="preserve"> </w:delText>
        </w:r>
      </w:del>
      <w:del w:id="46" w:author="Frank Japson" w:date="2020-11-05T13:36:00Z">
        <w:r w:rsidDel="0039707F">
          <w:delText>history</w:delText>
        </w:r>
      </w:del>
      <w:del w:id="47" w:author="Frank Japson" w:date="2020-11-05T13:37:00Z">
        <w:r w:rsidDel="0039707F">
          <w:delText>, t</w:delText>
        </w:r>
      </w:del>
      <w:r>
        <w:t xml:space="preserve">his process of schooling expansion did not follow a linear development </w:t>
      </w:r>
      <w:del w:id="48" w:author="Frank Japson" w:date="2020-11-05T13:35:00Z">
        <w:r w:rsidDel="0039707F">
          <w:delText xml:space="preserve">through </w:delText>
        </w:r>
      </w:del>
      <w:ins w:id="49" w:author="Frank Japson" w:date="2020-11-05T13:35:00Z">
        <w:r w:rsidR="0039707F">
          <w:t xml:space="preserve">across </w:t>
        </w:r>
      </w:ins>
      <w:r>
        <w:t xml:space="preserve">education levels. For example, primary education has received lower investments for its expansion than secondary or tertiary education (Kang 2006; Komatsu et al. 2017; Romanelli 1986). This was partly explained by the adopted education administration structure between government entities. The </w:t>
      </w:r>
      <w:r>
        <w:lastRenderedPageBreak/>
        <w:t>administration of primary educational systems was under</w:t>
      </w:r>
      <w:ins w:id="50" w:author="Frank Japson" w:date="2020-11-05T13:38:00Z">
        <w:r w:rsidR="0039707F">
          <w:t xml:space="preserve"> </w:t>
        </w:r>
      </w:ins>
      <w:del w:id="51" w:author="Frank Japson" w:date="2020-11-05T13:38:00Z">
        <w:r w:rsidDel="0039707F">
          <w:delText xml:space="preserve"> the country’s </w:delText>
        </w:r>
      </w:del>
      <w:r>
        <w:t>state</w:t>
      </w:r>
      <w:del w:id="52" w:author="Frank Japson" w:date="2020-11-05T13:37:00Z">
        <w:r w:rsidDel="0039707F">
          <w:delText>s</w:delText>
        </w:r>
      </w:del>
      <w:r>
        <w:t xml:space="preserve"> and municipal accountability, </w:t>
      </w:r>
      <w:del w:id="53" w:author="Frank Japson" w:date="2020-11-05T13:38:00Z">
        <w:r w:rsidDel="0039707F">
          <w:delText xml:space="preserve">whereas </w:delText>
        </w:r>
      </w:del>
      <w:ins w:id="54" w:author="Frank Japson" w:date="2020-11-05T13:38:00Z">
        <w:r w:rsidR="0039707F">
          <w:t xml:space="preserve">while </w:t>
        </w:r>
      </w:ins>
      <w:r>
        <w:t xml:space="preserve">the financial resources were centralized </w:t>
      </w:r>
      <w:del w:id="55" w:author="Frank Japson" w:date="2020-11-05T13:39:00Z">
        <w:r w:rsidDel="0039707F">
          <w:delText>in the federal government</w:delText>
        </w:r>
      </w:del>
      <w:ins w:id="56" w:author="Frank Japson" w:date="2020-11-05T13:39:00Z">
        <w:r w:rsidR="0039707F">
          <w:t>at a federal government level</w:t>
        </w:r>
      </w:ins>
      <w:r>
        <w:t xml:space="preserve"> (Kang 2011), </w:t>
      </w:r>
      <w:del w:id="57" w:author="Frank Japson" w:date="2020-11-05T13:38:00Z">
        <w:r w:rsidDel="0039707F">
          <w:delText>and this last</w:delText>
        </w:r>
      </w:del>
      <w:ins w:id="58" w:author="Frank Japson" w:date="2020-11-05T13:38:00Z">
        <w:r w:rsidR="0039707F">
          <w:t>which</w:t>
        </w:r>
      </w:ins>
      <w:r>
        <w:t xml:space="preserve"> was also responsible for the </w:t>
      </w:r>
      <w:ins w:id="59" w:author="Frank Japson" w:date="2020-11-05T13:39:00Z">
        <w:r w:rsidR="0039707F">
          <w:t xml:space="preserve">regulation of the </w:t>
        </w:r>
      </w:ins>
      <w:r>
        <w:t>tertiary education</w:t>
      </w:r>
      <w:ins w:id="60" w:author="Frank Japson" w:date="2020-11-05T13:39:00Z">
        <w:r w:rsidR="0039707F">
          <w:t xml:space="preserve"> system</w:t>
        </w:r>
      </w:ins>
      <w:del w:id="61" w:author="Frank Japson" w:date="2020-11-05T13:39:00Z">
        <w:r w:rsidDel="0039707F">
          <w:delText xml:space="preserve"> regulation</w:delText>
        </w:r>
      </w:del>
      <w:r>
        <w:t xml:space="preserve">. Therefore, urbanized industrial municipalities (in the South and Southeast) had more resources to invest in primary education than underfunded areas (from North and Northeast), </w:t>
      </w:r>
      <w:del w:id="62" w:author="Frank Japson" w:date="2020-11-05T13:40:00Z">
        <w:r w:rsidDel="0039707F">
          <w:delText xml:space="preserve">and </w:delText>
        </w:r>
      </w:del>
      <w:ins w:id="63" w:author="Frank Japson" w:date="2020-11-05T13:40:00Z">
        <w:r w:rsidR="0039707F">
          <w:t xml:space="preserve">which will </w:t>
        </w:r>
      </w:ins>
      <w:del w:id="64" w:author="Frank Japson" w:date="2020-11-05T13:40:00Z">
        <w:r w:rsidDel="0039707F">
          <w:delText xml:space="preserve">that reflects </w:delText>
        </w:r>
      </w:del>
      <w:r>
        <w:t xml:space="preserve">later </w:t>
      </w:r>
      <w:ins w:id="65" w:author="Frank Japson" w:date="2020-11-05T13:40:00Z">
        <w:r w:rsidR="0039707F">
          <w:t xml:space="preserve">be reflected </w:t>
        </w:r>
      </w:ins>
      <w:r>
        <w:t xml:space="preserve">in the structural inequalities that are still </w:t>
      </w:r>
      <w:del w:id="66" w:author="Frank Japson" w:date="2020-11-05T13:40:00Z">
        <w:r w:rsidDel="0039707F">
          <w:delText xml:space="preserve">exposed </w:delText>
        </w:r>
      </w:del>
      <w:ins w:id="67" w:author="Frank Japson" w:date="2020-11-05T13:40:00Z">
        <w:r w:rsidR="0039707F">
          <w:t xml:space="preserve">visible </w:t>
        </w:r>
      </w:ins>
      <w:del w:id="68" w:author="Frank Japson" w:date="2020-11-05T13:40:00Z">
        <w:r w:rsidDel="0039707F">
          <w:delText xml:space="preserve">over </w:delText>
        </w:r>
      </w:del>
      <w:ins w:id="69" w:author="Frank Japson" w:date="2020-11-05T13:40:00Z">
        <w:r w:rsidR="0039707F">
          <w:t xml:space="preserve">in </w:t>
        </w:r>
      </w:ins>
      <w:r>
        <w:t xml:space="preserve">the country </w:t>
      </w:r>
      <w:ins w:id="70" w:author="Frank Japson" w:date="2020-11-05T13:40:00Z">
        <w:r w:rsidR="0039707F">
          <w:t xml:space="preserve">to this day </w:t>
        </w:r>
      </w:ins>
      <w:r>
        <w:t xml:space="preserve">(Barros and </w:t>
      </w:r>
      <w:proofErr w:type="spellStart"/>
      <w:r>
        <w:t>Mendonça</w:t>
      </w:r>
      <w:proofErr w:type="spellEnd"/>
      <w:r>
        <w:t xml:space="preserve"> 1995; Komatsu et al. 2017; Merrick and Graham 1981; Wood and Carvalho 1988).</w:t>
      </w:r>
    </w:p>
    <w:p w14:paraId="542E17DB" w14:textId="77777777" w:rsidR="000F7F6A" w:rsidRDefault="00952983">
      <w:pPr>
        <w:pStyle w:val="Corpodetexto"/>
      </w:pPr>
      <w:r>
        <w:t>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 “</w:t>
      </w:r>
      <w:proofErr w:type="spellStart"/>
      <w:r>
        <w:t>Anísio</w:t>
      </w:r>
      <w:proofErr w:type="spellEnd"/>
      <w:r>
        <w:t xml:space="preserve"> Teixeira”), the National Institute of Geography and Statistics (responsible for country’s statistics and national censuses), and national services of industrial and commercial education (</w:t>
      </w:r>
      <w:proofErr w:type="spellStart"/>
      <w:r>
        <w:t>Marcílio</w:t>
      </w:r>
      <w:proofErr w:type="spellEnd"/>
      <w:r>
        <w:t xml:space="preserve"> 2014). In 1961, the first Law of Directives and Bases of National Education, reviewed in 1971, set up the obligation of basic education to the whole population, and established the bases of the current educational system of the country, composed </w:t>
      </w:r>
      <w:r>
        <w:lastRenderedPageBreak/>
        <w:t>by primary and secondary compulsory schooling (</w:t>
      </w:r>
      <w:proofErr w:type="spellStart"/>
      <w:r>
        <w:t>Marcílio</w:t>
      </w:r>
      <w:proofErr w:type="spellEnd"/>
      <w:r>
        <w:t xml:space="preserve"> 2014). From 1970 to 2000, Brazil experienced relevant increases in enrollment rates </w:t>
      </w:r>
      <w:del w:id="71" w:author="Frank Japson" w:date="2020-11-05T13:43:00Z">
        <w:r w:rsidDel="0039707F">
          <w:delText xml:space="preserve">in </w:delText>
        </w:r>
      </w:del>
      <w:ins w:id="72" w:author="Frank Japson" w:date="2020-11-05T13:43:00Z">
        <w:r w:rsidR="0039707F">
          <w:t xml:space="preserve">across </w:t>
        </w:r>
      </w:ins>
      <w:r>
        <w:t xml:space="preserve">all educational levels (Komatsu et al. 2017), </w:t>
      </w:r>
      <w:del w:id="73" w:author="Frank Japson" w:date="2020-11-05T13:44:00Z">
        <w:r w:rsidDel="0039707F">
          <w:delText xml:space="preserve">and in the 1990s the country </w:delText>
        </w:r>
      </w:del>
      <w:r>
        <w:t>finally achiev</w:t>
      </w:r>
      <w:ins w:id="74" w:author="Frank Japson" w:date="2020-11-05T13:44:00Z">
        <w:r w:rsidR="0039707F">
          <w:t>ing</w:t>
        </w:r>
      </w:ins>
      <w:del w:id="75" w:author="Frank Japson" w:date="2020-11-05T13:44:00Z">
        <w:r w:rsidDel="0039707F">
          <w:delText>ed</w:delText>
        </w:r>
      </w:del>
      <w:r>
        <w:t xml:space="preserve"> universal primary schooling enrollment </w:t>
      </w:r>
      <w:ins w:id="76" w:author="Frank Japson" w:date="2020-11-05T13:44:00Z">
        <w:r w:rsidR="0039707F">
          <w:t xml:space="preserve">in the 1990s </w:t>
        </w:r>
      </w:ins>
      <w:r>
        <w:t>(Castro 1998).</w:t>
      </w:r>
    </w:p>
    <w:p w14:paraId="07560919" w14:textId="77777777" w:rsidR="000F7F6A" w:rsidRDefault="00952983">
      <w:pPr>
        <w:pStyle w:val="Corpodetexto"/>
      </w:pPr>
      <w:r>
        <w:t xml:space="preserve">The educational composition of the Brazilian population changed over the course of the </w:t>
      </w:r>
      <w:del w:id="77" w:author="Frank Japson" w:date="2020-11-05T13:44:00Z">
        <w:r w:rsidDel="0039707F">
          <w:delText xml:space="preserve">Twenty </w:delText>
        </w:r>
      </w:del>
      <w:ins w:id="78" w:author="Frank Japson" w:date="2020-11-05T13:44:00Z">
        <w:r w:rsidR="0039707F">
          <w:t>20</w:t>
        </w:r>
        <w:r w:rsidR="0039707F" w:rsidRPr="000D223A">
          <w:rPr>
            <w:vertAlign w:val="superscript"/>
          </w:rPr>
          <w:t>th</w:t>
        </w:r>
        <w:r w:rsidR="0039707F">
          <w:t xml:space="preserve"> </w:t>
        </w:r>
      </w:ins>
      <w:del w:id="79" w:author="Frank Japson" w:date="2020-11-05T13:44:00Z">
        <w:r w:rsidDel="0039707F">
          <w:delText xml:space="preserve">century </w:delText>
        </w:r>
      </w:del>
      <w:ins w:id="80" w:author="Frank Japson" w:date="2020-11-05T13:44:00Z">
        <w:r w:rsidR="0039707F">
          <w:t xml:space="preserve">century </w:t>
        </w:r>
      </w:ins>
      <w:r>
        <w:t>(</w:t>
      </w:r>
      <w:proofErr w:type="spellStart"/>
      <w:r>
        <w:t>Fígoli</w:t>
      </w:r>
      <w:proofErr w:type="spellEnd"/>
      <w:r>
        <w:t xml:space="preserve"> 2006) Women were significantly affected by this educational expansion. At </w:t>
      </w:r>
      <w:del w:id="81" w:author="Frank Japson" w:date="2020-11-05T13:46:00Z">
        <w:r w:rsidDel="0039707F">
          <w:delText>the beginning</w:delText>
        </w:r>
      </w:del>
      <w:ins w:id="82" w:author="Frank Japson" w:date="2020-11-05T13:46:00Z">
        <w:r w:rsidR="0039707F">
          <w:t>first</w:t>
        </w:r>
      </w:ins>
      <w:r>
        <w:t xml:space="preserve">, females benefited </w:t>
      </w:r>
      <w:del w:id="83" w:author="Frank Japson" w:date="2020-11-05T13:46:00Z">
        <w:r w:rsidDel="00CC1ECB">
          <w:delText xml:space="preserve">of </w:delText>
        </w:r>
      </w:del>
      <w:ins w:id="84" w:author="Frank Japson" w:date="2020-11-05T13:46:00Z">
        <w:r w:rsidR="00CC1ECB">
          <w:t xml:space="preserve">from </w:t>
        </w:r>
      </w:ins>
      <w:r>
        <w:t xml:space="preserve">schooling gains through a </w:t>
      </w:r>
      <w:del w:id="85" w:author="Frank Japson" w:date="2020-11-05T13:46:00Z">
        <w:r w:rsidDel="00CC1ECB">
          <w:delText>sex</w:delText>
        </w:r>
      </w:del>
      <w:ins w:id="86" w:author="Frank Japson" w:date="2020-11-05T13:46:00Z">
        <w:r w:rsidR="00CC1ECB">
          <w:t>gender</w:t>
        </w:r>
      </w:ins>
      <w:r>
        <w:t>-stratified educational system, in which they received instruction to operate in specific labor sectors such as health, hospitality and education (</w:t>
      </w:r>
      <w:proofErr w:type="spellStart"/>
      <w:r>
        <w:t>Besse</w:t>
      </w:r>
      <w:proofErr w:type="spellEnd"/>
      <w:r>
        <w:t xml:space="preserve"> 1999). This process affected </w:t>
      </w:r>
      <w:ins w:id="87" w:author="Frank Japson" w:date="2020-11-05T13:46:00Z">
        <w:r w:rsidR="00CC1ECB">
          <w:t xml:space="preserve">the </w:t>
        </w:r>
      </w:ins>
      <w:r>
        <w:t xml:space="preserve">female labor market status and created wage inequalities between men and women, but it also fostered women the opportunity to leave </w:t>
      </w:r>
      <w:del w:id="88" w:author="Frank Japson" w:date="2020-11-05T13:47:00Z">
        <w:r w:rsidDel="00CC1ECB">
          <w:delText>private spaces (household or family)</w:delText>
        </w:r>
      </w:del>
      <w:ins w:id="89" w:author="Frank Japson" w:date="2020-11-05T13:47:00Z">
        <w:r w:rsidR="00CC1ECB">
          <w:t>their household</w:t>
        </w:r>
      </w:ins>
      <w:r>
        <w:t xml:space="preserve"> and to participate more in the public spheres of the society (public spaces such as commerce and labor market) (Azevedo and Ferreira 2006; </w:t>
      </w:r>
      <w:proofErr w:type="spellStart"/>
      <w:r>
        <w:t>Maluf</w:t>
      </w:r>
      <w:proofErr w:type="spellEnd"/>
      <w:r>
        <w:t xml:space="preserve"> and Mott 1998).</w:t>
      </w:r>
    </w:p>
    <w:p w14:paraId="0AA7C413" w14:textId="77777777" w:rsidR="000F7F6A" w:rsidRDefault="00952983">
      <w:pPr>
        <w:pStyle w:val="Corpodetexto"/>
      </w:pPr>
      <w:r>
        <w:t>In sum, female schooling resulted in the reversion of male educational advantages (</w:t>
      </w:r>
      <w:proofErr w:type="spellStart"/>
      <w:r>
        <w:t>Beltrão</w:t>
      </w:r>
      <w:proofErr w:type="spellEnd"/>
      <w:r>
        <w:t xml:space="preserve"> and Alves 2009), and it has promoted important transformations in gender relations and social norms of the country through the course of the </w:t>
      </w:r>
      <w:del w:id="90" w:author="Frank Japson" w:date="2020-11-05T13:47:00Z">
        <w:r w:rsidDel="00CC1ECB">
          <w:delText xml:space="preserve">Twenty </w:delText>
        </w:r>
      </w:del>
      <w:ins w:id="91" w:author="Frank Japson" w:date="2020-11-05T13:47:00Z">
        <w:r w:rsidR="00CC1ECB">
          <w:t>20</w:t>
        </w:r>
        <w:r w:rsidR="00CC1ECB" w:rsidRPr="000D223A">
          <w:rPr>
            <w:vertAlign w:val="superscript"/>
          </w:rPr>
          <w:t>t</w:t>
        </w:r>
      </w:ins>
      <w:ins w:id="92" w:author="Frank Japson" w:date="2020-11-05T13:48:00Z">
        <w:r w:rsidR="00CC1ECB" w:rsidRPr="000D223A">
          <w:rPr>
            <w:vertAlign w:val="superscript"/>
          </w:rPr>
          <w:t>h</w:t>
        </w:r>
        <w:r w:rsidR="00CC1ECB">
          <w:t xml:space="preserve"> </w:t>
        </w:r>
      </w:ins>
      <w:r>
        <w:t>century (</w:t>
      </w:r>
      <w:proofErr w:type="spellStart"/>
      <w:r>
        <w:t>Itaboraí</w:t>
      </w:r>
      <w:proofErr w:type="spellEnd"/>
      <w:r>
        <w:t xml:space="preserve"> 2015). As </w:t>
      </w:r>
      <w:del w:id="93" w:author="Frank Japson" w:date="2020-11-05T13:48:00Z">
        <w:r w:rsidDel="00CC1ECB">
          <w:delText>results</w:delText>
        </w:r>
      </w:del>
      <w:ins w:id="94" w:author="Frank Japson" w:date="2020-11-05T13:48:00Z">
        <w:r w:rsidR="00CC1ECB">
          <w:t>a result</w:t>
        </w:r>
      </w:ins>
      <w:r>
        <w:t>, we saw an increasing participation of women in the labor market (</w:t>
      </w:r>
      <w:proofErr w:type="spellStart"/>
      <w:r>
        <w:t>Scorzafave</w:t>
      </w:r>
      <w:proofErr w:type="spellEnd"/>
      <w:r>
        <w:t xml:space="preserve"> and Menezes-Filho 2001) and their larger </w:t>
      </w:r>
      <w:r>
        <w:lastRenderedPageBreak/>
        <w:t>attendance in secondary and tertiary education (</w:t>
      </w:r>
      <w:proofErr w:type="spellStart"/>
      <w:r>
        <w:t>Godinho</w:t>
      </w:r>
      <w:proofErr w:type="spellEnd"/>
      <w:r>
        <w:t xml:space="preserve"> et al. 2006). Notwithstanding, higher school enrollments led to significant changes in educational composition of the population (</w:t>
      </w:r>
      <w:proofErr w:type="spellStart"/>
      <w:r>
        <w:t>Fígoli</w:t>
      </w:r>
      <w:proofErr w:type="spellEnd"/>
      <w:r>
        <w:t xml:space="preserve"> 2006), notably for women. </w:t>
      </w:r>
      <w:del w:id="95" w:author="Frank Japson" w:date="2020-11-05T13:48:00Z">
        <w:r w:rsidDel="00CC1ECB">
          <w:delText xml:space="preserve">Through </w:delText>
        </w:r>
      </w:del>
      <w:ins w:id="96" w:author="Frank Japson" w:date="2020-11-05T13:48:00Z">
        <w:r w:rsidR="00CC1ECB">
          <w:t>In the</w:t>
        </w:r>
      </w:ins>
      <w:ins w:id="97" w:author="Frank Japson" w:date="2020-11-05T13:49:00Z">
        <w:r w:rsidR="00CC1ECB">
          <w:t xml:space="preserve"> course of</w:t>
        </w:r>
      </w:ins>
      <w:ins w:id="98" w:author="Frank Japson" w:date="2020-11-05T13:48:00Z">
        <w:r w:rsidR="00CC1ECB">
          <w:t xml:space="preserve"> </w:t>
        </w:r>
      </w:ins>
      <w:del w:id="99" w:author="Frank Japson" w:date="2020-11-05T13:48:00Z">
        <w:r w:rsidDel="00CC1ECB">
          <w:delText xml:space="preserve">the course of </w:delText>
        </w:r>
      </w:del>
      <w:r>
        <w:t>the country</w:t>
      </w:r>
      <w:ins w:id="100" w:author="Frank Japson" w:date="2020-11-05T13:48:00Z">
        <w:r w:rsidR="00CC1ECB">
          <w:t>’s</w:t>
        </w:r>
      </w:ins>
      <w:r>
        <w:t xml:space="preserve"> fertility transition</w:t>
      </w:r>
      <w:del w:id="101" w:author="Frank Japson" w:date="2020-11-05T14:04:00Z">
        <w:r w:rsidDel="001A411B">
          <w:delText>,</w:delText>
        </w:r>
      </w:del>
      <w:r>
        <w:t xml:space="preserve"> women achieved higher educational gains than men (</w:t>
      </w:r>
      <w:proofErr w:type="spellStart"/>
      <w:r>
        <w:t>Beltrão</w:t>
      </w:r>
      <w:proofErr w:type="spellEnd"/>
      <w:r>
        <w:t xml:space="preserve"> and Alves 2009; Ribeiro and Silva 2009), which </w:t>
      </w:r>
      <w:ins w:id="102" w:author="Frank Japson" w:date="2020-11-05T14:03:00Z">
        <w:r w:rsidR="001A411B">
          <w:t>consequential</w:t>
        </w:r>
      </w:ins>
      <w:ins w:id="103" w:author="Frank Japson" w:date="2020-11-05T14:04:00Z">
        <w:r w:rsidR="001A411B">
          <w:t xml:space="preserve">ly </w:t>
        </w:r>
      </w:ins>
      <w:del w:id="104" w:author="Frank Japson" w:date="2020-11-05T14:04:00Z">
        <w:r w:rsidDel="001A411B">
          <w:delText xml:space="preserve">endorsed </w:delText>
        </w:r>
      </w:del>
      <w:ins w:id="105" w:author="Frank Japson" w:date="2020-11-05T14:04:00Z">
        <w:r w:rsidR="001A411B">
          <w:t xml:space="preserve">propelled </w:t>
        </w:r>
      </w:ins>
      <w:ins w:id="106" w:author="Frank Japson" w:date="2020-11-05T14:03:00Z">
        <w:r w:rsidR="001A411B">
          <w:t xml:space="preserve">a </w:t>
        </w:r>
      </w:ins>
      <w:r>
        <w:t>decrease</w:t>
      </w:r>
      <w:del w:id="107" w:author="Frank Japson" w:date="2020-11-05T14:03:00Z">
        <w:r w:rsidDel="001A411B">
          <w:delText>s</w:delText>
        </w:r>
      </w:del>
      <w:r>
        <w:t xml:space="preserve"> </w:t>
      </w:r>
      <w:del w:id="108" w:author="Frank Japson" w:date="2020-11-05T14:03:00Z">
        <w:r w:rsidDel="001A411B">
          <w:delText>of</w:delText>
        </w:r>
      </w:del>
      <w:ins w:id="109" w:author="Frank Japson" w:date="2020-11-05T14:03:00Z">
        <w:r w:rsidR="001A411B">
          <w:t>in</w:t>
        </w:r>
      </w:ins>
      <w:r>
        <w:t xml:space="preserve"> educational hypergamy </w:t>
      </w:r>
      <w:ins w:id="110" w:author="Frank Japson" w:date="2020-11-05T14:03:00Z">
        <w:r w:rsidR="001A411B">
          <w:t xml:space="preserve">– </w:t>
        </w:r>
      </w:ins>
      <w:del w:id="111" w:author="Frank Japson" w:date="2020-11-05T14:03:00Z">
        <w:r w:rsidDel="001A411B">
          <w:delText>(</w:delText>
        </w:r>
      </w:del>
      <w:r>
        <w:t>matrimonial profiles in which male partners have higher educational attainment level than their female partners</w:t>
      </w:r>
      <w:del w:id="112" w:author="Frank Japson" w:date="2020-11-05T14:03:00Z">
        <w:r w:rsidDel="001A411B">
          <w:delText>)</w:delText>
        </w:r>
      </w:del>
      <w:r>
        <w:t xml:space="preserve"> </w:t>
      </w:r>
      <w:del w:id="113" w:author="Frank Japson" w:date="2020-11-05T14:03:00Z">
        <w:r w:rsidDel="001A411B">
          <w:delText xml:space="preserve">as consequence </w:delText>
        </w:r>
      </w:del>
      <w:r>
        <w:t>(Ribeiro and Silva 2009).</w:t>
      </w:r>
    </w:p>
    <w:p w14:paraId="6119C506" w14:textId="77777777" w:rsidR="000F7F6A" w:rsidRDefault="00952983">
      <w:pPr>
        <w:pStyle w:val="Ttulo2"/>
      </w:pPr>
      <w:bookmarkStart w:id="114" w:name="assortative-matching-trends-in-brazil"/>
      <w:r>
        <w:t>2.2 Assortative matching trends in Brazil</w:t>
      </w:r>
      <w:bookmarkEnd w:id="114"/>
    </w:p>
    <w:p w14:paraId="34A852E5" w14:textId="77777777" w:rsidR="000F7F6A" w:rsidRDefault="00952983">
      <w:pPr>
        <w:pStyle w:val="FirstParagraph"/>
      </w:pPr>
      <w:r>
        <w:t>The population’s assortative matching patterns depends to a great extent on the heterogeneity of social characteristics of its individuals (</w:t>
      </w:r>
      <w:proofErr w:type="spellStart"/>
      <w:r>
        <w:t>Blau</w:t>
      </w:r>
      <w:proofErr w:type="spellEnd"/>
      <w:r>
        <w:t xml:space="preserve"> and Schwartz 1997). Conjugal unions represent an opportunity of social interaction </w:t>
      </w:r>
      <w:del w:id="115" w:author="Frank Japson" w:date="2020-11-05T14:36:00Z">
        <w:r w:rsidDel="00882B1E">
          <w:delText xml:space="preserve">among </w:delText>
        </w:r>
      </w:del>
      <w:ins w:id="116" w:author="Frank Japson" w:date="2020-11-05T14:36:00Z">
        <w:r w:rsidR="00882B1E">
          <w:t xml:space="preserve">between </w:t>
        </w:r>
      </w:ins>
      <w:del w:id="117" w:author="Frank Japson" w:date="2020-11-05T14:36:00Z">
        <w:r w:rsidDel="00882B1E">
          <w:delText xml:space="preserve">distinguished </w:delText>
        </w:r>
      </w:del>
      <w:ins w:id="118" w:author="Frank Japson" w:date="2020-11-05T14:36:00Z">
        <w:r w:rsidR="00882B1E">
          <w:t xml:space="preserve">distinct </w:t>
        </w:r>
      </w:ins>
      <w:r>
        <w:t>social groups, but this interaction depends on the matrimonial market’s composition and the size of each group in question (</w:t>
      </w:r>
      <w:proofErr w:type="spellStart"/>
      <w:r>
        <w:t>Kalmijn</w:t>
      </w:r>
      <w:proofErr w:type="spellEnd"/>
      <w:r>
        <w:t xml:space="preserve"> 1998). In this context of study, educational composition of conjugal markets plays an important role and are usually analyzed by demographers due to some important advantages over other socioeconomic indicators</w:t>
      </w:r>
      <w:ins w:id="119" w:author="Frank Japson" w:date="2020-11-05T14:56:00Z">
        <w:r w:rsidR="00FB6A45">
          <w:t>,</w:t>
        </w:r>
      </w:ins>
      <w:r>
        <w:t xml:space="preserve"> such as income. Besides its importance in shaping an individual’s life course, preferences and professional realizations, education attainment is usually stable over time for adults. Individual income, on the other hand, is volatile and </w:t>
      </w:r>
      <w:r>
        <w:lastRenderedPageBreak/>
        <w:t>sensitive to macroeconomic fluctuations (</w:t>
      </w:r>
      <w:proofErr w:type="spellStart"/>
      <w:r>
        <w:t>Esteve</w:t>
      </w:r>
      <w:proofErr w:type="spellEnd"/>
      <w:r>
        <w:t xml:space="preserve">, Garcia-Román, and </w:t>
      </w:r>
      <w:proofErr w:type="spellStart"/>
      <w:r>
        <w:t>Permanyer</w:t>
      </w:r>
      <w:proofErr w:type="spellEnd"/>
      <w:r>
        <w:t xml:space="preserve"> 2012; </w:t>
      </w:r>
      <w:proofErr w:type="spellStart"/>
      <w:r>
        <w:t>Kalmijn</w:t>
      </w:r>
      <w:proofErr w:type="spellEnd"/>
      <w:r>
        <w:t xml:space="preserve"> 1998; Mare 1991; Warren 1966).</w:t>
      </w:r>
    </w:p>
    <w:p w14:paraId="3880DB42" w14:textId="77777777" w:rsidR="000F7F6A" w:rsidRDefault="00952983">
      <w:pPr>
        <w:pStyle w:val="Corpodetexto"/>
      </w:pPr>
      <w:del w:id="120" w:author="Frank Japson" w:date="2020-11-05T14:57:00Z">
        <w:r w:rsidDel="00F75C56">
          <w:delText>The s</w:delText>
        </w:r>
      </w:del>
      <w:ins w:id="121" w:author="Frank Japson" w:date="2020-11-05T14:57:00Z">
        <w:r w:rsidR="00F75C56">
          <w:t>S</w:t>
        </w:r>
      </w:ins>
      <w:r>
        <w:t xml:space="preserve">chools </w:t>
      </w:r>
      <w:del w:id="122" w:author="Frank Japson" w:date="2020-11-05T14:57:00Z">
        <w:r w:rsidDel="00F75C56">
          <w:delText>are the</w:delText>
        </w:r>
      </w:del>
      <w:ins w:id="123" w:author="Frank Japson" w:date="2020-11-05T14:57:00Z">
        <w:r w:rsidR="00F75C56">
          <w:t>form the</w:t>
        </w:r>
      </w:ins>
      <w:r>
        <w:t xml:space="preserve"> environment that shapes social networks among individuals</w:t>
      </w:r>
      <w:del w:id="124" w:author="Frank Japson" w:date="2020-11-05T14:58:00Z">
        <w:r w:rsidDel="00F75C56">
          <w:delText>,</w:delText>
        </w:r>
      </w:del>
      <w:r>
        <w:t xml:space="preserve"> </w:t>
      </w:r>
      <w:ins w:id="125" w:author="Frank Japson" w:date="2020-11-05T14:58:00Z">
        <w:r w:rsidR="00F75C56">
          <w:t xml:space="preserve">and </w:t>
        </w:r>
      </w:ins>
      <w:r>
        <w:t>in which union formation generally takes place (</w:t>
      </w:r>
      <w:proofErr w:type="spellStart"/>
      <w:r>
        <w:t>Eckland</w:t>
      </w:r>
      <w:proofErr w:type="spellEnd"/>
      <w:r>
        <w:t xml:space="preserve"> 1968; Warren 1966). Therefore, the massification of formal education is one of the drivers of the biased (and sometimes unconscious) allocation of couples in matrimonial formation. In general, matrimonial unions take place between people of similar educational levels, due to closer social contact of school classmates and the shared human capital formation (</w:t>
      </w:r>
      <w:proofErr w:type="spellStart"/>
      <w:r>
        <w:t>Kalmijn</w:t>
      </w:r>
      <w:proofErr w:type="spellEnd"/>
      <w:r>
        <w:t xml:space="preserve"> 1998). </w:t>
      </w:r>
      <w:del w:id="126" w:author="Frank Japson" w:date="2020-11-05T15:48:00Z">
        <w:r w:rsidDel="00ED1814">
          <w:delText>The c</w:delText>
        </w:r>
      </w:del>
      <w:ins w:id="127" w:author="Frank Japson" w:date="2020-11-05T15:48:00Z">
        <w:r w:rsidR="00ED1814">
          <w:t>C</w:t>
        </w:r>
      </w:ins>
      <w:r>
        <w:t>ollege</w:t>
      </w:r>
      <w:ins w:id="128" w:author="Frank Japson" w:date="2020-11-05T15:48:00Z">
        <w:r w:rsidR="00ED1814">
          <w:t>-</w:t>
        </w:r>
      </w:ins>
      <w:del w:id="129" w:author="Frank Japson" w:date="2020-11-05T15:48:00Z">
        <w:r w:rsidDel="00ED1814">
          <w:delText xml:space="preserve"> </w:delText>
        </w:r>
      </w:del>
      <w:r>
        <w:t>educated couples give a good example of high homogamy (unions of individuals with similar characteristics) rates around the world, since these individuals have spent most of their youth in the educational system with similar peers (Mare 1991), favoring a posterior matrimonial formation.</w:t>
      </w:r>
    </w:p>
    <w:p w14:paraId="42683211" w14:textId="77777777" w:rsidR="000F7F6A" w:rsidRDefault="00952983">
      <w:pPr>
        <w:pStyle w:val="Corpodetexto"/>
      </w:pPr>
      <w:r>
        <w:t xml:space="preserve">The educational composition changes in Brazilian society were not only responsible for fertility decline (Lam, </w:t>
      </w:r>
      <w:proofErr w:type="spellStart"/>
      <w:r>
        <w:t>Sedlacek</w:t>
      </w:r>
      <w:proofErr w:type="spellEnd"/>
      <w:r>
        <w:t>, and Duryea 1992)</w:t>
      </w:r>
      <w:del w:id="130" w:author="Frank Japson" w:date="2020-11-05T15:48:00Z">
        <w:r w:rsidDel="00ED1814">
          <w:delText>,</w:delText>
        </w:r>
      </w:del>
      <w:r>
        <w:t xml:space="preserve">, but it had also major effects on the patterns of the country’s assortative matching (Ribeiro and Silva 2009). Both educational hypogamy (couples in which females have higher education level than their partners) and educational hypergamy (couples in which females have </w:t>
      </w:r>
      <w:ins w:id="131" w:author="Manilo Franklin" w:date="2020-11-06T10:34:00Z">
        <w:r w:rsidR="00CF32BA">
          <w:t xml:space="preserve">a </w:t>
        </w:r>
      </w:ins>
      <w:r>
        <w:t xml:space="preserve">lower education level than their partners) increased expressively from 1970 to 2010. Although, educational hypogamy increased at a higher pace due </w:t>
      </w:r>
      <w:r>
        <w:lastRenderedPageBreak/>
        <w:t>to female accelerated educational gains in the same period considered (</w:t>
      </w:r>
      <w:proofErr w:type="spellStart"/>
      <w:r>
        <w:t>Esteve</w:t>
      </w:r>
      <w:proofErr w:type="spellEnd"/>
      <w:r>
        <w:t xml:space="preserve">, Garcia-Román, and </w:t>
      </w:r>
      <w:proofErr w:type="spellStart"/>
      <w:r>
        <w:t>Permanyer</w:t>
      </w:r>
      <w:proofErr w:type="spellEnd"/>
      <w:r>
        <w:t xml:space="preserve"> 2012; </w:t>
      </w:r>
      <w:proofErr w:type="spellStart"/>
      <w:r>
        <w:t>Esteve</w:t>
      </w:r>
      <w:proofErr w:type="spellEnd"/>
      <w:r>
        <w:t xml:space="preserve"> and McCaa 2007; Ribeiro and Silva 2009). The prevalence of educational homogamy (couples with the same educational level), on the other hand, has decreased over the time (</w:t>
      </w:r>
      <w:proofErr w:type="spellStart"/>
      <w:r>
        <w:t>Esteve</w:t>
      </w:r>
      <w:proofErr w:type="spellEnd"/>
      <w:r>
        <w:t xml:space="preserve"> and McCaa 2007; Ribeiro and Silva 2009).</w:t>
      </w:r>
    </w:p>
    <w:p w14:paraId="32558DC5" w14:textId="77777777" w:rsidR="000F7F6A" w:rsidRDefault="00952983">
      <w:pPr>
        <w:pStyle w:val="Corpodetexto"/>
      </w:pPr>
      <w:r>
        <w:t>In Brazil, the homogamous mating has a major prevalence between lower educated social groups, and its reduction rates can be attributed to the expansion of the country’s educational system (Ribeiro and Silva 2009). On the other hand, highly schooled couples also show high educational homogamy rates (</w:t>
      </w:r>
      <w:proofErr w:type="spellStart"/>
      <w:r>
        <w:t>Esteve</w:t>
      </w:r>
      <w:proofErr w:type="spellEnd"/>
      <w:r>
        <w:t xml:space="preserve"> and McCaa 2007; Ribeiro and Silva 2009), and that fact shed</w:t>
      </w:r>
      <w:ins w:id="132" w:author="Manilo Franklin" w:date="2020-11-06T10:37:00Z">
        <w:r w:rsidR="00CF32BA">
          <w:t>s</w:t>
        </w:r>
      </w:ins>
      <w:r>
        <w:t xml:space="preserve"> light on the existing societal barriers in </w:t>
      </w:r>
      <w:del w:id="133" w:author="Manilo Franklin" w:date="2020-11-06T10:39:00Z">
        <w:r w:rsidDel="00CF32BA">
          <w:delText xml:space="preserve">disfavor </w:delText>
        </w:r>
      </w:del>
      <w:ins w:id="134" w:author="Manilo Franklin" w:date="2020-11-06T10:39:00Z">
        <w:r w:rsidR="00CF32BA">
          <w:t xml:space="preserve">detriment </w:t>
        </w:r>
      </w:ins>
      <w:r>
        <w:t>of the social interactions between groups of different educational backgrounds (</w:t>
      </w:r>
      <w:proofErr w:type="spellStart"/>
      <w:r>
        <w:t>Torche</w:t>
      </w:r>
      <w:proofErr w:type="spellEnd"/>
      <w:r>
        <w:t xml:space="preserve"> 2010). For this reason, </w:t>
      </w:r>
      <w:ins w:id="135" w:author="Manilo Franklin" w:date="2020-11-06T10:39:00Z">
        <w:r w:rsidR="00CF32BA">
          <w:t>with</w:t>
        </w:r>
      </w:ins>
      <w:r>
        <w:t>in a context of changing gender norms and diversifying assortative mating profiles, it is essential to consider the characteristics of both partners and to evaluate their role on fertility schedules across societies (</w:t>
      </w:r>
      <w:proofErr w:type="spellStart"/>
      <w:r>
        <w:t>Nitsche</w:t>
      </w:r>
      <w:proofErr w:type="spellEnd"/>
      <w:r>
        <w:t xml:space="preserve"> et al. 2018).</w:t>
      </w:r>
    </w:p>
    <w:p w14:paraId="172C7F02" w14:textId="77777777" w:rsidR="000F7F6A" w:rsidRDefault="00952983">
      <w:pPr>
        <w:pStyle w:val="Ttulo2"/>
      </w:pPr>
      <w:bookmarkStart w:id="136" w:name="reproductive-decision-making-and-family-"/>
      <w:r>
        <w:t>2.3 Reproductive decision making and family conflicts</w:t>
      </w:r>
      <w:bookmarkEnd w:id="136"/>
    </w:p>
    <w:p w14:paraId="21112B4C" w14:textId="77777777" w:rsidR="000F7F6A" w:rsidRDefault="00952983">
      <w:pPr>
        <w:pStyle w:val="FirstParagraph"/>
      </w:pPr>
      <w:r>
        <w:t>Despite its relevant role in population reproduction, male and female interactions in fertility decision making have been scarcely analyzed in demography (</w:t>
      </w:r>
      <w:proofErr w:type="spellStart"/>
      <w:r>
        <w:t>Nitsche</w:t>
      </w:r>
      <w:proofErr w:type="spellEnd"/>
      <w:r>
        <w:t xml:space="preserve"> et al. 2018). </w:t>
      </w:r>
      <w:del w:id="137" w:author="Manilo Franklin" w:date="2020-11-06T12:51:00Z">
        <w:r w:rsidDel="00D45AE7">
          <w:delText>Generally</w:delText>
        </w:r>
      </w:del>
      <w:ins w:id="138" w:author="Manilo Franklin" w:date="2020-11-06T12:51:00Z">
        <w:r w:rsidR="00D45AE7">
          <w:t>Generally,</w:t>
        </w:r>
      </w:ins>
      <w:r>
        <w:t xml:space="preserve"> in reproductive </w:t>
      </w:r>
      <w:r>
        <w:lastRenderedPageBreak/>
        <w:t>studies</w:t>
      </w:r>
      <w:del w:id="139" w:author="Manilo Franklin" w:date="2020-11-06T12:51:00Z">
        <w:r w:rsidDel="00D45AE7">
          <w:delText>,</w:delText>
        </w:r>
      </w:del>
      <w:ins w:id="140" w:author="Manilo Franklin" w:date="2020-11-06T12:51:00Z">
        <w:r w:rsidR="00D45AE7">
          <w:t xml:space="preserve"> </w:t>
        </w:r>
      </w:ins>
      <w:del w:id="141" w:author="Manilo Franklin" w:date="2020-11-06T12:51:00Z">
        <w:r w:rsidDel="00D45AE7">
          <w:delText xml:space="preserve"> </w:delText>
        </w:r>
      </w:del>
      <w:r>
        <w:t>males are left out of fertility analysis (</w:t>
      </w:r>
      <w:proofErr w:type="spellStart"/>
      <w:r>
        <w:t>Goldscheider</w:t>
      </w:r>
      <w:proofErr w:type="spellEnd"/>
      <w:r>
        <w:t xml:space="preserve"> and Kaufman 1996; Oliveira, </w:t>
      </w:r>
      <w:proofErr w:type="spellStart"/>
      <w:r>
        <w:t>Bilac</w:t>
      </w:r>
      <w:proofErr w:type="spellEnd"/>
      <w:r>
        <w:t xml:space="preserve">, and </w:t>
      </w:r>
      <w:proofErr w:type="spellStart"/>
      <w:r>
        <w:t>Muszkat</w:t>
      </w:r>
      <w:proofErr w:type="spellEnd"/>
      <w:r>
        <w:t xml:space="preserve"> 1994; Van </w:t>
      </w:r>
      <w:proofErr w:type="spellStart"/>
      <w:r>
        <w:t>Bavel</w:t>
      </w:r>
      <w:proofErr w:type="spellEnd"/>
      <w:r>
        <w:t xml:space="preserve"> 2017). It happens due to the lack of information on male’s reproductive intentions and behavior in most data (</w:t>
      </w:r>
      <w:proofErr w:type="spellStart"/>
      <w:r>
        <w:t>Schoumaker</w:t>
      </w:r>
      <w:proofErr w:type="spellEnd"/>
      <w:r>
        <w:t xml:space="preserve"> 2019). However, one can argue that males interfere in family size, because of their important role on resource allocation inside the household and in family planning decisions (Thomson 1997). In addition, </w:t>
      </w:r>
      <w:del w:id="142" w:author="Manilo Franklin" w:date="2020-11-06T16:40:00Z">
        <w:r w:rsidDel="005C7585">
          <w:delText xml:space="preserve">the </w:delText>
        </w:r>
      </w:del>
      <w:r>
        <w:t>evaluati</w:t>
      </w:r>
      <w:ins w:id="143" w:author="Manilo Franklin" w:date="2020-11-06T16:40:00Z">
        <w:r w:rsidR="005C7585">
          <w:t>ng</w:t>
        </w:r>
      </w:ins>
      <w:del w:id="144" w:author="Manilo Franklin" w:date="2020-11-06T16:40:00Z">
        <w:r w:rsidDel="005C7585">
          <w:delText>on</w:delText>
        </w:r>
      </w:del>
      <w:r>
        <w:t xml:space="preserve"> </w:t>
      </w:r>
      <w:del w:id="145" w:author="Manilo Franklin" w:date="2020-11-06T16:40:00Z">
        <w:r w:rsidDel="005C7585">
          <w:delText xml:space="preserve">of </w:delText>
        </w:r>
      </w:del>
      <w:ins w:id="146" w:author="Manilo Franklin" w:date="2020-11-06T16:40:00Z">
        <w:r w:rsidR="005C7585">
          <w:t xml:space="preserve">and studying </w:t>
        </w:r>
      </w:ins>
      <w:r>
        <w:t>male</w:t>
      </w:r>
      <w:del w:id="147" w:author="Manilo Franklin" w:date="2020-11-06T14:30:00Z">
        <w:r w:rsidDel="009D0D3F">
          <w:delText>’s</w:delText>
        </w:r>
      </w:del>
      <w:r>
        <w:t xml:space="preserve"> characteristics in </w:t>
      </w:r>
      <w:ins w:id="148" w:author="Manilo Franklin" w:date="2020-11-06T14:31:00Z">
        <w:r w:rsidR="009D0D3F">
          <w:t xml:space="preserve">the </w:t>
        </w:r>
      </w:ins>
      <w:del w:id="149" w:author="Manilo Franklin" w:date="2020-11-06T16:38:00Z">
        <w:r w:rsidDel="005C7585">
          <w:delText xml:space="preserve">reproduction </w:delText>
        </w:r>
      </w:del>
      <w:ins w:id="150" w:author="Manilo Franklin" w:date="2020-11-06T16:38:00Z">
        <w:r w:rsidR="005C7585">
          <w:t xml:space="preserve">reproductive behavior </w:t>
        </w:r>
      </w:ins>
      <w:r>
        <w:t>of couples gain</w:t>
      </w:r>
      <w:ins w:id="151" w:author="Manilo Franklin" w:date="2020-11-06T16:39:00Z">
        <w:r w:rsidR="005C7585">
          <w:t>ed</w:t>
        </w:r>
      </w:ins>
      <w:del w:id="152" w:author="Manilo Franklin" w:date="2020-11-06T16:39:00Z">
        <w:r w:rsidDel="005C7585">
          <w:delText>s</w:delText>
        </w:r>
      </w:del>
      <w:r>
        <w:t xml:space="preserve"> importance in a period of chang</w:t>
      </w:r>
      <w:ins w:id="153" w:author="Manilo Franklin" w:date="2020-11-06T14:32:00Z">
        <w:r w:rsidR="009D0D3F">
          <w:t>es</w:t>
        </w:r>
      </w:ins>
      <w:del w:id="154" w:author="Manilo Franklin" w:date="2020-11-06T14:32:00Z">
        <w:r w:rsidDel="009D0D3F">
          <w:delText>ing</w:delText>
        </w:r>
      </w:del>
      <w:r>
        <w:t xml:space="preserve"> in gender relations, cultural norms, family relations and assortative matching patterns.</w:t>
      </w:r>
    </w:p>
    <w:p w14:paraId="2AB6C599" w14:textId="77777777" w:rsidR="000F7F6A" w:rsidRDefault="00952983">
      <w:pPr>
        <w:pStyle w:val="Corpodetexto"/>
      </w:pPr>
      <w:r>
        <w:t xml:space="preserve">The Western trend of female schooling expansion, followed by </w:t>
      </w:r>
      <w:ins w:id="155" w:author="Manilo Franklin" w:date="2020-11-06T14:51:00Z">
        <w:r w:rsidR="006B38F4">
          <w:t xml:space="preserve">an </w:t>
        </w:r>
      </w:ins>
      <w:r>
        <w:t xml:space="preserve">increased demand </w:t>
      </w:r>
      <w:del w:id="156" w:author="Manilo Franklin" w:date="2020-11-06T14:51:00Z">
        <w:r w:rsidDel="006B38F4">
          <w:delText xml:space="preserve">of </w:delText>
        </w:r>
      </w:del>
      <w:ins w:id="157" w:author="Manilo Franklin" w:date="2020-11-06T14:51:00Z">
        <w:r w:rsidR="006B38F4">
          <w:t xml:space="preserve">for </w:t>
        </w:r>
      </w:ins>
      <w:del w:id="158" w:author="Manilo Franklin" w:date="2020-11-06T14:51:00Z">
        <w:r w:rsidDel="006B38F4">
          <w:delText xml:space="preserve">women </w:delText>
        </w:r>
      </w:del>
      <w:ins w:id="159" w:author="Manilo Franklin" w:date="2020-11-06T14:51:00Z">
        <w:r w:rsidR="006B38F4">
          <w:t xml:space="preserve">female </w:t>
        </w:r>
      </w:ins>
      <w:r>
        <w:t>labor force</w:t>
      </w:r>
      <w:ins w:id="160" w:author="Manilo Franklin" w:date="2020-11-06T14:51:00Z">
        <w:r w:rsidR="006B38F4">
          <w:t xml:space="preserve">, as well as </w:t>
        </w:r>
      </w:ins>
      <w:del w:id="161" w:author="Manilo Franklin" w:date="2020-11-06T14:51:00Z">
        <w:r w:rsidDel="006B38F4">
          <w:delText xml:space="preserve"> and </w:delText>
        </w:r>
      </w:del>
      <w:r>
        <w:t xml:space="preserve">the reduction of </w:t>
      </w:r>
      <w:ins w:id="162" w:author="Manilo Franklin" w:date="2020-11-06T14:51:00Z">
        <w:r w:rsidR="006B38F4">
          <w:t>th</w:t>
        </w:r>
      </w:ins>
      <w:ins w:id="163" w:author="Manilo Franklin" w:date="2020-11-06T14:52:00Z">
        <w:r w:rsidR="006B38F4">
          <w:t xml:space="preserve">e </w:t>
        </w:r>
      </w:ins>
      <w:r>
        <w:t>social costs of reproduction, led to the first phase of the Gender Revolution (</w:t>
      </w:r>
      <w:proofErr w:type="spellStart"/>
      <w:r>
        <w:t>Goldscheider</w:t>
      </w:r>
      <w:proofErr w:type="spellEnd"/>
      <w:r>
        <w:t xml:space="preserve">, Bernhardt, and </w:t>
      </w:r>
      <w:proofErr w:type="spellStart"/>
      <w:r>
        <w:t>Lappegård</w:t>
      </w:r>
      <w:proofErr w:type="spellEnd"/>
      <w:r>
        <w:t xml:space="preserve"> 2015). This phase is marked by the increased participation of women in </w:t>
      </w:r>
      <w:del w:id="164" w:author="Manilo Franklin" w:date="2020-11-06T14:55:00Z">
        <w:r w:rsidDel="006B38F4">
          <w:delText xml:space="preserve">the </w:delText>
        </w:r>
      </w:del>
      <w:r>
        <w:t xml:space="preserve">public life and institutional spheres (England 2010; </w:t>
      </w:r>
      <w:proofErr w:type="spellStart"/>
      <w:r>
        <w:t>Esping</w:t>
      </w:r>
      <w:proofErr w:type="spellEnd"/>
      <w:r>
        <w:t xml:space="preserve">-Andersen 2009; Goldin 2006). The second phase of this </w:t>
      </w:r>
      <w:ins w:id="165" w:author="Manilo Franklin" w:date="2020-11-06T14:55:00Z">
        <w:r w:rsidR="006B38F4">
          <w:t xml:space="preserve">still ongoing </w:t>
        </w:r>
      </w:ins>
      <w:r>
        <w:t xml:space="preserve">revolution </w:t>
      </w:r>
      <w:del w:id="166" w:author="Manilo Franklin" w:date="2020-11-06T14:55:00Z">
        <w:r w:rsidDel="006B38F4">
          <w:delText xml:space="preserve">(yet in course) </w:delText>
        </w:r>
      </w:del>
      <w:r>
        <w:t xml:space="preserve">would be guided by an increase in </w:t>
      </w:r>
      <w:del w:id="167" w:author="Manilo Franklin" w:date="2020-11-06T14:57:00Z">
        <w:r w:rsidDel="006B38F4">
          <w:delText>male</w:delText>
        </w:r>
      </w:del>
      <w:ins w:id="168" w:author="Manilo Franklin" w:date="2020-11-06T14:57:00Z">
        <w:r w:rsidR="006B38F4">
          <w:t>men’s</w:t>
        </w:r>
      </w:ins>
      <w:del w:id="169" w:author="Manilo Franklin" w:date="2020-11-06T14:57:00Z">
        <w:r w:rsidDel="006B38F4">
          <w:delText>’</w:delText>
        </w:r>
      </w:del>
      <w:del w:id="170" w:author="Manilo Franklin" w:date="2020-11-06T14:56:00Z">
        <w:r w:rsidDel="006B38F4">
          <w:delText>s</w:delText>
        </w:r>
      </w:del>
      <w:r>
        <w:t xml:space="preserve"> participation in the private sphere, e. g. in household chores and childbearing decisions (</w:t>
      </w:r>
      <w:proofErr w:type="spellStart"/>
      <w:r>
        <w:t>Esping</w:t>
      </w:r>
      <w:proofErr w:type="spellEnd"/>
      <w:r>
        <w:t xml:space="preserve">-Andersen 2009). An optimistic view of this second phase expects a new balance of gender relations in the near future, with lower constraints to female reproduction and greater commitment of male </w:t>
      </w:r>
      <w:r>
        <w:lastRenderedPageBreak/>
        <w:t>partners to childbearing and domestic activities (</w:t>
      </w:r>
      <w:proofErr w:type="spellStart"/>
      <w:r>
        <w:t>Goldscheider</w:t>
      </w:r>
      <w:proofErr w:type="spellEnd"/>
      <w:r>
        <w:t xml:space="preserve">, Bernhardt, and </w:t>
      </w:r>
      <w:proofErr w:type="spellStart"/>
      <w:r>
        <w:t>Lappegård</w:t>
      </w:r>
      <w:proofErr w:type="spellEnd"/>
      <w:r>
        <w:t xml:space="preserve"> 2015; </w:t>
      </w:r>
      <w:proofErr w:type="spellStart"/>
      <w:r>
        <w:t>Myrskylä</w:t>
      </w:r>
      <w:proofErr w:type="spellEnd"/>
      <w:r>
        <w:t xml:space="preserve">, Kohler, and </w:t>
      </w:r>
      <w:proofErr w:type="spellStart"/>
      <w:r>
        <w:t>Billari</w:t>
      </w:r>
      <w:proofErr w:type="spellEnd"/>
      <w:r>
        <w:t xml:space="preserve"> 2011). Yet, neither the increments in female participation in public spaces nor the </w:t>
      </w:r>
      <w:ins w:id="171" w:author="Manilo Franklin" w:date="2020-11-09T12:30:00Z">
        <w:r w:rsidR="000D3B53">
          <w:t xml:space="preserve">higher </w:t>
        </w:r>
      </w:ins>
      <w:del w:id="172" w:author="Manilo Franklin" w:date="2020-11-09T12:30:00Z">
        <w:r w:rsidDel="000D3B53">
          <w:delText xml:space="preserve">higher achieved women </w:delText>
        </w:r>
      </w:del>
      <w:ins w:id="173" w:author="Manilo Franklin" w:date="2020-11-09T12:30:00Z">
        <w:r w:rsidR="000D3B53">
          <w:t xml:space="preserve">female </w:t>
        </w:r>
      </w:ins>
      <w:r>
        <w:t xml:space="preserve">schooling levels </w:t>
      </w:r>
      <w:ins w:id="174" w:author="Manilo Franklin" w:date="2020-11-09T12:30:00Z">
        <w:r w:rsidR="000D3B53">
          <w:t xml:space="preserve">achieved have </w:t>
        </w:r>
      </w:ins>
      <w:r>
        <w:t xml:space="preserve">led to improvements in </w:t>
      </w:r>
      <w:del w:id="175" w:author="Manilo Franklin" w:date="2020-11-09T12:30:00Z">
        <w:r w:rsidDel="000D3B53">
          <w:delText xml:space="preserve">sexual </w:delText>
        </w:r>
      </w:del>
      <w:r>
        <w:t xml:space="preserve">division of labor </w:t>
      </w:r>
      <w:ins w:id="176" w:author="Manilo Franklin" w:date="2020-11-09T12:31:00Z">
        <w:r w:rsidR="000D3B53">
          <w:t xml:space="preserve">by gender </w:t>
        </w:r>
      </w:ins>
      <w:r>
        <w:t>within families (England 2010).</w:t>
      </w:r>
    </w:p>
    <w:p w14:paraId="40C740E5" w14:textId="77777777" w:rsidR="000F7F6A" w:rsidRDefault="00952983">
      <w:pPr>
        <w:pStyle w:val="Corpodetexto"/>
      </w:pPr>
      <w:del w:id="177" w:author="Manilo Franklin" w:date="2020-11-06T15:19:00Z">
        <w:r w:rsidDel="00F51666">
          <w:delText xml:space="preserve">In Brazil, </w:delText>
        </w:r>
      </w:del>
      <w:del w:id="178" w:author="Manilo Franklin" w:date="2020-11-06T15:17:00Z">
        <w:r w:rsidDel="00F51666">
          <w:delText>the female</w:delText>
        </w:r>
      </w:del>
      <w:ins w:id="179" w:author="Manilo Franklin" w:date="2020-11-06T15:19:00Z">
        <w:r w:rsidR="00F51666">
          <w:t>W</w:t>
        </w:r>
      </w:ins>
      <w:ins w:id="180" w:author="Manilo Franklin" w:date="2020-11-06T15:17:00Z">
        <w:r w:rsidR="00F51666">
          <w:t>omen’s</w:t>
        </w:r>
      </w:ins>
      <w:r>
        <w:t xml:space="preserve"> participation in the </w:t>
      </w:r>
      <w:ins w:id="181" w:author="Manilo Franklin" w:date="2020-11-06T15:19:00Z">
        <w:r w:rsidR="00F51666">
          <w:t xml:space="preserve">Brazilian </w:t>
        </w:r>
      </w:ins>
      <w:r>
        <w:t>labor market resulted in a double burden, especially for the most vulnerable social classes that are unable to acquire domestic</w:t>
      </w:r>
      <w:ins w:id="182" w:author="Manilo Franklin" w:date="2020-11-09T12:31:00Z">
        <w:r w:rsidR="000D3B53">
          <w:t>-</w:t>
        </w:r>
      </w:ins>
      <w:r>
        <w:t xml:space="preserve"> and child</w:t>
      </w:r>
      <w:ins w:id="183" w:author="Manilo Franklin" w:date="2020-11-09T12:31:00Z">
        <w:r w:rsidR="000D3B53">
          <w:t>-</w:t>
        </w:r>
      </w:ins>
      <w:del w:id="184" w:author="Manilo Franklin" w:date="2020-11-09T12:31:00Z">
        <w:r w:rsidDel="000D3B53">
          <w:delText xml:space="preserve"> </w:delText>
        </w:r>
      </w:del>
      <w:r>
        <w:t xml:space="preserve">rearing services from the private market (Guedes 2015; </w:t>
      </w:r>
      <w:proofErr w:type="spellStart"/>
      <w:r>
        <w:t>Itaboraí</w:t>
      </w:r>
      <w:proofErr w:type="spellEnd"/>
      <w:r>
        <w:t xml:space="preserve"> 2016). Moreover, these social constraints induced women to undertake different strategies to conciliate their labor activities with social motherhood responsibilities (household chores and childbearing). For example, they often choose to work </w:t>
      </w:r>
      <w:del w:id="185" w:author="Manilo Franklin" w:date="2020-11-09T12:31:00Z">
        <w:r w:rsidDel="000D3B53">
          <w:delText xml:space="preserve">on </w:delText>
        </w:r>
      </w:del>
      <w:r>
        <w:t xml:space="preserve">part-time jobs (England 2010; Guedes 2015); they </w:t>
      </w:r>
      <w:ins w:id="186" w:author="Manilo Franklin" w:date="2020-11-09T12:32:00Z">
        <w:r w:rsidR="000D3B53">
          <w:t xml:space="preserve">either </w:t>
        </w:r>
      </w:ins>
      <w:r>
        <w:t>leave formal labor or opt for jobs in the informal market (Teixeira 2014). In contrast to them, high socioeconomic strata women dedicate lower time to household chores, due to their easy access to home care services in the private sector, or because they prefer to invest in their jobs instead of family, or due to the fact that</w:t>
      </w:r>
      <w:del w:id="187" w:author="Manilo Franklin" w:date="2020-11-09T12:34:00Z">
        <w:r w:rsidDel="000D3B53">
          <w:delText>, in general,</w:delText>
        </w:r>
      </w:del>
      <w:r>
        <w:t xml:space="preserve"> </w:t>
      </w:r>
      <w:del w:id="188" w:author="Manilo Franklin" w:date="2020-11-09T12:33:00Z">
        <w:r w:rsidDel="000D3B53">
          <w:delText xml:space="preserve">their </w:delText>
        </w:r>
      </w:del>
      <w:r>
        <w:t>highly</w:t>
      </w:r>
      <w:ins w:id="189" w:author="Manilo Franklin" w:date="2020-11-09T12:33:00Z">
        <w:r w:rsidR="000D3B53">
          <w:t xml:space="preserve"> </w:t>
        </w:r>
      </w:ins>
      <w:del w:id="190" w:author="Manilo Franklin" w:date="2020-11-09T12:33:00Z">
        <w:r w:rsidDel="000D3B53">
          <w:delText xml:space="preserve"> </w:delText>
        </w:r>
      </w:del>
      <w:r>
        <w:t>educated male</w:t>
      </w:r>
      <w:del w:id="191" w:author="Manilo Franklin" w:date="2020-11-09T12:33:00Z">
        <w:r w:rsidDel="000D3B53">
          <w:delText>s</w:delText>
        </w:r>
      </w:del>
      <w:r>
        <w:t xml:space="preserve"> partners tend to be </w:t>
      </w:r>
      <w:ins w:id="192" w:author="Manilo Franklin" w:date="2020-11-09T12:34:00Z">
        <w:r w:rsidR="000D3B53">
          <w:t xml:space="preserve">generally </w:t>
        </w:r>
      </w:ins>
      <w:r>
        <w:t>more active in domestic activities (</w:t>
      </w:r>
      <w:proofErr w:type="spellStart"/>
      <w:r>
        <w:t>Itaboraí</w:t>
      </w:r>
      <w:proofErr w:type="spellEnd"/>
      <w:r>
        <w:t xml:space="preserve"> 2016).</w:t>
      </w:r>
    </w:p>
    <w:p w14:paraId="37116184" w14:textId="77777777" w:rsidR="000F7F6A" w:rsidRDefault="00952983">
      <w:pPr>
        <w:pStyle w:val="Corpodetexto"/>
      </w:pPr>
      <w:r>
        <w:t xml:space="preserve">Taking all that into consideration, in the next sections, we will try to analyze past Brazilian cohort fertility developments, using </w:t>
      </w:r>
      <w:del w:id="193" w:author="Manilo Franklin" w:date="2020-11-09T12:35:00Z">
        <w:r w:rsidDel="000D3B53">
          <w:delText xml:space="preserve">distinguished </w:delText>
        </w:r>
      </w:del>
      <w:ins w:id="194" w:author="Manilo Franklin" w:date="2020-11-09T12:35:00Z">
        <w:r w:rsidR="000D3B53">
          <w:lastRenderedPageBreak/>
          <w:t xml:space="preserve">distinct </w:t>
        </w:r>
      </w:ins>
      <w:r>
        <w:t xml:space="preserve">couples’ educational pairings as a tool to measure </w:t>
      </w:r>
      <w:del w:id="195" w:author="Manilo Franklin" w:date="2020-11-09T12:35:00Z">
        <w:r w:rsidDel="000D3B53">
          <w:delText xml:space="preserve">male’s </w:delText>
        </w:r>
      </w:del>
      <w:ins w:id="196" w:author="Manilo Franklin" w:date="2020-11-09T12:35:00Z">
        <w:r w:rsidR="000D3B53">
          <w:t xml:space="preserve">the </w:t>
        </w:r>
      </w:ins>
      <w:r>
        <w:t xml:space="preserve">influence </w:t>
      </w:r>
      <w:ins w:id="197" w:author="Manilo Franklin" w:date="2020-11-09T12:35:00Z">
        <w:r w:rsidR="000D3B53">
          <w:t xml:space="preserve">of males </w:t>
        </w:r>
      </w:ins>
      <w:r>
        <w:t>on the general family fertility.</w:t>
      </w:r>
    </w:p>
    <w:p w14:paraId="30D6D401" w14:textId="77777777" w:rsidR="000F7F6A" w:rsidRDefault="00952983">
      <w:pPr>
        <w:pStyle w:val="Ttulo1"/>
      </w:pPr>
      <w:bookmarkStart w:id="198" w:name="data-and-methods"/>
      <w:r>
        <w:t>3. Data and Methods</w:t>
      </w:r>
      <w:bookmarkEnd w:id="198"/>
    </w:p>
    <w:p w14:paraId="3C8FF60B" w14:textId="77777777" w:rsidR="000F7F6A" w:rsidRDefault="00952983">
      <w:pPr>
        <w:pStyle w:val="Ttulo2"/>
      </w:pPr>
      <w:bookmarkStart w:id="199" w:name="data"/>
      <w:r>
        <w:t>3.1 Data</w:t>
      </w:r>
      <w:bookmarkEnd w:id="199"/>
    </w:p>
    <w:p w14:paraId="79DEC900" w14:textId="77777777" w:rsidR="000F7F6A" w:rsidRDefault="00952983">
      <w:pPr>
        <w:pStyle w:val="FirstParagraph"/>
      </w:pPr>
      <w:r>
        <w:t xml:space="preserve">We use data collected via IPUMS-International from Brazilian National Censuses of 1970, 1980, 1991, 2000 and 2010, conducted by the Brazilian Institute of Geography and Statistics (IBGE, from Portuguese </w:t>
      </w:r>
      <w:r>
        <w:rPr>
          <w:i/>
        </w:rPr>
        <w:t xml:space="preserve">Instituto </w:t>
      </w:r>
      <w:proofErr w:type="spellStart"/>
      <w:r>
        <w:rPr>
          <w:i/>
        </w:rPr>
        <w:t>Brasileiro</w:t>
      </w:r>
      <w:proofErr w:type="spellEnd"/>
      <w:r>
        <w:rPr>
          <w:i/>
        </w:rPr>
        <w:t xml:space="preserve"> de Geografia e </w:t>
      </w:r>
      <w:proofErr w:type="spellStart"/>
      <w:r>
        <w:rPr>
          <w:i/>
        </w:rPr>
        <w:t>Estatística</w:t>
      </w:r>
      <w:proofErr w:type="spellEnd"/>
      <w:r>
        <w:t xml:space="preserve">). The IPUMS data is harmonized in time and space, which allows for </w:t>
      </w:r>
      <w:ins w:id="200" w:author="Manilo Franklin" w:date="2020-11-09T14:53:00Z">
        <w:r w:rsidR="000F19B2">
          <w:t xml:space="preserve">the </w:t>
        </w:r>
      </w:ins>
      <w:r>
        <w:t>comparison of different demographic scenarios and areas without the need for compatibilization (</w:t>
      </w:r>
      <w:proofErr w:type="spellStart"/>
      <w:r>
        <w:t>Esteve</w:t>
      </w:r>
      <w:proofErr w:type="spellEnd"/>
      <w:r>
        <w:t xml:space="preserve"> and Sobek 2003; Minnesota Population Center 2019).</w:t>
      </w:r>
    </w:p>
    <w:p w14:paraId="72D2105D" w14:textId="77777777" w:rsidR="000F7F6A" w:rsidRDefault="00952983">
      <w:pPr>
        <w:pStyle w:val="Corpodetexto"/>
      </w:pPr>
      <w:r>
        <w:t xml:space="preserve">With the available information in the censuses, we have identified the educational level of household members, number of children ever born to each woman in the household and their respective partners. This identification is done through the following variables: household serial number, marital </w:t>
      </w:r>
      <w:proofErr w:type="gramStart"/>
      <w:r>
        <w:t>status</w:t>
      </w:r>
      <w:proofErr w:type="gramEnd"/>
      <w:r>
        <w:t xml:space="preserve"> and relationship with the household head. These three pieces of information permitted us to pair women with their respective partners, and to link </w:t>
      </w:r>
      <w:del w:id="201" w:author="Manilo Franklin" w:date="2020-11-09T16:09:00Z">
        <w:r w:rsidDel="00A2203F">
          <w:delText xml:space="preserve">the couple’s </w:delText>
        </w:r>
      </w:del>
      <w:ins w:id="202" w:author="Manilo Franklin" w:date="2020-11-09T16:09:00Z">
        <w:r w:rsidR="00A2203F">
          <w:t xml:space="preserve">the information on </w:t>
        </w:r>
      </w:ins>
      <w:r>
        <w:t xml:space="preserve">educational attainment level </w:t>
      </w:r>
      <w:del w:id="203" w:author="Manilo Franklin" w:date="2020-11-09T16:09:00Z">
        <w:r w:rsidDel="00A2203F">
          <w:delText xml:space="preserve">information </w:delText>
        </w:r>
      </w:del>
      <w:ins w:id="204" w:author="Manilo Franklin" w:date="2020-11-09T16:09:00Z">
        <w:r w:rsidR="00A2203F">
          <w:t xml:space="preserve">of couples </w:t>
        </w:r>
      </w:ins>
      <w:r>
        <w:t xml:space="preserve">with the number of children </w:t>
      </w:r>
      <w:del w:id="205" w:author="Manilo Franklin" w:date="2020-11-09T16:09:00Z">
        <w:r w:rsidDel="00A2203F">
          <w:delText>ever born</w:delText>
        </w:r>
      </w:del>
      <w:ins w:id="206" w:author="Manilo Franklin" w:date="2020-11-09T16:09:00Z">
        <w:r w:rsidR="00A2203F">
          <w:t>born in these house</w:t>
        </w:r>
      </w:ins>
      <w:ins w:id="207" w:author="Manilo Franklin" w:date="2020-11-09T16:10:00Z">
        <w:r w:rsidR="00A2203F">
          <w:t>holds</w:t>
        </w:r>
      </w:ins>
      <w:r>
        <w:t xml:space="preserve">. We used educational </w:t>
      </w:r>
      <w:r>
        <w:lastRenderedPageBreak/>
        <w:t xml:space="preserve">attainment levels available </w:t>
      </w:r>
      <w:del w:id="208" w:author="Manilo Franklin" w:date="2020-11-09T16:10:00Z">
        <w:r w:rsidDel="00A2203F">
          <w:delText xml:space="preserve">in </w:delText>
        </w:r>
      </w:del>
      <w:ins w:id="209" w:author="Manilo Franklin" w:date="2020-11-09T16:15:00Z">
        <w:r w:rsidR="00A2203F">
          <w:t>in</w:t>
        </w:r>
      </w:ins>
      <w:ins w:id="210" w:author="Manilo Franklin" w:date="2020-11-09T16:10:00Z">
        <w:r w:rsidR="00A2203F">
          <w:t xml:space="preserve"> </w:t>
        </w:r>
      </w:ins>
      <w:del w:id="211" w:author="Manilo Franklin" w:date="2020-11-09T16:15:00Z">
        <w:r w:rsidDel="00A2203F">
          <w:delText xml:space="preserve">four levels at </w:delText>
        </w:r>
      </w:del>
      <w:ins w:id="212" w:author="Manilo Franklin" w:date="2020-11-09T16:15:00Z">
        <w:r w:rsidR="00A2203F">
          <w:t xml:space="preserve">four distinct </w:t>
        </w:r>
      </w:ins>
      <w:r>
        <w:t xml:space="preserve">IPUMS: 1) </w:t>
      </w:r>
      <w:del w:id="213" w:author="Manilo Franklin" w:date="2020-11-09T16:15:00Z">
        <w:r w:rsidDel="00A2203F">
          <w:delText>Less than</w:delText>
        </w:r>
      </w:del>
      <w:ins w:id="214" w:author="Manilo Franklin" w:date="2020-11-09T16:15:00Z">
        <w:r w:rsidR="00A2203F">
          <w:t>Incomplete</w:t>
        </w:r>
      </w:ins>
      <w:r>
        <w:t xml:space="preserve"> Primary Education (LP), 2) Complete Primary Education (P), 3) Complete Secondary Education (S) and 4) Complete Tertiary Education (T).</w:t>
      </w:r>
    </w:p>
    <w:p w14:paraId="7FCABA4A" w14:textId="77777777" w:rsidR="000F7F6A" w:rsidRDefault="00952983">
      <w:pPr>
        <w:pStyle w:val="Corpodetexto"/>
      </w:pPr>
      <w:r>
        <w:t xml:space="preserve">The couples were identified based on the information of each individual marital status and its relationship with the head of the household. We chose to evaluate either formal or consensual unions, because cohabitation </w:t>
      </w:r>
      <w:ins w:id="215" w:author="Manilo Franklin" w:date="2020-11-09T16:16:00Z">
        <w:r w:rsidR="00A2203F">
          <w:t xml:space="preserve">has, </w:t>
        </w:r>
      </w:ins>
      <w:r>
        <w:t>historically</w:t>
      </w:r>
      <w:ins w:id="216" w:author="Manilo Franklin" w:date="2020-11-09T16:16:00Z">
        <w:r w:rsidR="00A2203F">
          <w:t>,</w:t>
        </w:r>
      </w:ins>
      <w:r>
        <w:t xml:space="preserve"> </w:t>
      </w:r>
      <w:del w:id="217" w:author="Manilo Franklin" w:date="2020-11-09T16:16:00Z">
        <w:r w:rsidDel="00A2203F">
          <w:delText xml:space="preserve">has </w:delText>
        </w:r>
      </w:del>
      <w:r>
        <w:t xml:space="preserve">spread </w:t>
      </w:r>
      <w:del w:id="218" w:author="Manilo Franklin" w:date="2020-11-09T16:16:00Z">
        <w:r w:rsidDel="00A2203F">
          <w:delText xml:space="preserve">through </w:delText>
        </w:r>
      </w:del>
      <w:ins w:id="219" w:author="Manilo Franklin" w:date="2020-11-09T16:16:00Z">
        <w:r w:rsidR="00A2203F">
          <w:t xml:space="preserve">across </w:t>
        </w:r>
      </w:ins>
      <w:r>
        <w:t>diverse social groups in Brazil</w:t>
      </w:r>
      <w:del w:id="220" w:author="Manilo Franklin" w:date="2020-11-09T16:16:00Z">
        <w:r w:rsidDel="00A2203F">
          <w:delText>,</w:delText>
        </w:r>
      </w:del>
      <w:r>
        <w:t xml:space="preserve"> and it responds for a non-negligible share of observed fertility levels (</w:t>
      </w:r>
      <w:proofErr w:type="spellStart"/>
      <w:r>
        <w:t>Esteve</w:t>
      </w:r>
      <w:proofErr w:type="spellEnd"/>
      <w:r>
        <w:t xml:space="preserve">, Garcia-Román, and </w:t>
      </w:r>
      <w:proofErr w:type="spellStart"/>
      <w:r>
        <w:t>Permanyer</w:t>
      </w:r>
      <w:proofErr w:type="spellEnd"/>
      <w:r>
        <w:t xml:space="preserve"> 2012; </w:t>
      </w:r>
      <w:proofErr w:type="spellStart"/>
      <w:r>
        <w:t>Laplante</w:t>
      </w:r>
      <w:proofErr w:type="spellEnd"/>
      <w:r>
        <w:t xml:space="preserve"> et al. 2015; Vieira 2016). Despite the formal matrimonial and the consensual unions </w:t>
      </w:r>
      <w:del w:id="221" w:author="Manilo Franklin" w:date="2020-11-09T16:17:00Z">
        <w:r w:rsidDel="00A2203F">
          <w:delText>are displaying</w:delText>
        </w:r>
      </w:del>
      <w:ins w:id="222" w:author="Manilo Franklin" w:date="2020-11-09T16:17:00Z">
        <w:r w:rsidR="00A2203F">
          <w:t>display</w:t>
        </w:r>
      </w:ins>
      <w:r>
        <w:t xml:space="preserve"> different age-specific fertility profiles (Vieira and Alves 2016)</w:t>
      </w:r>
      <w:del w:id="223" w:author="Manilo Franklin" w:date="2020-11-09T16:17:00Z">
        <w:r w:rsidDel="00A2203F">
          <w:delText xml:space="preserve"> and</w:delText>
        </w:r>
      </w:del>
      <w:ins w:id="224" w:author="Manilo Franklin" w:date="2020-11-09T16:17:00Z">
        <w:r w:rsidR="00A2203F">
          <w:t>, as well as</w:t>
        </w:r>
      </w:ins>
      <w:r>
        <w:t xml:space="preserve"> different fertility levels (Vieira 2016)</w:t>
      </w:r>
      <w:ins w:id="225" w:author="Manilo Franklin" w:date="2020-11-09T16:17:00Z">
        <w:r w:rsidR="00A2203F">
          <w:t>,</w:t>
        </w:r>
      </w:ins>
      <w:del w:id="226" w:author="Manilo Franklin" w:date="2020-11-09T16:17:00Z">
        <w:r w:rsidDel="00A2203F">
          <w:delText>,</w:delText>
        </w:r>
      </w:del>
      <w:r>
        <w:t xml:space="preserve"> they do not exhibit significant differentials in terms of assortative mating patterns (</w:t>
      </w:r>
      <w:proofErr w:type="spellStart"/>
      <w:r>
        <w:t>Esteve</w:t>
      </w:r>
      <w:proofErr w:type="spellEnd"/>
      <w:r>
        <w:t xml:space="preserve"> and McCaa 2007).</w:t>
      </w:r>
    </w:p>
    <w:p w14:paraId="1F59A87D" w14:textId="77777777" w:rsidR="000F7F6A" w:rsidRDefault="00952983">
      <w:pPr>
        <w:pStyle w:val="Corpodetexto"/>
      </w:pPr>
      <w:r>
        <w:t xml:space="preserve">By taking the difference between census reference period and </w:t>
      </w:r>
      <w:del w:id="227" w:author="Manilo Franklin" w:date="2020-11-09T16:17:00Z">
        <w:r w:rsidDel="00A2203F">
          <w:delText xml:space="preserve">women </w:delText>
        </w:r>
      </w:del>
      <w:ins w:id="228" w:author="Manilo Franklin" w:date="2020-11-09T16:18:00Z">
        <w:r w:rsidR="00A2203F">
          <w:t xml:space="preserve">the </w:t>
        </w:r>
      </w:ins>
      <w:r>
        <w:t>age</w:t>
      </w:r>
      <w:ins w:id="229" w:author="Manilo Franklin" w:date="2020-11-09T16:18:00Z">
        <w:r w:rsidR="00A2203F">
          <w:t xml:space="preserve"> of women</w:t>
        </w:r>
      </w:ins>
      <w:r>
        <w:t xml:space="preserve">, we </w:t>
      </w:r>
      <w:del w:id="230" w:author="Manilo Franklin" w:date="2020-11-09T16:18:00Z">
        <w:r w:rsidDel="00A2203F">
          <w:delText xml:space="preserve">could </w:delText>
        </w:r>
      </w:del>
      <w:ins w:id="231" w:author="Manilo Franklin" w:date="2020-11-09T16:18:00Z">
        <w:r w:rsidR="00A2203F">
          <w:t xml:space="preserve">were able to </w:t>
        </w:r>
      </w:ins>
      <w:r>
        <w:t xml:space="preserve">estimate cohort fertility rates (CFR) for Brazil and selected regions. We </w:t>
      </w:r>
      <w:del w:id="232" w:author="Manilo Franklin" w:date="2020-11-09T16:19:00Z">
        <w:r w:rsidDel="0072524F">
          <w:delText xml:space="preserve">restricted </w:delText>
        </w:r>
      </w:del>
      <w:ins w:id="233" w:author="Manilo Franklin" w:date="2020-11-09T16:19:00Z">
        <w:r w:rsidR="0072524F">
          <w:t xml:space="preserve">limited </w:t>
        </w:r>
      </w:ins>
      <w:ins w:id="234" w:author="Manilo Franklin" w:date="2020-11-09T16:20:00Z">
        <w:r w:rsidR="0072524F">
          <w:t xml:space="preserve">the </w:t>
        </w:r>
      </w:ins>
      <w:r>
        <w:t>female age</w:t>
      </w:r>
      <w:del w:id="235" w:author="Manilo Franklin" w:date="2020-11-09T16:19:00Z">
        <w:r w:rsidDel="00A2203F">
          <w:delText>s</w:delText>
        </w:r>
      </w:del>
      <w:r>
        <w:t xml:space="preserve"> </w:t>
      </w:r>
      <w:ins w:id="236" w:author="Manilo Franklin" w:date="2020-11-09T16:19:00Z">
        <w:r w:rsidR="0072524F">
          <w:t xml:space="preserve">range </w:t>
        </w:r>
      </w:ins>
      <w:r>
        <w:t xml:space="preserve">to </w:t>
      </w:r>
      <w:del w:id="237" w:author="Manilo Franklin" w:date="2020-11-09T16:18:00Z">
        <w:r w:rsidDel="00A2203F">
          <w:delText xml:space="preserve">the range from </w:delText>
        </w:r>
      </w:del>
      <w:r>
        <w:t>40</w:t>
      </w:r>
      <w:del w:id="238" w:author="Manilo Franklin" w:date="2020-11-09T16:19:00Z">
        <w:r w:rsidDel="0072524F">
          <w:delText xml:space="preserve"> to </w:delText>
        </w:r>
      </w:del>
      <w:ins w:id="239" w:author="Manilo Franklin" w:date="2020-11-09T16:19:00Z">
        <w:r w:rsidR="0072524F">
          <w:t>-</w:t>
        </w:r>
      </w:ins>
      <w:r>
        <w:t xml:space="preserve">69 years old, and </w:t>
      </w:r>
      <w:ins w:id="240" w:author="Manilo Franklin" w:date="2020-11-09T16:20:00Z">
        <w:r w:rsidR="0072524F">
          <w:t xml:space="preserve">the </w:t>
        </w:r>
      </w:ins>
      <w:r>
        <w:t xml:space="preserve">male </w:t>
      </w:r>
      <w:del w:id="241" w:author="Manilo Franklin" w:date="2020-11-09T16:20:00Z">
        <w:r w:rsidDel="0072524F">
          <w:delText xml:space="preserve">ages </w:delText>
        </w:r>
      </w:del>
      <w:ins w:id="242" w:author="Manilo Franklin" w:date="2020-11-09T16:20:00Z">
        <w:r w:rsidR="0072524F">
          <w:t xml:space="preserve">ones </w:t>
        </w:r>
      </w:ins>
      <w:r>
        <w:t xml:space="preserve">to </w:t>
      </w:r>
      <w:del w:id="243" w:author="Manilo Franklin" w:date="2020-11-09T16:20:00Z">
        <w:r w:rsidDel="0072524F">
          <w:delText xml:space="preserve">the range of </w:delText>
        </w:r>
      </w:del>
      <w:r>
        <w:t>35</w:t>
      </w:r>
      <w:del w:id="244" w:author="Manilo Franklin" w:date="2020-11-09T16:20:00Z">
        <w:r w:rsidDel="0072524F">
          <w:delText xml:space="preserve"> to </w:delText>
        </w:r>
      </w:del>
      <w:ins w:id="245" w:author="Manilo Franklin" w:date="2020-11-09T16:20:00Z">
        <w:r w:rsidR="0072524F">
          <w:t>-</w:t>
        </w:r>
      </w:ins>
      <w:r>
        <w:t>79. We considered that</w:t>
      </w:r>
      <w:ins w:id="246" w:author="Manilo Franklin" w:date="2020-11-09T16:20:00Z">
        <w:r w:rsidR="0072524F">
          <w:t>,</w:t>
        </w:r>
      </w:ins>
      <w:r>
        <w:t xml:space="preserve"> by the age of 40 years old, women would already have completed or would be close to complete their reproductive cycle</w:t>
      </w:r>
      <w:ins w:id="247" w:author="Manilo Franklin" w:date="2020-11-09T16:21:00Z">
        <w:r w:rsidR="0072524F">
          <w:t>s</w:t>
        </w:r>
      </w:ins>
      <w:r>
        <w:t>. This</w:t>
      </w:r>
      <w:del w:id="248" w:author="Manilo Franklin" w:date="2020-11-09T16:21:00Z">
        <w:r w:rsidDel="0072524F">
          <w:delText xml:space="preserve"> women’s</w:delText>
        </w:r>
      </w:del>
      <w:r>
        <w:t xml:space="preserve"> </w:t>
      </w:r>
      <w:del w:id="249" w:author="Manilo Franklin" w:date="2020-11-09T16:21:00Z">
        <w:r w:rsidDel="0072524F">
          <w:delText xml:space="preserve">age ranges </w:delText>
        </w:r>
      </w:del>
      <w:r>
        <w:t>make</w:t>
      </w:r>
      <w:ins w:id="250" w:author="Manilo Franklin" w:date="2020-11-09T16:21:00Z">
        <w:r w:rsidR="0072524F">
          <w:t>s</w:t>
        </w:r>
      </w:ins>
      <w:r>
        <w:t xml:space="preserve"> it possible to reconstruct cohorts born between </w:t>
      </w:r>
      <w:del w:id="251" w:author="Manilo Franklin" w:date="2020-11-09T16:21:00Z">
        <w:r w:rsidDel="0072524F">
          <w:delText xml:space="preserve">the years </w:delText>
        </w:r>
      </w:del>
      <w:r>
        <w:t xml:space="preserve">1901 </w:t>
      </w:r>
      <w:del w:id="252" w:author="Manilo Franklin" w:date="2020-11-09T16:21:00Z">
        <w:r w:rsidDel="0072524F">
          <w:delText xml:space="preserve">until </w:delText>
        </w:r>
      </w:del>
      <w:ins w:id="253" w:author="Manilo Franklin" w:date="2020-11-09T16:21:00Z">
        <w:r w:rsidR="0072524F">
          <w:t xml:space="preserve">and </w:t>
        </w:r>
      </w:ins>
      <w:r>
        <w:lastRenderedPageBreak/>
        <w:t xml:space="preserve">1970. However, we restrict our analysis to the </w:t>
      </w:r>
      <w:del w:id="254" w:author="Manilo Franklin" w:date="2020-11-09T16:22:00Z">
        <w:r w:rsidDel="0072524F">
          <w:delText xml:space="preserve">born </w:delText>
        </w:r>
      </w:del>
      <w:r>
        <w:t xml:space="preserve">cohorts </w:t>
      </w:r>
      <w:ins w:id="255" w:author="Manilo Franklin" w:date="2020-11-09T16:22:00Z">
        <w:r w:rsidR="0072524F">
          <w:t xml:space="preserve">born </w:t>
        </w:r>
      </w:ins>
      <w:del w:id="256" w:author="Manilo Franklin" w:date="2020-11-09T16:22:00Z">
        <w:r w:rsidDel="0072524F">
          <w:delText xml:space="preserve">between </w:delText>
        </w:r>
      </w:del>
      <w:ins w:id="257" w:author="Manilo Franklin" w:date="2020-11-09T16:22:00Z">
        <w:r w:rsidR="0072524F">
          <w:t xml:space="preserve">in the period of </w:t>
        </w:r>
      </w:ins>
      <w:del w:id="258" w:author="Manilo Franklin" w:date="2020-11-09T16:22:00Z">
        <w:r w:rsidDel="0072524F">
          <w:delText xml:space="preserve">the years </w:delText>
        </w:r>
      </w:del>
      <w:r>
        <w:t>1925</w:t>
      </w:r>
      <w:ins w:id="259" w:author="Manilo Franklin" w:date="2020-11-09T16:22:00Z">
        <w:r w:rsidR="0072524F">
          <w:t>-</w:t>
        </w:r>
      </w:ins>
      <w:del w:id="260" w:author="Manilo Franklin" w:date="2020-11-09T16:22:00Z">
        <w:r w:rsidDel="0072524F">
          <w:delText>-</w:delText>
        </w:r>
      </w:del>
      <w:r>
        <w:t xml:space="preserve">1969, because of data quality issues related to memory misstatements </w:t>
      </w:r>
      <w:del w:id="261" w:author="Manilo Franklin" w:date="2020-11-09T16:22:00Z">
        <w:r w:rsidDel="0072524F">
          <w:delText xml:space="preserve">of </w:delText>
        </w:r>
      </w:del>
      <w:ins w:id="262" w:author="Manilo Franklin" w:date="2020-11-09T16:22:00Z">
        <w:r w:rsidR="0072524F">
          <w:t xml:space="preserve">on the </w:t>
        </w:r>
      </w:ins>
      <w:r>
        <w:t>number of children</w:t>
      </w:r>
      <w:del w:id="263" w:author="Manilo Franklin" w:date="2020-11-09T16:22:00Z">
        <w:r w:rsidDel="0072524F">
          <w:delText xml:space="preserve"> ever</w:delText>
        </w:r>
      </w:del>
      <w:r>
        <w:t xml:space="preserve"> </w:t>
      </w:r>
      <w:ins w:id="264" w:author="Manilo Franklin" w:date="2020-11-09T16:30:00Z">
        <w:r w:rsidR="00B37182">
          <w:t xml:space="preserve">ever </w:t>
        </w:r>
      </w:ins>
      <w:r>
        <w:t xml:space="preserve">born </w:t>
      </w:r>
      <w:del w:id="265" w:author="Manilo Franklin" w:date="2020-11-09T16:23:00Z">
        <w:r w:rsidDel="0072524F">
          <w:delText xml:space="preserve">among </w:delText>
        </w:r>
      </w:del>
      <w:ins w:id="266" w:author="Manilo Franklin" w:date="2020-11-09T16:23:00Z">
        <w:r w:rsidR="0072524F">
          <w:t xml:space="preserve">from </w:t>
        </w:r>
      </w:ins>
      <w:r>
        <w:t>older women (Brass et al. 1968), and due to data contiguity issues for th</w:t>
      </w:r>
      <w:ins w:id="267" w:author="Manilo Franklin" w:date="2020-11-09T16:23:00Z">
        <w:r w:rsidR="0072524F">
          <w:t>ese</w:t>
        </w:r>
      </w:ins>
      <w:del w:id="268" w:author="Manilo Franklin" w:date="2020-11-09T16:23:00Z">
        <w:r w:rsidDel="0072524F">
          <w:delText>is</w:delText>
        </w:r>
      </w:del>
      <w:r>
        <w:t xml:space="preserve"> older cohorts educational groups (Monteiro da Silva 2019). </w:t>
      </w:r>
      <w:ins w:id="269" w:author="Manilo Franklin" w:date="2020-11-09T16:27:00Z">
        <w:r w:rsidR="0072524F">
          <w:t>Regarding</w:t>
        </w:r>
      </w:ins>
      <w:del w:id="270" w:author="Manilo Franklin" w:date="2020-11-09T16:23:00Z">
        <w:r w:rsidDel="0072524F">
          <w:delText xml:space="preserve">For </w:delText>
        </w:r>
      </w:del>
      <w:ins w:id="271" w:author="Manilo Franklin" w:date="2020-11-09T16:23:00Z">
        <w:r w:rsidR="0072524F">
          <w:t xml:space="preserve"> </w:t>
        </w:r>
      </w:ins>
      <w:r>
        <w:t xml:space="preserve">men, we </w:t>
      </w:r>
      <w:del w:id="272" w:author="Manilo Franklin" w:date="2020-11-09T16:23:00Z">
        <w:r w:rsidDel="0072524F">
          <w:delText xml:space="preserve">chose </w:delText>
        </w:r>
      </w:del>
      <w:ins w:id="273" w:author="Manilo Franklin" w:date="2020-11-09T16:23:00Z">
        <w:r w:rsidR="0072524F">
          <w:t xml:space="preserve">have chosen </w:t>
        </w:r>
      </w:ins>
      <w:r>
        <w:t>a broader age range to increase the number of couples</w:t>
      </w:r>
      <w:ins w:id="274" w:author="Manilo Franklin" w:date="2020-11-09T16:24:00Z">
        <w:r w:rsidR="0072524F">
          <w:t>’</w:t>
        </w:r>
      </w:ins>
      <w:del w:id="275" w:author="Manilo Franklin" w:date="2020-11-09T16:24:00Z">
        <w:r w:rsidDel="0072524F">
          <w:delText>’</w:delText>
        </w:r>
      </w:del>
      <w:r>
        <w:t xml:space="preserve"> observations, allowing </w:t>
      </w:r>
      <w:del w:id="276" w:author="Manilo Franklin" w:date="2020-11-09T16:25:00Z">
        <w:r w:rsidDel="0072524F">
          <w:delText xml:space="preserve">males </w:delText>
        </w:r>
      </w:del>
      <w:ins w:id="277" w:author="Manilo Franklin" w:date="2020-11-09T16:25:00Z">
        <w:r w:rsidR="0072524F">
          <w:t xml:space="preserve">men </w:t>
        </w:r>
      </w:ins>
      <w:r>
        <w:t xml:space="preserve">to be older than </w:t>
      </w:r>
      <w:del w:id="278" w:author="Manilo Franklin" w:date="2020-11-09T16:25:00Z">
        <w:r w:rsidDel="0072524F">
          <w:delText>the women</w:delText>
        </w:r>
      </w:del>
      <w:ins w:id="279" w:author="Manilo Franklin" w:date="2020-11-09T16:25:00Z">
        <w:r w:rsidR="0072524F">
          <w:t>their female partners,</w:t>
        </w:r>
      </w:ins>
      <w:r>
        <w:t xml:space="preserve"> but also to include </w:t>
      </w:r>
      <w:del w:id="280" w:author="Manilo Franklin" w:date="2020-11-09T16:25:00Z">
        <w:r w:rsidDel="0072524F">
          <w:delText xml:space="preserve">the </w:delText>
        </w:r>
      </w:del>
      <w:r>
        <w:t xml:space="preserve">couples in which men are </w:t>
      </w:r>
      <w:ins w:id="281" w:author="Manilo Franklin" w:date="2020-11-09T16:27:00Z">
        <w:r w:rsidR="0072524F">
          <w:t xml:space="preserve">the </w:t>
        </w:r>
      </w:ins>
      <w:r>
        <w:t>younger</w:t>
      </w:r>
      <w:ins w:id="282" w:author="Manilo Franklin" w:date="2020-11-09T16:27:00Z">
        <w:r w:rsidR="0072524F">
          <w:t xml:space="preserve"> ones in the relationship</w:t>
        </w:r>
      </w:ins>
      <w:del w:id="283" w:author="Manilo Franklin" w:date="2020-11-09T16:26:00Z">
        <w:r w:rsidDel="0072524F">
          <w:delText xml:space="preserve"> than their partners</w:delText>
        </w:r>
      </w:del>
      <w:r>
        <w:t>.</w:t>
      </w:r>
    </w:p>
    <w:p w14:paraId="4DA183C6" w14:textId="77777777" w:rsidR="000F7F6A" w:rsidRDefault="00952983">
      <w:pPr>
        <w:pStyle w:val="Corpodetexto"/>
      </w:pPr>
      <w:r>
        <w:t xml:space="preserve">Improbable and unreliable </w:t>
      </w:r>
      <w:ins w:id="284" w:author="Manilo Franklin" w:date="2020-11-09T16:28:00Z">
        <w:r w:rsidR="0072524F">
          <w:t xml:space="preserve">statements on the </w:t>
        </w:r>
      </w:ins>
      <w:r>
        <w:t xml:space="preserve">number of children ever born </w:t>
      </w:r>
      <w:del w:id="285" w:author="Manilo Franklin" w:date="2020-11-09T16:28:00Z">
        <w:r w:rsidDel="0072524F">
          <w:delText xml:space="preserve">statements </w:delText>
        </w:r>
      </w:del>
      <w:r>
        <w:t xml:space="preserve">were also addressed prior to the estimation of CFRs. Hence, we assumed that women </w:t>
      </w:r>
      <w:proofErr w:type="gramStart"/>
      <w:r>
        <w:t>can</w:t>
      </w:r>
      <w:proofErr w:type="gramEnd"/>
      <w:r>
        <w:t xml:space="preserve"> bear only one living child </w:t>
      </w:r>
      <w:del w:id="286" w:author="Manilo Franklin" w:date="2020-11-09T16:28:00Z">
        <w:r w:rsidDel="0072524F">
          <w:delText xml:space="preserve">each </w:delText>
        </w:r>
      </w:del>
      <w:ins w:id="287" w:author="Manilo Franklin" w:date="2020-11-09T16:28:00Z">
        <w:r w:rsidR="0072524F">
          <w:t xml:space="preserve">every </w:t>
        </w:r>
      </w:ins>
      <w:r>
        <w:t xml:space="preserve">18 months, starting from age 12 (Moultrie et al. 2013). Following this rule of thumb, at the age of 15 years old, it is expected that women have </w:t>
      </w:r>
      <w:del w:id="288" w:author="Manilo Franklin" w:date="2020-11-09T16:28:00Z">
        <w:r w:rsidDel="0072524F">
          <w:delText>a maximum of</w:delText>
        </w:r>
      </w:del>
      <w:ins w:id="289" w:author="Manilo Franklin" w:date="2020-11-09T16:28:00Z">
        <w:r w:rsidR="0072524F">
          <w:t xml:space="preserve">no more </w:t>
        </w:r>
      </w:ins>
      <w:ins w:id="290" w:author="Manilo Franklin" w:date="2020-11-09T16:29:00Z">
        <w:r w:rsidR="0072524F">
          <w:t>than</w:t>
        </w:r>
      </w:ins>
      <w:r>
        <w:t xml:space="preserve"> two </w:t>
      </w:r>
      <w:del w:id="291" w:author="Manilo Franklin" w:date="2020-11-09T16:29:00Z">
        <w:r w:rsidDel="0072524F">
          <w:delText>kids</w:delText>
        </w:r>
      </w:del>
      <w:ins w:id="292" w:author="Manilo Franklin" w:date="2020-11-09T16:29:00Z">
        <w:r w:rsidR="0072524F">
          <w:t>children</w:t>
        </w:r>
      </w:ins>
      <w:r>
        <w:t xml:space="preserve">; at 20 years of age, they </w:t>
      </w:r>
      <w:ins w:id="293" w:author="Manilo Franklin" w:date="2020-11-09T16:29:00Z">
        <w:r w:rsidR="00B37182">
          <w:t xml:space="preserve">may have </w:t>
        </w:r>
      </w:ins>
      <w:del w:id="294" w:author="Manilo Franklin" w:date="2020-11-09T16:29:00Z">
        <w:r w:rsidDel="00B37182">
          <w:delText xml:space="preserve">bore </w:delText>
        </w:r>
      </w:del>
      <w:ins w:id="295" w:author="Manilo Franklin" w:date="2020-11-09T16:29:00Z">
        <w:r w:rsidR="00B37182">
          <w:t xml:space="preserve">given birth to </w:t>
        </w:r>
      </w:ins>
      <w:r>
        <w:t>a maximum of five children, and so on. Thus, when the stated number of children ever born exceeded this threshold expected parity, for a given woman’s age, we set its value to the maximum expected number of offspring, according to the expected mother’s age, following this rule of thumb.</w:t>
      </w:r>
    </w:p>
    <w:p w14:paraId="48491DE4" w14:textId="77777777" w:rsidR="000F7F6A" w:rsidRDefault="00952983">
      <w:pPr>
        <w:pStyle w:val="Corpodetexto"/>
      </w:pPr>
      <w:r>
        <w:t>Finally, we also analyzed cohort fertility</w:t>
      </w:r>
      <w:ins w:id="296" w:author="Frank Japson" w:date="2020-11-10T15:52:00Z">
        <w:r w:rsidR="00FC2C7D">
          <w:t>,</w:t>
        </w:r>
      </w:ins>
      <w:r>
        <w:t xml:space="preserve"> tak</w:t>
      </w:r>
      <w:ins w:id="297" w:author="Frank Japson" w:date="2020-11-10T15:52:00Z">
        <w:r w:rsidR="00FC2C7D">
          <w:t>ing</w:t>
        </w:r>
      </w:ins>
      <w:del w:id="298" w:author="Frank Japson" w:date="2020-11-10T15:52:00Z">
        <w:r w:rsidDel="00FC2C7D">
          <w:delText>en</w:delText>
        </w:r>
      </w:del>
      <w:r>
        <w:t xml:space="preserve"> into account the regional socioeconomic disparities of the country</w:t>
      </w:r>
      <w:ins w:id="299" w:author="Frank Japson" w:date="2020-11-10T15:52:00Z">
        <w:r w:rsidR="00FC2C7D">
          <w:t>,</w:t>
        </w:r>
      </w:ins>
      <w:del w:id="300" w:author="Frank Japson" w:date="2020-11-10T15:52:00Z">
        <w:r w:rsidDel="00FC2C7D">
          <w:delText>, thus,</w:delText>
        </w:r>
      </w:del>
      <w:r>
        <w:t xml:space="preserve"> </w:t>
      </w:r>
      <w:del w:id="301" w:author="Frank Japson" w:date="2020-11-10T15:52:00Z">
        <w:r w:rsidDel="00FC2C7D">
          <w:delText xml:space="preserve">we </w:delText>
        </w:r>
        <w:r w:rsidDel="00FC2C7D">
          <w:lastRenderedPageBreak/>
          <w:delText>grouped</w:delText>
        </w:r>
      </w:del>
      <w:ins w:id="302" w:author="Frank Japson" w:date="2020-11-10T15:52:00Z">
        <w:r w:rsidR="00FC2C7D">
          <w:t>grouping</w:t>
        </w:r>
      </w:ins>
      <w:r>
        <w:t xml:space="preserve"> CRFs into 3 regions: 1) Midwest, 2) South-Southeast and 3) North-Northeast. These groups were chosen based on similar socioeconomic characteristics, shared characteristics of cohort fertility, as well as the assortative mating verified in previous analysis (Monteiro da Silva 2019).</w:t>
      </w:r>
      <w:ins w:id="303" w:author="Manilo Franklin" w:date="2020-11-20T10:55:00Z">
        <w:r w:rsidR="008026B0">
          <w:t xml:space="preserve"> </w:t>
        </w:r>
      </w:ins>
      <w:r>
        <w:t xml:space="preserve">This grouping facilitates managing scale issues of small sample sizes in regions of lower population density and lower population counts of </w:t>
      </w:r>
      <w:proofErr w:type="gramStart"/>
      <w:r>
        <w:t>particular educational</w:t>
      </w:r>
      <w:proofErr w:type="gramEnd"/>
      <w:r>
        <w:t xml:space="preserve"> groups. Notwithstanding, the general Brazilian fertility decline also followed this regional grouping (Gonçalves et al. 2019).</w:t>
      </w:r>
    </w:p>
    <w:p w14:paraId="380CA14D" w14:textId="77777777" w:rsidR="000F7F6A" w:rsidRDefault="00952983">
      <w:pPr>
        <w:pStyle w:val="Ttulo2"/>
      </w:pPr>
      <w:bookmarkStart w:id="304" w:name="cohort-fertility-trends-of-educational-p"/>
      <w:r>
        <w:t>3.2 Cohort fertility trends of educational pairings</w:t>
      </w:r>
      <w:bookmarkEnd w:id="304"/>
    </w:p>
    <w:p w14:paraId="5794C8E9" w14:textId="77777777" w:rsidR="000F7F6A" w:rsidRDefault="00952983">
      <w:pPr>
        <w:pStyle w:val="FirstParagraph"/>
      </w:pPr>
      <w:r>
        <w:t>Assuming the mentioned conditions and the educational categories, we estimated cohort fertility rates for each educational pairing profile by</w:t>
      </w:r>
    </w:p>
    <w:p w14:paraId="01EC667E" w14:textId="77777777" w:rsidR="000F7F6A" w:rsidRDefault="000B4A6A">
      <w:pPr>
        <w:pStyle w:val="Corpodetexto"/>
        <w:jc w:val="center"/>
      </w:pPr>
      <m:oMathPara>
        <m:oMath>
          <m:d>
            <m:dPr>
              <m:ctrlPr>
                <w:rPr>
                  <w:rFonts w:ascii="Cambria Math" w:hAnsi="Cambria Math"/>
                </w:rPr>
              </m:ctrlPr>
            </m:dPr>
            <m:e>
              <m:r>
                <w:rPr>
                  <w:rFonts w:ascii="Cambria Math" w:hAnsi="Cambria Math"/>
                </w:rPr>
                <m:t>1</m:t>
              </m:r>
            </m:e>
          </m:d>
          <m:r>
            <w:rPr>
              <w:rFonts w:ascii="Cambria Math" w:hAnsi="Cambria Math"/>
            </w:rPr>
            <m:t>CF</m:t>
          </m:r>
          <m:sSubSup>
            <m:sSubSupPr>
              <m:ctrlPr>
                <w:rPr>
                  <w:rFonts w:ascii="Cambria Math" w:hAnsi="Cambria Math"/>
                </w:rPr>
              </m:ctrlPr>
            </m:sSubSupPr>
            <m:e>
              <m:r>
                <w:rPr>
                  <w:rFonts w:ascii="Cambria Math" w:hAnsi="Cambria Math"/>
                </w:rPr>
                <m:t>R</m:t>
              </m:r>
            </m:e>
            <m:sub>
              <m:r>
                <w:rPr>
                  <w:rFonts w:ascii="Cambria Math" w:hAnsi="Cambria Math"/>
                </w:rPr>
                <m:t>F,M</m:t>
              </m:r>
            </m:sub>
            <m:sup>
              <m:r>
                <w:rPr>
                  <w:rFonts w:ascii="Cambria Math" w:hAnsi="Cambria Math"/>
                </w:rPr>
                <m:t>t</m:t>
              </m:r>
            </m:sup>
          </m:sSubSup>
          <m:r>
            <w:rPr>
              <w:rFonts w:ascii="Cambria Math" w:hAnsi="Cambria Math"/>
            </w:rPr>
            <m:t>=</m:t>
          </m:r>
          <m:f>
            <m:fPr>
              <m:ctrlPr>
                <w:rPr>
                  <w:rFonts w:ascii="Cambria Math" w:hAnsi="Cambria Math"/>
                </w:rPr>
              </m:ctrlPr>
            </m:fPr>
            <m:num>
              <m:r>
                <w:rPr>
                  <w:rFonts w:ascii="Cambria Math" w:hAnsi="Cambria Math"/>
                </w:rPr>
                <m:t>CHBOR</m:t>
              </m:r>
              <m:sSubSup>
                <m:sSubSupPr>
                  <m:ctrlPr>
                    <w:rPr>
                      <w:rFonts w:ascii="Cambria Math" w:hAnsi="Cambria Math"/>
                    </w:rPr>
                  </m:ctrlPr>
                </m:sSubSupPr>
                <m:e>
                  <m:r>
                    <w:rPr>
                      <w:rFonts w:ascii="Cambria Math" w:hAnsi="Cambria Math"/>
                    </w:rPr>
                    <m:t>N</m:t>
                  </m:r>
                </m:e>
                <m:sub>
                  <m:r>
                    <w:rPr>
                      <w:rFonts w:ascii="Cambria Math" w:hAnsi="Cambria Math"/>
                    </w:rPr>
                    <m:t>F,M</m:t>
                  </m:r>
                </m:sub>
                <m:sup>
                  <m:r>
                    <w:rPr>
                      <w:rFonts w:ascii="Cambria Math" w:hAnsi="Cambria Math"/>
                    </w:rPr>
                    <m:t>t</m:t>
                  </m:r>
                </m:sup>
              </m:sSubSup>
            </m:num>
            <m:den>
              <m:sSubSup>
                <m:sSubSupPr>
                  <m:ctrlPr>
                    <w:rPr>
                      <w:rFonts w:ascii="Cambria Math" w:hAnsi="Cambria Math"/>
                    </w:rPr>
                  </m:ctrlPr>
                </m:sSubSupPr>
                <m:e>
                  <m:r>
                    <w:rPr>
                      <w:rFonts w:ascii="Cambria Math" w:hAnsi="Cambria Math"/>
                    </w:rPr>
                    <m:t>W</m:t>
                  </m:r>
                </m:e>
                <m:sub>
                  <m:r>
                    <w:rPr>
                      <w:rFonts w:ascii="Cambria Math" w:hAnsi="Cambria Math"/>
                    </w:rPr>
                    <m:t>F,M</m:t>
                  </m:r>
                </m:sub>
                <m:sup>
                  <m:r>
                    <w:rPr>
                      <w:rFonts w:ascii="Cambria Math" w:hAnsi="Cambria Math"/>
                    </w:rPr>
                    <m:t>t</m:t>
                  </m:r>
                </m:sup>
              </m:sSubSup>
            </m:den>
          </m:f>
          <m:r>
            <w:rPr>
              <w:rFonts w:ascii="Cambria Math" w:hAnsi="Cambria Math"/>
            </w:rPr>
            <m:t>,</m:t>
          </m:r>
        </m:oMath>
      </m:oMathPara>
    </w:p>
    <w:p w14:paraId="6524AD10" w14:textId="77777777" w:rsidR="000F7F6A" w:rsidRDefault="00952983">
      <w:pPr>
        <w:pStyle w:val="FirstParagraph"/>
      </w:pPr>
      <w:r>
        <w:t>where,</w:t>
      </w:r>
    </w:p>
    <w:p w14:paraId="4B102EFB" w14:textId="77777777" w:rsidR="000F7F6A" w:rsidRDefault="00952983">
      <w:pPr>
        <w:numPr>
          <w:ilvl w:val="0"/>
          <w:numId w:val="1"/>
        </w:numPr>
      </w:pPr>
      <m:oMath>
        <m:r>
          <w:rPr>
            <w:rFonts w:ascii="Cambria Math" w:hAnsi="Cambria Math"/>
          </w:rPr>
          <m:t>CF</m:t>
        </m:r>
        <m:sSubSup>
          <m:sSubSupPr>
            <m:ctrlPr>
              <w:rPr>
                <w:rFonts w:ascii="Cambria Math" w:hAnsi="Cambria Math"/>
              </w:rPr>
            </m:ctrlPr>
          </m:sSubSupPr>
          <m:e>
            <m:r>
              <w:rPr>
                <w:rFonts w:ascii="Cambria Math" w:hAnsi="Cambria Math"/>
              </w:rPr>
              <m:t>R</m:t>
            </m:r>
          </m:e>
          <m:sub>
            <m:r>
              <w:rPr>
                <w:rFonts w:ascii="Cambria Math" w:hAnsi="Cambria Math"/>
              </w:rPr>
              <m:t>F,M</m:t>
            </m:r>
          </m:sub>
          <m:sup>
            <m:r>
              <w:rPr>
                <w:rFonts w:ascii="Cambria Math" w:hAnsi="Cambria Math"/>
              </w:rPr>
              <m:t>t</m:t>
            </m:r>
          </m:sup>
        </m:sSubSup>
      </m:oMath>
      <w:r>
        <w:t xml:space="preserve">: Cohort Fertility Rates for cohorts of women born in time t with an educational attainment level F married/in-union with a partner that reached an educational attainment level </w:t>
      </w:r>
      <w:proofErr w:type="gramStart"/>
      <w:r>
        <w:t>M;</w:t>
      </w:r>
      <w:proofErr w:type="gramEnd"/>
    </w:p>
    <w:p w14:paraId="46E740CE" w14:textId="77777777" w:rsidR="000F7F6A" w:rsidRDefault="00952983">
      <w:pPr>
        <w:numPr>
          <w:ilvl w:val="0"/>
          <w:numId w:val="1"/>
        </w:numPr>
      </w:pPr>
      <m:oMath>
        <m:r>
          <w:rPr>
            <w:rFonts w:ascii="Cambria Math" w:hAnsi="Cambria Math"/>
          </w:rPr>
          <m:t>CHBOR</m:t>
        </m:r>
        <m:sSubSup>
          <m:sSubSupPr>
            <m:ctrlPr>
              <w:rPr>
                <w:rFonts w:ascii="Cambria Math" w:hAnsi="Cambria Math"/>
              </w:rPr>
            </m:ctrlPr>
          </m:sSubSupPr>
          <m:e>
            <m:r>
              <w:rPr>
                <w:rFonts w:ascii="Cambria Math" w:hAnsi="Cambria Math"/>
              </w:rPr>
              <m:t>N</m:t>
            </m:r>
          </m:e>
          <m:sub>
            <m:r>
              <w:rPr>
                <w:rFonts w:ascii="Cambria Math" w:hAnsi="Cambria Math"/>
              </w:rPr>
              <m:t>F,M</m:t>
            </m:r>
          </m:sub>
          <m:sup>
            <m:r>
              <w:rPr>
                <w:rFonts w:ascii="Cambria Math" w:hAnsi="Cambria Math"/>
              </w:rPr>
              <m:t>t</m:t>
            </m:r>
          </m:sup>
        </m:sSubSup>
      </m:oMath>
      <w:r>
        <w:t xml:space="preserve">: Children Ever Born to cohorts of women born in time t with an educational attainment level F married/in-union with a partner that reached an educational attainment level </w:t>
      </w:r>
      <w:proofErr w:type="gramStart"/>
      <w:r>
        <w:t>M;</w:t>
      </w:r>
      <w:proofErr w:type="gramEnd"/>
    </w:p>
    <w:p w14:paraId="30ADEEB6" w14:textId="77777777" w:rsidR="000F7F6A" w:rsidRDefault="000B4A6A">
      <w:pPr>
        <w:numPr>
          <w:ilvl w:val="0"/>
          <w:numId w:val="1"/>
        </w:numPr>
      </w:pPr>
      <m:oMath>
        <m:sSubSup>
          <m:sSubSupPr>
            <m:ctrlPr>
              <w:rPr>
                <w:rFonts w:ascii="Cambria Math" w:hAnsi="Cambria Math"/>
              </w:rPr>
            </m:ctrlPr>
          </m:sSubSupPr>
          <m:e>
            <m:r>
              <w:rPr>
                <w:rFonts w:ascii="Cambria Math" w:hAnsi="Cambria Math"/>
              </w:rPr>
              <m:t>W</m:t>
            </m:r>
          </m:e>
          <m:sub>
            <m:r>
              <w:rPr>
                <w:rFonts w:ascii="Cambria Math" w:hAnsi="Cambria Math"/>
              </w:rPr>
              <m:t>F,M</m:t>
            </m:r>
          </m:sub>
          <m:sup>
            <m:r>
              <w:rPr>
                <w:rFonts w:ascii="Cambria Math" w:hAnsi="Cambria Math"/>
              </w:rPr>
              <m:t>t</m:t>
            </m:r>
          </m:sup>
        </m:sSubSup>
      </m:oMath>
      <w:r w:rsidR="00952983">
        <w:t>: Total number of women from the cohort born in time t with an educational attainment level F married/in-union with a partner that reached an educational attainment level M.</w:t>
      </w:r>
    </w:p>
    <w:p w14:paraId="1BAB87B9" w14:textId="77777777" w:rsidR="000F7F6A" w:rsidRDefault="00952983">
      <w:pPr>
        <w:pStyle w:val="FirstParagraph"/>
      </w:pPr>
      <w:r>
        <w:t xml:space="preserve">We compute CFRs in two ways for different methodological evaluations. First, we estimate CFRs for each educational pairing of women born cohorts, ranging from the years 1925-1969, grouped in five-year age groups and educational levels LP, P and S+ (secondary or tertiary education completed). The last two educational levels were grouped </w:t>
      </w:r>
      <w:ins w:id="305" w:author="Manilo Franklin" w:date="2020-11-20T10:56:00Z">
        <w:r w:rsidR="008026B0">
          <w:t xml:space="preserve">together </w:t>
        </w:r>
      </w:ins>
      <w:proofErr w:type="gramStart"/>
      <w:r>
        <w:t>in order to</w:t>
      </w:r>
      <w:proofErr w:type="gramEnd"/>
      <w:r>
        <w:t xml:space="preserve"> avoid small</w:t>
      </w:r>
      <w:ins w:id="306" w:author="Manilo Franklin" w:date="2020-11-20T10:56:00Z">
        <w:r w:rsidR="008026B0">
          <w:t>-</w:t>
        </w:r>
      </w:ins>
      <w:del w:id="307" w:author="Manilo Franklin" w:date="2020-11-20T10:56:00Z">
        <w:r w:rsidDel="008026B0">
          <w:delText xml:space="preserve"> </w:delText>
        </w:r>
      </w:del>
      <w:r>
        <w:t>sample size problems and noise CFRs estimates, due to few people with tertiary educational attainment levels from older cohorts.</w:t>
      </w:r>
    </w:p>
    <w:p w14:paraId="1E828240" w14:textId="77777777" w:rsidR="000F7F6A" w:rsidRDefault="00952983">
      <w:pPr>
        <w:pStyle w:val="Corpodetexto"/>
      </w:pPr>
      <w:r>
        <w:t xml:space="preserve">The CFR trends were then evaluated in terms of both males’ and females’ educational attainment levels, as a </w:t>
      </w:r>
      <w:del w:id="308" w:author="Manilo Franklin" w:date="2020-11-20T10:57:00Z">
        <w:r w:rsidDel="00847A84">
          <w:delText xml:space="preserve">way </w:delText>
        </w:r>
      </w:del>
      <w:ins w:id="309" w:author="Manilo Franklin" w:date="2020-11-20T10:57:00Z">
        <w:r w:rsidR="00847A84">
          <w:t xml:space="preserve">means </w:t>
        </w:r>
      </w:ins>
      <w:r>
        <w:t xml:space="preserve">to visualize how each partner’s </w:t>
      </w:r>
      <w:ins w:id="310" w:author="Manilo Franklin" w:date="2020-11-20T10:58:00Z">
        <w:r w:rsidR="00847A84">
          <w:t xml:space="preserve">level of </w:t>
        </w:r>
      </w:ins>
      <w:r>
        <w:t xml:space="preserve">schooling </w:t>
      </w:r>
      <w:del w:id="311" w:author="Manilo Franklin" w:date="2020-11-20T10:59:00Z">
        <w:r w:rsidDel="00847A84">
          <w:delText>influence</w:delText>
        </w:r>
      </w:del>
      <w:del w:id="312" w:author="Manilo Franklin" w:date="2020-11-20T10:58:00Z">
        <w:r w:rsidDel="00847A84">
          <w:delText>s</w:delText>
        </w:r>
      </w:del>
      <w:del w:id="313" w:author="Manilo Franklin" w:date="2020-11-20T10:59:00Z">
        <w:r w:rsidDel="00847A84">
          <w:delText xml:space="preserve"> </w:delText>
        </w:r>
      </w:del>
      <w:ins w:id="314" w:author="Manilo Franklin" w:date="2020-11-20T10:59:00Z">
        <w:r w:rsidR="00847A84">
          <w:t xml:space="preserve">influences </w:t>
        </w:r>
      </w:ins>
      <w:ins w:id="315" w:author="Manilo Franklin" w:date="2020-11-20T10:58:00Z">
        <w:r w:rsidR="00847A84">
          <w:t xml:space="preserve">the development of </w:t>
        </w:r>
      </w:ins>
      <w:del w:id="316" w:author="Manilo Franklin" w:date="2020-11-20T10:58:00Z">
        <w:r w:rsidDel="00847A84">
          <w:delText xml:space="preserve">Brazilian </w:delText>
        </w:r>
      </w:del>
      <w:r>
        <w:t>regional fertility</w:t>
      </w:r>
      <w:ins w:id="317" w:author="Manilo Franklin" w:date="2020-11-20T10:59:00Z">
        <w:r w:rsidR="00847A84">
          <w:t xml:space="preserve"> in Brazil</w:t>
        </w:r>
      </w:ins>
      <w:del w:id="318" w:author="Manilo Franklin" w:date="2020-11-20T10:58:00Z">
        <w:r w:rsidDel="00847A84">
          <w:delText xml:space="preserve"> developments</w:delText>
        </w:r>
      </w:del>
      <w:r>
        <w:t>.</w:t>
      </w:r>
    </w:p>
    <w:p w14:paraId="0FCB9404" w14:textId="77777777" w:rsidR="000F7F6A" w:rsidRDefault="00952983">
      <w:pPr>
        <w:pStyle w:val="Ttulo2"/>
      </w:pPr>
      <w:bookmarkStart w:id="319" w:name="decomposition-of-cfrs-by-educational-pai"/>
      <w:r>
        <w:t>3.3 Decomposition of CFRs by educational pairing</w:t>
      </w:r>
      <w:bookmarkEnd w:id="319"/>
    </w:p>
    <w:p w14:paraId="0FFA0ADD" w14:textId="77777777" w:rsidR="000F7F6A" w:rsidRDefault="00952983">
      <w:pPr>
        <w:pStyle w:val="FirstParagraph"/>
      </w:pPr>
      <w:r>
        <w:t xml:space="preserve">In a </w:t>
      </w:r>
      <w:del w:id="320" w:author="Manilo Franklin" w:date="2020-11-20T10:59:00Z">
        <w:r w:rsidDel="00847A84">
          <w:delText xml:space="preserve">second </w:delText>
        </w:r>
      </w:del>
      <w:ins w:id="321" w:author="Manilo Franklin" w:date="2020-11-20T10:59:00Z">
        <w:r w:rsidR="00847A84">
          <w:t xml:space="preserve">separate </w:t>
        </w:r>
      </w:ins>
      <w:del w:id="322" w:author="Manilo Franklin" w:date="2020-11-20T10:59:00Z">
        <w:r w:rsidDel="00847A84">
          <w:delText>moment</w:delText>
        </w:r>
      </w:del>
      <w:ins w:id="323" w:author="Manilo Franklin" w:date="2020-11-20T10:59:00Z">
        <w:r w:rsidR="00847A84">
          <w:t>instance</w:t>
        </w:r>
      </w:ins>
      <w:r>
        <w:t xml:space="preserve">, we </w:t>
      </w:r>
      <w:ins w:id="324" w:author="Manilo Franklin" w:date="2020-11-20T10:59:00Z">
        <w:r w:rsidR="00847A84">
          <w:t xml:space="preserve">have </w:t>
        </w:r>
      </w:ins>
      <w:r>
        <w:t>computed CFR for three female cohorts corresponding to a 15</w:t>
      </w:r>
      <w:ins w:id="325" w:author="Manilo Franklin" w:date="2020-11-20T11:01:00Z">
        <w:r w:rsidR="002A52CE">
          <w:t>-</w:t>
        </w:r>
      </w:ins>
      <w:del w:id="326" w:author="Manilo Franklin" w:date="2020-11-20T11:01:00Z">
        <w:r w:rsidDel="002A52CE">
          <w:delText xml:space="preserve"> </w:delText>
        </w:r>
      </w:del>
      <w:r>
        <w:t xml:space="preserve">year time interval. We </w:t>
      </w:r>
      <w:ins w:id="327" w:author="Manilo Franklin" w:date="2020-11-20T11:00:00Z">
        <w:r w:rsidR="00847A84">
          <w:t xml:space="preserve">have </w:t>
        </w:r>
      </w:ins>
      <w:r>
        <w:t>divided these cohorts according to phases of schooling expansion, for men and women, and their correspondent fertility transition phase as described below:</w:t>
      </w:r>
    </w:p>
    <w:p w14:paraId="067F769D" w14:textId="77777777" w:rsidR="000F7F6A" w:rsidRDefault="00952983">
      <w:pPr>
        <w:numPr>
          <w:ilvl w:val="0"/>
          <w:numId w:val="2"/>
        </w:numPr>
      </w:pPr>
      <w:r>
        <w:lastRenderedPageBreak/>
        <w:t>Cohorts born between the years 1925-39: older female cohorts, forerunners of the processes of fertility decline in the country and they have experienced the intensification of female schooling (Azevedo and Ferreira 2006</w:t>
      </w:r>
      <w:proofErr w:type="gramStart"/>
      <w:r>
        <w:t>);</w:t>
      </w:r>
      <w:proofErr w:type="gramEnd"/>
    </w:p>
    <w:p w14:paraId="62F60C98" w14:textId="77777777" w:rsidR="000F7F6A" w:rsidRDefault="00952983">
      <w:pPr>
        <w:numPr>
          <w:ilvl w:val="0"/>
          <w:numId w:val="2"/>
        </w:numPr>
      </w:pPr>
      <w:r>
        <w:t>Cohorts born between the years 1940-54: women born in a period of educational system expansion and who are still presenting lower schooling levels than men (</w:t>
      </w:r>
      <w:proofErr w:type="spellStart"/>
      <w:r>
        <w:t>Beltrão</w:t>
      </w:r>
      <w:proofErr w:type="spellEnd"/>
      <w:r>
        <w:t xml:space="preserve"> and Alves 2009). These women, however, </w:t>
      </w:r>
      <w:del w:id="328" w:author="Manilo Franklin" w:date="2020-11-20T11:05:00Z">
        <w:r w:rsidDel="00737B11">
          <w:delText xml:space="preserve">responded </w:delText>
        </w:r>
      </w:del>
      <w:ins w:id="329" w:author="Manilo Franklin" w:date="2020-11-20T11:05:00Z">
        <w:r w:rsidR="00737B11">
          <w:t xml:space="preserve">account </w:t>
        </w:r>
      </w:ins>
      <w:r>
        <w:t>for a large share of fertility decline</w:t>
      </w:r>
      <w:ins w:id="330" w:author="Manilo Franklin" w:date="2020-11-20T11:06:00Z">
        <w:r w:rsidR="00737B11">
          <w:t>,</w:t>
        </w:r>
      </w:ins>
      <w:r>
        <w:t xml:space="preserve"> </w:t>
      </w:r>
      <w:ins w:id="331" w:author="Manilo Franklin" w:date="2020-11-20T11:05:00Z">
        <w:r w:rsidR="00737B11">
          <w:t xml:space="preserve">which took place </w:t>
        </w:r>
      </w:ins>
      <w:r>
        <w:t xml:space="preserve">in </w:t>
      </w:r>
      <w:del w:id="332" w:author="Manilo Franklin" w:date="2020-11-20T11:05:00Z">
        <w:r w:rsidDel="00737B11">
          <w:delText xml:space="preserve">decades </w:delText>
        </w:r>
      </w:del>
      <w:ins w:id="333" w:author="Manilo Franklin" w:date="2020-11-20T11:05:00Z">
        <w:r w:rsidR="00737B11">
          <w:t xml:space="preserve">the period </w:t>
        </w:r>
      </w:ins>
      <w:r>
        <w:t>of 1960-80, influenced by the diffusion of modern contraceptive methods (Carvalho and Wong 1992; Goldin and Katz 2002; Merrick and Berquó 1983);</w:t>
      </w:r>
    </w:p>
    <w:p w14:paraId="144E1FD4" w14:textId="77777777" w:rsidR="000F7F6A" w:rsidRDefault="00952983">
      <w:pPr>
        <w:numPr>
          <w:ilvl w:val="0"/>
          <w:numId w:val="2"/>
        </w:numPr>
      </w:pPr>
      <w:r>
        <w:t>Cohorts born between the years 1955-1969: younger female cohorts that have achieved higher schooling levels than men</w:t>
      </w:r>
      <w:del w:id="334" w:author="Manilo Franklin" w:date="2020-11-20T11:06:00Z">
        <w:r w:rsidDel="001D63A1">
          <w:delText>,</w:delText>
        </w:r>
      </w:del>
      <w:r>
        <w:t xml:space="preserve"> and have experienced higher labor market participation rates than previous female cohorts (</w:t>
      </w:r>
      <w:proofErr w:type="spellStart"/>
      <w:r>
        <w:t>Beltrão</w:t>
      </w:r>
      <w:proofErr w:type="spellEnd"/>
      <w:r>
        <w:t xml:space="preserve"> and Alves 2009; Lam, </w:t>
      </w:r>
      <w:proofErr w:type="spellStart"/>
      <w:r>
        <w:t>Sedlacek</w:t>
      </w:r>
      <w:proofErr w:type="spellEnd"/>
      <w:r>
        <w:t xml:space="preserve">, and Duryea 1992; </w:t>
      </w:r>
      <w:proofErr w:type="spellStart"/>
      <w:r>
        <w:t>Scorzafave</w:t>
      </w:r>
      <w:proofErr w:type="spellEnd"/>
      <w:r>
        <w:t xml:space="preserve"> and Menezes-Filho 2001).</w:t>
      </w:r>
    </w:p>
    <w:p w14:paraId="1427BE1E" w14:textId="77777777" w:rsidR="000F7F6A" w:rsidRDefault="00952983">
      <w:pPr>
        <w:pStyle w:val="FirstParagraph"/>
      </w:pPr>
      <w:r>
        <w:t>Taking more cohorts into consideration made it possible to evaluate even the tertiary education influence on cohort fertility</w:t>
      </w:r>
      <w:del w:id="335" w:author="Manilo Franklin" w:date="2020-11-20T11:06:00Z">
        <w:r w:rsidDel="00CA78B5">
          <w:delText>,</w:delText>
        </w:r>
      </w:del>
      <w:r>
        <w:t xml:space="preserve"> and decompose the effects of educational expansion and changing conjugal profiles in fertility by comparing each cohort group separately. We apply a demographic decomposition method (Das Gupta 1993), performed by </w:t>
      </w:r>
      <w:proofErr w:type="spellStart"/>
      <w:r>
        <w:t>Yoo</w:t>
      </w:r>
      <w:proofErr w:type="spellEnd"/>
      <w:r>
        <w:t xml:space="preserve"> (2014), to assess both influence of educational pairings </w:t>
      </w:r>
      <w:r>
        <w:lastRenderedPageBreak/>
        <w:t>(</w:t>
      </w:r>
      <w:r>
        <w:rPr>
          <w:i/>
        </w:rPr>
        <w:t>composition effects</w:t>
      </w:r>
      <w:r>
        <w:t>) and cohort (</w:t>
      </w:r>
      <w:r>
        <w:rPr>
          <w:i/>
        </w:rPr>
        <w:t>rate effects</w:t>
      </w:r>
      <w:r>
        <w:t>) on fertility differentials (</w:t>
      </w:r>
      <m:oMath>
        <m:r>
          <w:rPr>
            <w:rFonts w:ascii="Cambria Math" w:hAnsi="Cambria Math"/>
          </w:rPr>
          <m:t>ΔCFR</m:t>
        </m:r>
      </m:oMath>
      <w:r>
        <w:t>).</w:t>
      </w:r>
    </w:p>
    <w:p w14:paraId="53B53DEB" w14:textId="77777777" w:rsidR="000F7F6A" w:rsidRDefault="00952983">
      <w:pPr>
        <w:pStyle w:val="Corpodetexto"/>
      </w:pPr>
      <w:r>
        <w:t>The overall CFR for a given period T is computed by</w:t>
      </w:r>
    </w:p>
    <w:p w14:paraId="6B1542F9" w14:textId="77777777" w:rsidR="000F7F6A" w:rsidRDefault="000B4A6A">
      <w:pPr>
        <w:pStyle w:val="Corpodetexto"/>
        <w:jc w:val="center"/>
      </w:pPr>
      <m:oMathPara>
        <m:oMath>
          <m:d>
            <m:dPr>
              <m:ctrlPr>
                <w:rPr>
                  <w:rFonts w:ascii="Cambria Math" w:hAnsi="Cambria Math"/>
                </w:rPr>
              </m:ctrlPr>
            </m:dPr>
            <m:e>
              <m:r>
                <w:rPr>
                  <w:rFonts w:ascii="Cambria Math" w:hAnsi="Cambria Math"/>
                </w:rPr>
                <m:t>2</m:t>
              </m:r>
            </m:e>
          </m:d>
          <m:r>
            <w:rPr>
              <w:rFonts w:ascii="Cambria Math" w:hAnsi="Cambria Math"/>
            </w:rPr>
            <m:t>CF</m:t>
          </m:r>
          <m:sSup>
            <m:sSupPr>
              <m:ctrlPr>
                <w:rPr>
                  <w:rFonts w:ascii="Cambria Math" w:hAnsi="Cambria Math"/>
                </w:rPr>
              </m:ctrlPr>
            </m:sSupPr>
            <m:e>
              <m:r>
                <w:rPr>
                  <w:rFonts w:ascii="Cambria Math" w:hAnsi="Cambria Math"/>
                </w:rPr>
                <m:t>R</m:t>
              </m:r>
            </m:e>
            <m:sup>
              <m:r>
                <w:rPr>
                  <w:rFonts w:ascii="Cambria Math" w:hAnsi="Cambria Math"/>
                </w:rPr>
                <m:t>T</m:t>
              </m:r>
            </m:sup>
          </m:sSup>
          <m:r>
            <w:rPr>
              <w:rFonts w:ascii="Cambria Math" w:hAnsi="Cambria Math"/>
            </w:rPr>
            <m:t>=</m:t>
          </m:r>
          <m:nary>
            <m:naryPr>
              <m:chr m:val="∑"/>
              <m:ctrlPr>
                <w:rPr>
                  <w:rFonts w:ascii="Cambria Math" w:hAnsi="Cambria Math"/>
                </w:rPr>
              </m:ctrlPr>
            </m:naryPr>
            <m:sub>
              <m:r>
                <w:rPr>
                  <w:rFonts w:ascii="Cambria Math" w:hAnsi="Cambria Math"/>
                </w:rPr>
                <m:t>i</m:t>
              </m:r>
            </m:sub>
            <m:sup>
              <m:r>
                <w:rPr>
                  <w:rFonts w:ascii="Cambria Math" w:hAnsi="Cambria Math"/>
                </w:rPr>
                <m:t>ep</m:t>
              </m:r>
            </m:sup>
            <m:e>
              <m:r>
                <w:rPr>
                  <w:rFonts w:ascii="Cambria Math" w:hAnsi="Cambria Math"/>
                </w:rPr>
                <m:t>C</m:t>
              </m:r>
            </m:e>
          </m:nary>
          <m:r>
            <w:rPr>
              <w:rFonts w:ascii="Cambria Math" w:hAnsi="Cambria Math"/>
            </w:rPr>
            <m:t>F</m:t>
          </m:r>
          <m:sSubSup>
            <m:sSubSupPr>
              <m:ctrlPr>
                <w:rPr>
                  <w:rFonts w:ascii="Cambria Math" w:hAnsi="Cambria Math"/>
                </w:rPr>
              </m:ctrlPr>
            </m:sSubSupPr>
            <m:e>
              <m:r>
                <w:rPr>
                  <w:rFonts w:ascii="Cambria Math" w:hAnsi="Cambria Math"/>
                </w:rPr>
                <m:t>R</m:t>
              </m:r>
            </m:e>
            <m:sub>
              <m:r>
                <w:rPr>
                  <w:rFonts w:ascii="Cambria Math" w:hAnsi="Cambria Math"/>
                </w:rPr>
                <m:t>ep</m:t>
              </m:r>
            </m:sub>
            <m:sup>
              <m:r>
                <w:rPr>
                  <w:rFonts w:ascii="Cambria Math" w:hAnsi="Cambria Math"/>
                </w:rPr>
                <m:t>T</m:t>
              </m:r>
            </m:sup>
          </m:sSubSup>
          <m:sSubSup>
            <m:sSubSupPr>
              <m:ctrlPr>
                <w:rPr>
                  <w:rFonts w:ascii="Cambria Math" w:hAnsi="Cambria Math"/>
                </w:rPr>
              </m:ctrlPr>
            </m:sSubSupPr>
            <m:e>
              <m:r>
                <w:rPr>
                  <w:rFonts w:ascii="Cambria Math" w:hAnsi="Cambria Math"/>
                </w:rPr>
                <m:t>P</m:t>
              </m:r>
            </m:e>
            <m:sub>
              <m:r>
                <w:rPr>
                  <w:rFonts w:ascii="Cambria Math" w:hAnsi="Cambria Math"/>
                </w:rPr>
                <m:t>ep</m:t>
              </m:r>
            </m:sub>
            <m:sup>
              <m:r>
                <w:rPr>
                  <w:rFonts w:ascii="Cambria Math" w:hAnsi="Cambria Math"/>
                </w:rPr>
                <m:t>T</m:t>
              </m:r>
            </m:sup>
          </m:sSubSup>
          <m:r>
            <w:rPr>
              <w:rFonts w:ascii="Cambria Math" w:hAnsi="Cambria Math"/>
            </w:rPr>
            <m:t>.</m:t>
          </m:r>
        </m:oMath>
      </m:oMathPara>
    </w:p>
    <w:p w14:paraId="29B74C29" w14:textId="77777777" w:rsidR="000F7F6A" w:rsidRDefault="00952983">
      <w:pPr>
        <w:pStyle w:val="FirstParagraph"/>
      </w:pPr>
      <w:r>
        <w:t>Further, the differences in CFR from time T1 to time T2 are given by</w:t>
      </w:r>
    </w:p>
    <w:p w14:paraId="77F1848D" w14:textId="77777777" w:rsidR="000F7F6A" w:rsidRDefault="000B4A6A">
      <w:pPr>
        <w:pStyle w:val="Corpodetexto"/>
        <w:jc w:val="center"/>
      </w:pPr>
      <m:oMathPara>
        <m:oMath>
          <m:d>
            <m:dPr>
              <m:ctrlPr>
                <w:rPr>
                  <w:rFonts w:ascii="Cambria Math" w:hAnsi="Cambria Math"/>
                </w:rPr>
              </m:ctrlPr>
            </m:dPr>
            <m:e>
              <m:r>
                <w:rPr>
                  <w:rFonts w:ascii="Cambria Math" w:hAnsi="Cambria Math"/>
                </w:rPr>
                <m:t>3</m:t>
              </m:r>
            </m:e>
          </m:d>
          <m:r>
            <w:rPr>
              <w:rFonts w:ascii="Cambria Math" w:hAnsi="Cambria Math"/>
            </w:rPr>
            <m:t>ΔCF</m:t>
          </m:r>
          <m:sSub>
            <m:sSubPr>
              <m:ctrlPr>
                <w:rPr>
                  <w:rFonts w:ascii="Cambria Math" w:hAnsi="Cambria Math"/>
                </w:rPr>
              </m:ctrlPr>
            </m:sSubPr>
            <m:e>
              <m:r>
                <w:rPr>
                  <w:rFonts w:ascii="Cambria Math" w:hAnsi="Cambria Math"/>
                </w:rPr>
                <m:t>R</m:t>
              </m:r>
            </m:e>
            <m:sub>
              <m:r>
                <w:rPr>
                  <w:rFonts w:ascii="Cambria Math" w:hAnsi="Cambria Math"/>
                </w:rPr>
                <m:t>12</m:t>
              </m:r>
            </m:sub>
          </m:sSub>
          <m:r>
            <w:rPr>
              <w:rFonts w:ascii="Cambria Math" w:hAnsi="Cambria Math"/>
            </w:rPr>
            <m:t>=CF</m:t>
          </m:r>
          <m:sSup>
            <m:sSupPr>
              <m:ctrlPr>
                <w:rPr>
                  <w:rFonts w:ascii="Cambria Math" w:hAnsi="Cambria Math"/>
                </w:rPr>
              </m:ctrlPr>
            </m:sSupPr>
            <m:e>
              <m:r>
                <w:rPr>
                  <w:rFonts w:ascii="Cambria Math" w:hAnsi="Cambria Math"/>
                </w:rPr>
                <m:t>R</m:t>
              </m:r>
            </m:e>
            <m:sup>
              <m:r>
                <w:rPr>
                  <w:rFonts w:ascii="Cambria Math" w:hAnsi="Cambria Math"/>
                </w:rPr>
                <m:t>T1</m:t>
              </m:r>
            </m:sup>
          </m:sSup>
          <m:r>
            <w:rPr>
              <w:rFonts w:ascii="Cambria Math" w:hAnsi="Cambria Math"/>
            </w:rPr>
            <m:t>-CF</m:t>
          </m:r>
          <m:sSup>
            <m:sSupPr>
              <m:ctrlPr>
                <w:rPr>
                  <w:rFonts w:ascii="Cambria Math" w:hAnsi="Cambria Math"/>
                </w:rPr>
              </m:ctrlPr>
            </m:sSupPr>
            <m:e>
              <m:r>
                <w:rPr>
                  <w:rFonts w:ascii="Cambria Math" w:hAnsi="Cambria Math"/>
                </w:rPr>
                <m:t>R</m:t>
              </m:r>
            </m:e>
            <m:sup>
              <m:r>
                <w:rPr>
                  <w:rFonts w:ascii="Cambria Math" w:hAnsi="Cambria Math"/>
                </w:rPr>
                <m:t>T2</m:t>
              </m:r>
            </m:sup>
          </m:sSup>
          <m:r>
            <w:rPr>
              <w:rFonts w:ascii="Cambria Math" w:hAnsi="Cambria Math"/>
            </w:rPr>
            <m:t>=</m:t>
          </m:r>
          <m:nary>
            <m:naryPr>
              <m:chr m:val="∑"/>
              <m:ctrlPr>
                <w:rPr>
                  <w:rFonts w:ascii="Cambria Math" w:hAnsi="Cambria Math"/>
                </w:rPr>
              </m:ctrlPr>
            </m:naryPr>
            <m:sub>
              <m:r>
                <w:rPr>
                  <w:rFonts w:ascii="Cambria Math" w:hAnsi="Cambria Math"/>
                </w:rPr>
                <m:t>i</m:t>
              </m:r>
            </m:sub>
            <m:sup>
              <m:r>
                <w:rPr>
                  <w:rFonts w:ascii="Cambria Math" w:hAnsi="Cambria Math"/>
                </w:rPr>
                <m:t>ep</m:t>
              </m:r>
            </m:sup>
            <m:e>
              <m:r>
                <w:rPr>
                  <w:rFonts w:ascii="Cambria Math" w:hAnsi="Cambria Math"/>
                </w:rPr>
                <m:t>C</m:t>
              </m:r>
            </m:e>
          </m:nary>
          <m:r>
            <w:rPr>
              <w:rFonts w:ascii="Cambria Math" w:hAnsi="Cambria Math"/>
            </w:rPr>
            <m:t>F</m:t>
          </m:r>
          <m:sSubSup>
            <m:sSubSupPr>
              <m:ctrlPr>
                <w:rPr>
                  <w:rFonts w:ascii="Cambria Math" w:hAnsi="Cambria Math"/>
                </w:rPr>
              </m:ctrlPr>
            </m:sSubSupPr>
            <m:e>
              <m:r>
                <w:rPr>
                  <w:rFonts w:ascii="Cambria Math" w:hAnsi="Cambria Math"/>
                </w:rPr>
                <m:t>R</m:t>
              </m:r>
            </m:e>
            <m:sub>
              <m:r>
                <w:rPr>
                  <w:rFonts w:ascii="Cambria Math" w:hAnsi="Cambria Math"/>
                </w:rPr>
                <m:t>ep</m:t>
              </m:r>
            </m:sub>
            <m:sup>
              <m:r>
                <w:rPr>
                  <w:rFonts w:ascii="Cambria Math" w:hAnsi="Cambria Math"/>
                </w:rPr>
                <m:t>T1</m:t>
              </m:r>
            </m:sup>
          </m:sSubSup>
          <m:sSubSup>
            <m:sSubSupPr>
              <m:ctrlPr>
                <w:rPr>
                  <w:rFonts w:ascii="Cambria Math" w:hAnsi="Cambria Math"/>
                </w:rPr>
              </m:ctrlPr>
            </m:sSubSupPr>
            <m:e>
              <m:r>
                <w:rPr>
                  <w:rFonts w:ascii="Cambria Math" w:hAnsi="Cambria Math"/>
                </w:rPr>
                <m:t>P</m:t>
              </m:r>
            </m:e>
            <m:sub>
              <m:r>
                <w:rPr>
                  <w:rFonts w:ascii="Cambria Math" w:hAnsi="Cambria Math"/>
                </w:rPr>
                <m:t>ep</m:t>
              </m:r>
            </m:sub>
            <m:sup>
              <m:r>
                <w:rPr>
                  <w:rFonts w:ascii="Cambria Math" w:hAnsi="Cambria Math"/>
                </w:rPr>
                <m:t>T1</m:t>
              </m:r>
            </m:sup>
          </m:sSubSup>
          <m:r>
            <w:rPr>
              <w:rFonts w:ascii="Cambria Math" w:hAnsi="Cambria Math"/>
            </w:rPr>
            <m:t>-</m:t>
          </m:r>
          <m:nary>
            <m:naryPr>
              <m:chr m:val="∑"/>
              <m:ctrlPr>
                <w:rPr>
                  <w:rFonts w:ascii="Cambria Math" w:hAnsi="Cambria Math"/>
                </w:rPr>
              </m:ctrlPr>
            </m:naryPr>
            <m:sub>
              <m:r>
                <w:rPr>
                  <w:rFonts w:ascii="Cambria Math" w:hAnsi="Cambria Math"/>
                </w:rPr>
                <m:t>i</m:t>
              </m:r>
            </m:sub>
            <m:sup>
              <m:r>
                <w:rPr>
                  <w:rFonts w:ascii="Cambria Math" w:hAnsi="Cambria Math"/>
                </w:rPr>
                <m:t>ep</m:t>
              </m:r>
            </m:sup>
            <m:e>
              <m:r>
                <w:rPr>
                  <w:rFonts w:ascii="Cambria Math" w:hAnsi="Cambria Math"/>
                </w:rPr>
                <m:t>C</m:t>
              </m:r>
            </m:e>
          </m:nary>
          <m:r>
            <w:rPr>
              <w:rFonts w:ascii="Cambria Math" w:hAnsi="Cambria Math"/>
            </w:rPr>
            <m:t>F</m:t>
          </m:r>
          <m:sSubSup>
            <m:sSubSupPr>
              <m:ctrlPr>
                <w:rPr>
                  <w:rFonts w:ascii="Cambria Math" w:hAnsi="Cambria Math"/>
                </w:rPr>
              </m:ctrlPr>
            </m:sSubSupPr>
            <m:e>
              <m:r>
                <w:rPr>
                  <w:rFonts w:ascii="Cambria Math" w:hAnsi="Cambria Math"/>
                </w:rPr>
                <m:t>R</m:t>
              </m:r>
            </m:e>
            <m:sub>
              <m:r>
                <w:rPr>
                  <w:rFonts w:ascii="Cambria Math" w:hAnsi="Cambria Math"/>
                </w:rPr>
                <m:t>ep</m:t>
              </m:r>
            </m:sub>
            <m:sup>
              <m:r>
                <w:rPr>
                  <w:rFonts w:ascii="Cambria Math" w:hAnsi="Cambria Math"/>
                </w:rPr>
                <m:t>T2</m:t>
              </m:r>
            </m:sup>
          </m:sSubSup>
          <m:sSubSup>
            <m:sSubSupPr>
              <m:ctrlPr>
                <w:rPr>
                  <w:rFonts w:ascii="Cambria Math" w:hAnsi="Cambria Math"/>
                </w:rPr>
              </m:ctrlPr>
            </m:sSubSupPr>
            <m:e>
              <m:r>
                <w:rPr>
                  <w:rFonts w:ascii="Cambria Math" w:hAnsi="Cambria Math"/>
                </w:rPr>
                <m:t>P</m:t>
              </m:r>
            </m:e>
            <m:sub>
              <m:r>
                <w:rPr>
                  <w:rFonts w:ascii="Cambria Math" w:hAnsi="Cambria Math"/>
                </w:rPr>
                <m:t>ep</m:t>
              </m:r>
            </m:sub>
            <m:sup>
              <m:r>
                <w:rPr>
                  <w:rFonts w:ascii="Cambria Math" w:hAnsi="Cambria Math"/>
                </w:rPr>
                <m:t>T2</m:t>
              </m:r>
            </m:sup>
          </m:sSubSup>
          <m:r>
            <w:rPr>
              <w:rFonts w:ascii="Cambria Math" w:hAnsi="Cambria Math"/>
            </w:rPr>
            <m:t>,</m:t>
          </m:r>
        </m:oMath>
      </m:oMathPara>
    </w:p>
    <w:p w14:paraId="07771641" w14:textId="77777777" w:rsidR="000F7F6A" w:rsidRDefault="00952983">
      <w:pPr>
        <w:pStyle w:val="FirstParagraph"/>
      </w:pPr>
      <w:r>
        <w:t>where,</w:t>
      </w:r>
    </w:p>
    <w:p w14:paraId="7E9D66FE" w14:textId="77777777" w:rsidR="000F7F6A" w:rsidRDefault="00952983">
      <w:pPr>
        <w:numPr>
          <w:ilvl w:val="0"/>
          <w:numId w:val="3"/>
        </w:numPr>
      </w:pPr>
      <m:oMath>
        <m:r>
          <w:rPr>
            <w:rFonts w:ascii="Cambria Math" w:hAnsi="Cambria Math"/>
          </w:rPr>
          <m:t>T</m:t>
        </m:r>
      </m:oMath>
      <w:r>
        <w:t xml:space="preserve"> is the female cohort birth period that assume 3 cohort intervals: T = {1925-</w:t>
      </w:r>
      <w:proofErr w:type="gramStart"/>
      <w:r>
        <w:t>39, 1940-54,</w:t>
      </w:r>
      <w:proofErr w:type="gramEnd"/>
      <w:r>
        <w:t xml:space="preserve"> 1955-69};</w:t>
      </w:r>
    </w:p>
    <w:p w14:paraId="778524FE" w14:textId="77777777" w:rsidR="000F7F6A" w:rsidRDefault="00952983">
      <w:pPr>
        <w:numPr>
          <w:ilvl w:val="0"/>
          <w:numId w:val="3"/>
        </w:numPr>
      </w:pPr>
      <m:oMath>
        <m:r>
          <w:rPr>
            <w:rFonts w:ascii="Cambria Math" w:hAnsi="Cambria Math"/>
          </w:rPr>
          <m:t>ep</m:t>
        </m:r>
      </m:oMath>
      <w:r>
        <w:t xml:space="preserve"> is the educational pairing profile, which assumes 16 possible combinations of female and male educational levels (F,M): ep = {(LP,LP), (LP,P), (LP,S), (LP,T), (P,LP), (P,P), (P,S), (P,T), (S,LP), (S,P), (S,S), (S,T), (T,LP), (T,P), (T,S), (T,T)};</w:t>
      </w:r>
    </w:p>
    <w:p w14:paraId="49E914E4" w14:textId="77777777" w:rsidR="000F7F6A" w:rsidRDefault="000B4A6A">
      <w:pPr>
        <w:numPr>
          <w:ilvl w:val="0"/>
          <w:numId w:val="3"/>
        </w:numPr>
      </w:pPr>
      <m:oMath>
        <m:sSubSup>
          <m:sSubSupPr>
            <m:ctrlPr>
              <w:rPr>
                <w:rFonts w:ascii="Cambria Math" w:hAnsi="Cambria Math"/>
              </w:rPr>
            </m:ctrlPr>
          </m:sSubSupPr>
          <m:e>
            <m:r>
              <w:rPr>
                <w:rFonts w:ascii="Cambria Math" w:hAnsi="Cambria Math"/>
              </w:rPr>
              <m:t>P</m:t>
            </m:r>
          </m:e>
          <m:sub>
            <m:r>
              <w:rPr>
                <w:rFonts w:ascii="Cambria Math" w:hAnsi="Cambria Math"/>
              </w:rPr>
              <m:t>ep</m:t>
            </m:r>
          </m:sub>
          <m:sup>
            <m:r>
              <w:rPr>
                <w:rFonts w:ascii="Cambria Math" w:hAnsi="Cambria Math"/>
              </w:rPr>
              <m:t>T</m:t>
            </m:r>
          </m:sup>
        </m:sSubSup>
      </m:oMath>
      <w:r w:rsidR="00952983">
        <w:t xml:space="preserve"> is the proportion of education paired couples for female cohort </w:t>
      </w:r>
      <m:oMath>
        <m:r>
          <w:rPr>
            <w:rFonts w:ascii="Cambria Math" w:hAnsi="Cambria Math"/>
          </w:rPr>
          <m:t>T</m:t>
        </m:r>
      </m:oMath>
      <w:r w:rsidR="00952983">
        <w:t xml:space="preserve"> with an </w:t>
      </w:r>
      <m:oMath>
        <m:r>
          <w:rPr>
            <w:rFonts w:ascii="Cambria Math" w:hAnsi="Cambria Math"/>
          </w:rPr>
          <m:t>ep</m:t>
        </m:r>
      </m:oMath>
      <w:r w:rsidR="00952983">
        <w:t xml:space="preserve"> </w:t>
      </w:r>
      <w:proofErr w:type="gramStart"/>
      <w:r w:rsidR="00952983">
        <w:t>profile.</w:t>
      </w:r>
      <w:proofErr w:type="gramEnd"/>
    </w:p>
    <w:p w14:paraId="0DD348F8" w14:textId="77777777" w:rsidR="000F7F6A" w:rsidRDefault="00952983">
      <w:pPr>
        <w:pStyle w:val="FirstParagraph"/>
      </w:pPr>
      <w:r>
        <w:t xml:space="preserve">The cohort fertility differences are estimated pairwise, i.e., between female cohorts born in 1925-39 and 1940-54, between 1940-54 and 1955-69 cohorts, comparing cohorts from 1925-39 to 1955-69. These </w:t>
      </w:r>
      <w:r>
        <w:lastRenderedPageBreak/>
        <w:t>cohort fertility differentials can be decomposed in compositional effects of marriage markets, which are related to changes in educational pairings distribution, and rate effects, related to changes in CFR specific for each educational pairing (see Das Gupta (1993:37) for details on decomposition of rates as functions of two vector-factors). Therefore:</w:t>
      </w:r>
    </w:p>
    <w:p w14:paraId="7DA31946" w14:textId="77777777" w:rsidR="000F7F6A" w:rsidRDefault="000B4A6A">
      <w:pPr>
        <w:pStyle w:val="Corpodetexto"/>
        <w:jc w:val="center"/>
      </w:pPr>
      <m:oMathPara>
        <m:oMath>
          <m:d>
            <m:dPr>
              <m:ctrlPr>
                <w:rPr>
                  <w:rFonts w:ascii="Cambria Math" w:hAnsi="Cambria Math"/>
                </w:rPr>
              </m:ctrlPr>
            </m:dPr>
            <m:e>
              <m:r>
                <w:rPr>
                  <w:rFonts w:ascii="Cambria Math" w:hAnsi="Cambria Math"/>
                </w:rPr>
                <m:t>4</m:t>
              </m:r>
            </m:e>
          </m:d>
          <m:r>
            <w:rPr>
              <w:rFonts w:ascii="Cambria Math" w:hAnsi="Cambria Math"/>
            </w:rPr>
            <m:t xml:space="preserve"> ΔCF</m:t>
          </m:r>
          <m:sSub>
            <m:sSubPr>
              <m:ctrlPr>
                <w:rPr>
                  <w:rFonts w:ascii="Cambria Math" w:hAnsi="Cambria Math"/>
                </w:rPr>
              </m:ctrlPr>
            </m:sSubPr>
            <m:e>
              <m:r>
                <w:rPr>
                  <w:rFonts w:ascii="Cambria Math" w:hAnsi="Cambria Math"/>
                </w:rPr>
                <m:t>R</m:t>
              </m:r>
            </m:e>
            <m:sub>
              <m:r>
                <w:rPr>
                  <w:rFonts w:ascii="Cambria Math" w:hAnsi="Cambria Math"/>
                </w:rPr>
                <m:t>1,2</m:t>
              </m:r>
            </m:sub>
          </m:sSub>
          <m:r>
            <w:rPr>
              <w:rFonts w:ascii="Cambria Math" w:hAnsi="Cambria Math"/>
            </w:rPr>
            <m:t>=ΔCF</m:t>
          </m:r>
          <m:sSubSup>
            <m:sSubSupPr>
              <m:ctrlPr>
                <w:rPr>
                  <w:rFonts w:ascii="Cambria Math" w:hAnsi="Cambria Math"/>
                </w:rPr>
              </m:ctrlPr>
            </m:sSubSupPr>
            <m:e>
              <m:r>
                <w:rPr>
                  <w:rFonts w:ascii="Cambria Math" w:hAnsi="Cambria Math"/>
                </w:rPr>
                <m:t>R</m:t>
              </m:r>
            </m:e>
            <m:sub>
              <m:r>
                <w:rPr>
                  <w:rFonts w:ascii="Cambria Math" w:hAnsi="Cambria Math"/>
                </w:rPr>
                <m:t>1,2</m:t>
              </m:r>
            </m:sub>
            <m:sup>
              <m:r>
                <w:rPr>
                  <w:rFonts w:ascii="Cambria Math" w:hAnsi="Cambria Math"/>
                </w:rPr>
                <m:t>effect</m:t>
              </m:r>
            </m:sup>
          </m:sSubSup>
          <m:r>
            <w:rPr>
              <w:rFonts w:ascii="Cambria Math" w:hAnsi="Cambria Math"/>
            </w:rPr>
            <m:t>+Δ</m:t>
          </m:r>
          <m:sSubSup>
            <m:sSubSupPr>
              <m:ctrlPr>
                <w:rPr>
                  <w:rFonts w:ascii="Cambria Math" w:hAnsi="Cambria Math"/>
                </w:rPr>
              </m:ctrlPr>
            </m:sSubSupPr>
            <m:e>
              <m:r>
                <w:rPr>
                  <w:rFonts w:ascii="Cambria Math" w:hAnsi="Cambria Math"/>
                </w:rPr>
                <m:t>P</m:t>
              </m:r>
            </m:e>
            <m:sub>
              <m:r>
                <w:rPr>
                  <w:rFonts w:ascii="Cambria Math" w:hAnsi="Cambria Math"/>
                </w:rPr>
                <m:t>1,2</m:t>
              </m:r>
            </m:sub>
            <m:sup>
              <m:r>
                <w:rPr>
                  <w:rFonts w:ascii="Cambria Math" w:hAnsi="Cambria Math"/>
                </w:rPr>
                <m:t>effect</m:t>
              </m:r>
            </m:sup>
          </m:sSubSup>
          <m:r>
            <w:rPr>
              <w:rFonts w:ascii="Cambria Math" w:hAnsi="Cambria Math"/>
            </w:rPr>
            <m:t>.</m:t>
          </m:r>
        </m:oMath>
      </m:oMathPara>
    </w:p>
    <w:p w14:paraId="750D81B2" w14:textId="77777777" w:rsidR="000F7F6A" w:rsidRDefault="00952983">
      <w:pPr>
        <w:pStyle w:val="FirstParagraph"/>
      </w:pPr>
      <w:r>
        <w:t>We can evaluate compositional differences in terms of changing matrimonial educational profiles among female cohorts</w:t>
      </w:r>
      <w:ins w:id="336" w:author="Manilo Franklin" w:date="2020-11-20T11:10:00Z">
        <w:r w:rsidR="008A25B6">
          <w:t xml:space="preserve"> and other</w:t>
        </w:r>
      </w:ins>
      <w:del w:id="337" w:author="Manilo Franklin" w:date="2020-11-20T11:09:00Z">
        <w:r w:rsidDel="00B7176E">
          <w:delText xml:space="preserve"> and the other</w:delText>
        </w:r>
      </w:del>
      <w:r>
        <w:t xml:space="preserve"> unobserved effects that affect CFRs among each educational profile of couples.</w:t>
      </w:r>
    </w:p>
    <w:p w14:paraId="22357FD4" w14:textId="77777777" w:rsidR="000F7F6A" w:rsidRDefault="00952983">
      <w:pPr>
        <w:pStyle w:val="Ttulo2"/>
      </w:pPr>
      <w:bookmarkStart w:id="338" w:name="limitations-of-analysis"/>
      <w:r>
        <w:t>3.4 Limitations of analysis</w:t>
      </w:r>
      <w:bookmarkEnd w:id="338"/>
    </w:p>
    <w:p w14:paraId="7975ACB9" w14:textId="77777777" w:rsidR="000F7F6A" w:rsidRDefault="00952983">
      <w:pPr>
        <w:pStyle w:val="FirstParagraph"/>
      </w:pPr>
      <w:r>
        <w:t xml:space="preserve">The national census data </w:t>
      </w:r>
      <w:del w:id="339" w:author="Manilo Franklin" w:date="2020-11-20T11:11:00Z">
        <w:r w:rsidDel="00F172AA">
          <w:delText xml:space="preserve">have </w:delText>
        </w:r>
      </w:del>
      <w:ins w:id="340" w:author="Manilo Franklin" w:date="2020-11-20T11:11:00Z">
        <w:r w:rsidR="00F172AA">
          <w:t xml:space="preserve">impose </w:t>
        </w:r>
      </w:ins>
      <w:r>
        <w:t xml:space="preserve">some limitations </w:t>
      </w:r>
      <w:del w:id="341" w:author="Manilo Franklin" w:date="2020-11-20T11:11:00Z">
        <w:r w:rsidDel="00F172AA">
          <w:delText xml:space="preserve">for </w:delText>
        </w:r>
      </w:del>
      <w:ins w:id="342" w:author="Manilo Franklin" w:date="2020-11-20T11:11:00Z">
        <w:r w:rsidR="00F172AA">
          <w:t xml:space="preserve">onto </w:t>
        </w:r>
      </w:ins>
      <w:r>
        <w:t>our methodological approach</w:t>
      </w:r>
      <w:del w:id="343" w:author="Manilo Franklin" w:date="2020-11-20T11:11:00Z">
        <w:r w:rsidDel="00F172AA">
          <w:delText>es</w:delText>
        </w:r>
      </w:del>
      <w:r>
        <w:t>. First</w:t>
      </w:r>
      <w:ins w:id="344" w:author="Manilo Franklin" w:date="2020-11-20T11:11:00Z">
        <w:r w:rsidR="00F172AA">
          <w:t>ly</w:t>
        </w:r>
      </w:ins>
      <w:r>
        <w:t xml:space="preserve">, they do not provide information about the duration of past unions and their influence on reproductive levels of women. </w:t>
      </w:r>
      <w:del w:id="345" w:author="Manilo Franklin" w:date="2020-11-20T11:11:00Z">
        <w:r w:rsidDel="00F172AA">
          <w:delText>Thus</w:delText>
        </w:r>
      </w:del>
      <w:ins w:id="346" w:author="Manilo Franklin" w:date="2020-11-20T11:11:00Z">
        <w:r w:rsidR="00F172AA">
          <w:t>As such</w:t>
        </w:r>
      </w:ins>
      <w:r>
        <w:t xml:space="preserve">, we assume that women conceived all the declared children (or most of them) </w:t>
      </w:r>
      <w:del w:id="347" w:author="Manilo Franklin" w:date="2020-11-20T11:12:00Z">
        <w:r w:rsidDel="00F172AA">
          <w:delText xml:space="preserve">inside </w:delText>
        </w:r>
      </w:del>
      <w:ins w:id="348" w:author="Manilo Franklin" w:date="2020-11-20T11:12:00Z">
        <w:r w:rsidR="00F172AA">
          <w:t xml:space="preserve">within </w:t>
        </w:r>
      </w:ins>
      <w:r>
        <w:t xml:space="preserve">the matrimonial unions reported at the time of the census inquiries. An increase in the number of divorces (or re-marriages) </w:t>
      </w:r>
      <w:del w:id="349" w:author="Manilo Franklin" w:date="2020-11-20T11:12:00Z">
        <w:r w:rsidDel="00F172AA">
          <w:delText xml:space="preserve">through </w:delText>
        </w:r>
      </w:del>
      <w:ins w:id="350" w:author="Manilo Franklin" w:date="2020-11-20T11:12:00Z">
        <w:r w:rsidR="00F172AA">
          <w:t xml:space="preserve">over </w:t>
        </w:r>
      </w:ins>
      <w:r>
        <w:t>time in Brazil is likely to influence our estimates (</w:t>
      </w:r>
      <w:proofErr w:type="spellStart"/>
      <w:r>
        <w:t>Camarano</w:t>
      </w:r>
      <w:proofErr w:type="spellEnd"/>
      <w:r>
        <w:t xml:space="preserve"> 2014:146). </w:t>
      </w:r>
      <w:del w:id="351" w:author="Manilo Franklin" w:date="2020-11-20T11:12:00Z">
        <w:r w:rsidDel="00F172AA">
          <w:delText>However</w:delText>
        </w:r>
      </w:del>
      <w:ins w:id="352" w:author="Manilo Franklin" w:date="2020-11-20T11:12:00Z">
        <w:r w:rsidR="00F172AA">
          <w:t>On the other hand</w:t>
        </w:r>
      </w:ins>
      <w:r>
        <w:t xml:space="preserve">, the union dissolution rates in the country have been considerably stable at the low values of 0.5 and 1%, from the 1980s until the </w:t>
      </w:r>
      <w:r>
        <w:lastRenderedPageBreak/>
        <w:t>beginning of the 2000s (IBGE 2014), which</w:t>
      </w:r>
      <w:ins w:id="353" w:author="Manilo Franklin" w:date="2020-11-20T11:13:00Z">
        <w:r w:rsidR="00260E87">
          <w:t>,</w:t>
        </w:r>
      </w:ins>
      <w:r>
        <w:t xml:space="preserve"> in turn</w:t>
      </w:r>
      <w:ins w:id="354" w:author="Manilo Franklin" w:date="2020-11-20T11:13:00Z">
        <w:r w:rsidR="00260E87">
          <w:t>,</w:t>
        </w:r>
      </w:ins>
      <w:r>
        <w:t xml:space="preserve"> causes little harm to our analyses.</w:t>
      </w:r>
    </w:p>
    <w:p w14:paraId="327024B4" w14:textId="77777777" w:rsidR="000F7F6A" w:rsidRDefault="00952983">
      <w:pPr>
        <w:pStyle w:val="Corpodetexto"/>
      </w:pPr>
      <w:r>
        <w:t>Second</w:t>
      </w:r>
      <w:ins w:id="355" w:author="Manilo Franklin" w:date="2020-11-20T11:13:00Z">
        <w:r w:rsidR="00FC3546">
          <w:t>ly</w:t>
        </w:r>
      </w:ins>
      <w:r>
        <w:t xml:space="preserve">, only cohabiting couples from the same household are considered in the </w:t>
      </w:r>
      <w:proofErr w:type="gramStart"/>
      <w:r>
        <w:t>estimates, because</w:t>
      </w:r>
      <w:proofErr w:type="gramEnd"/>
      <w:r>
        <w:t xml:space="preserve"> the Brazilian censuses do not allow the construction of family ties from different households. Therefore, usually for economic reasons, couples may live apart, a feature commonly observed in </w:t>
      </w:r>
      <w:ins w:id="356" w:author="Manilo Franklin" w:date="2020-11-20T11:14:00Z">
        <w:r w:rsidR="00C057CF">
          <w:t xml:space="preserve">the Brazilian </w:t>
        </w:r>
      </w:ins>
      <w:del w:id="357" w:author="Manilo Franklin" w:date="2020-11-20T11:14:00Z">
        <w:r w:rsidDel="00C057CF">
          <w:delText xml:space="preserve">the </w:delText>
        </w:r>
      </w:del>
      <w:r>
        <w:t>Northeast</w:t>
      </w:r>
      <w:del w:id="358" w:author="Manilo Franklin" w:date="2020-11-20T11:14:00Z">
        <w:r w:rsidDel="00C057CF">
          <w:delText xml:space="preserve"> region</w:delText>
        </w:r>
      </w:del>
      <w:r>
        <w:t xml:space="preserve"> (</w:t>
      </w:r>
      <w:proofErr w:type="spellStart"/>
      <w:r>
        <w:t>Maluf</w:t>
      </w:r>
      <w:proofErr w:type="spellEnd"/>
      <w:r>
        <w:t xml:space="preserve"> and Mott 1998), and we may miss some reproductive information of women whose partners were not living in the same household</w:t>
      </w:r>
      <w:ins w:id="359" w:author="Manilo Franklin" w:date="2020-11-20T11:15:00Z">
        <w:r w:rsidR="00C057CF">
          <w:t xml:space="preserve"> at the time of </w:t>
        </w:r>
      </w:ins>
      <w:del w:id="360" w:author="Manilo Franklin" w:date="2020-11-20T11:14:00Z">
        <w:r w:rsidDel="00C057CF">
          <w:delText xml:space="preserve">, during </w:delText>
        </w:r>
      </w:del>
      <w:r>
        <w:t xml:space="preserve">the census inquiries. </w:t>
      </w:r>
      <w:del w:id="361" w:author="Manilo Franklin" w:date="2020-11-20T11:15:00Z">
        <w:r w:rsidDel="00C057CF">
          <w:delText>Actually</w:delText>
        </w:r>
      </w:del>
      <w:ins w:id="362" w:author="Manilo Franklin" w:date="2020-11-20T11:15:00Z">
        <w:r w:rsidR="00C057CF">
          <w:t>As a matter of fact</w:t>
        </w:r>
      </w:ins>
      <w:r>
        <w:t>, this migration effect in lower</w:t>
      </w:r>
      <w:ins w:id="363" w:author="Manilo Franklin" w:date="2020-11-20T11:15:00Z">
        <w:r w:rsidR="0002067B">
          <w:t>-</w:t>
        </w:r>
      </w:ins>
      <w:del w:id="364" w:author="Manilo Franklin" w:date="2020-11-20T11:15:00Z">
        <w:r w:rsidDel="0002067B">
          <w:delText xml:space="preserve"> </w:delText>
        </w:r>
      </w:del>
      <w:r>
        <w:t xml:space="preserve">developed areas is higher for cohorts born in periods of intense migration flows, from </w:t>
      </w:r>
      <w:ins w:id="365" w:author="Manilo Franklin" w:date="2020-11-20T11:15:00Z">
        <w:r w:rsidR="0002067B">
          <w:t xml:space="preserve">the </w:t>
        </w:r>
      </w:ins>
      <w:r>
        <w:t>North</w:t>
      </w:r>
      <w:ins w:id="366" w:author="Manilo Franklin" w:date="2020-11-20T11:15:00Z">
        <w:r w:rsidR="0002067B">
          <w:t>/</w:t>
        </w:r>
      </w:ins>
      <w:del w:id="367" w:author="Manilo Franklin" w:date="2020-11-20T11:15:00Z">
        <w:r w:rsidDel="0002067B">
          <w:delText>-</w:delText>
        </w:r>
      </w:del>
      <w:r>
        <w:t xml:space="preserve">Northeast in </w:t>
      </w:r>
      <w:del w:id="368" w:author="Manilo Franklin" w:date="2020-11-20T11:15:00Z">
        <w:r w:rsidDel="0002067B">
          <w:delText>direction to</w:delText>
        </w:r>
      </w:del>
      <w:ins w:id="369" w:author="Manilo Franklin" w:date="2020-11-20T11:15:00Z">
        <w:r w:rsidR="0002067B">
          <w:t>towards the</w:t>
        </w:r>
      </w:ins>
      <w:r>
        <w:t xml:space="preserve"> Southeast</w:t>
      </w:r>
      <w:ins w:id="370" w:author="Manilo Franklin" w:date="2020-11-20T11:15:00Z">
        <w:r w:rsidR="0002067B">
          <w:t>ern</w:t>
        </w:r>
      </w:ins>
      <w:r>
        <w:t xml:space="preserve"> region</w:t>
      </w:r>
      <w:ins w:id="371" w:author="Manilo Franklin" w:date="2020-11-20T11:15:00Z">
        <w:r w:rsidR="0002067B">
          <w:t>s of the country</w:t>
        </w:r>
      </w:ins>
      <w:r>
        <w:t>, as a result of the industrialization process (Singer 1973). We tried to reduce this migration effect by grouping the geographical areas into big regions. Notwithstand</w:t>
      </w:r>
      <w:ins w:id="372" w:author="Manilo Franklin" w:date="2020-11-20T11:16:00Z">
        <w:r w:rsidR="0002067B">
          <w:t>ing</w:t>
        </w:r>
      </w:ins>
      <w:r>
        <w:t xml:space="preserve">, the period of intense migration flow from </w:t>
      </w:r>
      <w:ins w:id="373" w:author="Manilo Franklin" w:date="2020-11-20T11:16:00Z">
        <w:r w:rsidR="009F3C28">
          <w:t xml:space="preserve">the </w:t>
        </w:r>
      </w:ins>
      <w:r>
        <w:t xml:space="preserve">rural Northern to </w:t>
      </w:r>
      <w:ins w:id="374" w:author="Manilo Franklin" w:date="2020-11-20T11:16:00Z">
        <w:r w:rsidR="009F3C28">
          <w:t xml:space="preserve">the </w:t>
        </w:r>
      </w:ins>
      <w:r>
        <w:t xml:space="preserve">urban Southern areas </w:t>
      </w:r>
      <w:del w:id="375" w:author="Manilo Franklin" w:date="2020-11-20T11:16:00Z">
        <w:r w:rsidDel="009F3C28">
          <w:delText xml:space="preserve">in </w:delText>
        </w:r>
      </w:del>
      <w:ins w:id="376" w:author="Manilo Franklin" w:date="2020-11-20T11:16:00Z">
        <w:r w:rsidR="009F3C28">
          <w:t xml:space="preserve">of </w:t>
        </w:r>
      </w:ins>
      <w:r>
        <w:t xml:space="preserve">the country </w:t>
      </w:r>
      <w:ins w:id="377" w:author="Manilo Franklin" w:date="2020-11-20T11:17:00Z">
        <w:r w:rsidR="009F3C28">
          <w:t xml:space="preserve">all but </w:t>
        </w:r>
      </w:ins>
      <w:r>
        <w:t xml:space="preserve">ended </w:t>
      </w:r>
      <w:ins w:id="378" w:author="Manilo Franklin" w:date="2020-11-20T11:16:00Z">
        <w:r w:rsidR="009F3C28">
          <w:t xml:space="preserve">by </w:t>
        </w:r>
      </w:ins>
      <w:r>
        <w:t>1960 (</w:t>
      </w:r>
      <w:proofErr w:type="spellStart"/>
      <w:r>
        <w:t>Baeninger</w:t>
      </w:r>
      <w:proofErr w:type="spellEnd"/>
      <w:r>
        <w:t xml:space="preserve"> 2012), affecting mostly the older cohorts born </w:t>
      </w:r>
      <w:del w:id="379" w:author="Manilo Franklin" w:date="2020-11-20T11:17:00Z">
        <w:r w:rsidDel="00D3594F">
          <w:delText xml:space="preserve">from </w:delText>
        </w:r>
      </w:del>
      <w:ins w:id="380" w:author="Manilo Franklin" w:date="2020-11-20T11:17:00Z">
        <w:r w:rsidR="00D3594F">
          <w:t xml:space="preserve">in the period of </w:t>
        </w:r>
      </w:ins>
      <w:r>
        <w:t xml:space="preserve">1925-39. </w:t>
      </w:r>
      <w:del w:id="381" w:author="Manilo Franklin" w:date="2020-11-20T11:17:00Z">
        <w:r w:rsidDel="00EF33E3">
          <w:delText>Even though</w:delText>
        </w:r>
      </w:del>
      <w:ins w:id="382" w:author="Manilo Franklin" w:date="2020-11-20T11:17:00Z">
        <w:r w:rsidR="00EF33E3">
          <w:t>Nevertheless</w:t>
        </w:r>
      </w:ins>
      <w:r>
        <w:t xml:space="preserve">, </w:t>
      </w:r>
      <w:del w:id="383" w:author="Manilo Franklin" w:date="2020-11-20T11:18:00Z">
        <w:r w:rsidDel="00EF33E3">
          <w:delText xml:space="preserve">as expected, </w:delText>
        </w:r>
      </w:del>
      <w:r>
        <w:t>these last cohorts are</w:t>
      </w:r>
      <w:ins w:id="384" w:author="Manilo Franklin" w:date="2020-11-20T11:19:00Z">
        <w:r w:rsidR="00EF33E3">
          <w:t>, as expected,</w:t>
        </w:r>
      </w:ins>
      <w:r>
        <w:t xml:space="preserve"> still presenting the highest levels of fertility in the North-Northeast regions compared to the rest of the country, meaning that migration might affect the fertility education pairing estimates, but this effect is not </w:t>
      </w:r>
      <w:del w:id="385" w:author="Manilo Franklin" w:date="2020-11-20T11:19:00Z">
        <w:r w:rsidDel="008D4DA2">
          <w:delText>too big</w:delText>
        </w:r>
      </w:del>
      <w:ins w:id="386" w:author="Manilo Franklin" w:date="2020-11-20T11:20:00Z">
        <w:r w:rsidR="008D4DA2">
          <w:t>substantial</w:t>
        </w:r>
      </w:ins>
      <w:r>
        <w:t>.</w:t>
      </w:r>
    </w:p>
    <w:p w14:paraId="133CCBA9" w14:textId="77777777" w:rsidR="000F7F6A" w:rsidRDefault="00952983">
      <w:pPr>
        <w:pStyle w:val="Ttulo1"/>
      </w:pPr>
      <w:bookmarkStart w:id="387" w:name="results-1"/>
      <w:r>
        <w:lastRenderedPageBreak/>
        <w:t>4. Results</w:t>
      </w:r>
      <w:bookmarkEnd w:id="387"/>
    </w:p>
    <w:p w14:paraId="1E5DC3B3" w14:textId="77777777" w:rsidR="000F7F6A" w:rsidRDefault="00952983">
      <w:pPr>
        <w:pStyle w:val="Ttulo2"/>
      </w:pPr>
      <w:bookmarkStart w:id="388" w:name="educational-pairings-cohort-fertility-tr"/>
      <w:r>
        <w:t>4.1 Educational pairings cohort fertility trends in Brazil</w:t>
      </w:r>
      <w:bookmarkEnd w:id="388"/>
    </w:p>
    <w:p w14:paraId="0E297170" w14:textId="77777777" w:rsidR="000F7F6A" w:rsidRDefault="00952983">
      <w:pPr>
        <w:pStyle w:val="FirstParagraph"/>
      </w:pPr>
      <w:r>
        <w:t>First</w:t>
      </w:r>
      <w:ins w:id="389" w:author="Manilo Franklin" w:date="2020-11-20T11:20:00Z">
        <w:r w:rsidR="004512E3">
          <w:t>ly,</w:t>
        </w:r>
      </w:ins>
      <w:r>
        <w:t xml:space="preserve"> we turn our attention to analyze cohort fertility trends of educational pairings, following the CFRs of five-year grouped female cohorts for Brazil and its regions (Figure 1). Each panel of Figure 1 presents a fixed educational attainment level for females and each line represents the male partner’s educational attainment level. The distances between lines of the same graph (panel) represent fertility differentials among male partners’ educational categories, i.e., the effect of male schooling in cohort fertility.</w:t>
      </w:r>
    </w:p>
    <w:p w14:paraId="66F18D22" w14:textId="77777777" w:rsidR="000F7F6A" w:rsidRDefault="00952983">
      <w:pPr>
        <w:pStyle w:val="Corpodetexto"/>
      </w:pPr>
      <w:del w:id="390" w:author="Manilo Franklin" w:date="2020-11-20T11:41:00Z">
        <w:r w:rsidDel="003B39D0">
          <w:delText xml:space="preserve">For the country </w:delText>
        </w:r>
      </w:del>
      <w:del w:id="391" w:author="Manilo Franklin" w:date="2020-11-20T11:40:00Z">
        <w:r w:rsidDel="003B39D0">
          <w:delText xml:space="preserve">as a whole, </w:delText>
        </w:r>
      </w:del>
      <w:del w:id="392" w:author="Manilo Franklin" w:date="2020-11-20T11:41:00Z">
        <w:r w:rsidDel="003B39D0">
          <w:delText>w</w:delText>
        </w:r>
      </w:del>
      <w:ins w:id="393" w:author="Manilo Franklin" w:date="2020-11-20T11:41:00Z">
        <w:r w:rsidR="003B39D0">
          <w:t>W</w:t>
        </w:r>
      </w:ins>
      <w:r>
        <w:t>e observe marked fertility differentials for both male and female partners</w:t>
      </w:r>
      <w:ins w:id="394" w:author="Manilo Franklin" w:date="2020-11-20T11:41:00Z">
        <w:r w:rsidR="003B39D0">
          <w:t xml:space="preserve"> across the entire country</w:t>
        </w:r>
      </w:ins>
      <w:r>
        <w:t>. For older female</w:t>
      </w:r>
      <w:del w:id="395" w:author="Manilo Franklin" w:date="2020-11-20T11:41:00Z">
        <w:r w:rsidDel="003B39D0">
          <w:delText xml:space="preserve"> </w:delText>
        </w:r>
        <w:r w:rsidDel="001760DB">
          <w:delText>born</w:delText>
        </w:r>
      </w:del>
      <w:ins w:id="396" w:author="Manilo Franklin" w:date="2020-11-20T12:11:00Z">
        <w:r w:rsidR="00EB2A2E">
          <w:t>-</w:t>
        </w:r>
      </w:ins>
      <w:ins w:id="397" w:author="Manilo Franklin" w:date="2020-11-20T11:41:00Z">
        <w:r w:rsidR="0036098F">
          <w:t>born</w:t>
        </w:r>
      </w:ins>
      <w:r>
        <w:t xml:space="preserve"> cohorts, couples with at least one partner without complete primary school presented higher fertility levels than other pairings. Male partners’ low educational levels seem to have contributed to the slow</w:t>
      </w:r>
      <w:del w:id="398" w:author="Manilo Franklin" w:date="2020-11-20T11:40:00Z">
        <w:r w:rsidDel="003B39D0">
          <w:delText xml:space="preserve"> </w:delText>
        </w:r>
      </w:del>
      <w:r>
        <w:t>down of the fertility transition in Brazil. However, increasing female education across cohorts has minimized differences in CFR between male partner’s educational categories and it has induced fertility reductions (Merrick and Berquó 1983). Female education increases bargaining power and autonomy of women in family decision making (</w:t>
      </w:r>
      <w:proofErr w:type="spellStart"/>
      <w:r>
        <w:t>Jejeebhoy</w:t>
      </w:r>
      <w:proofErr w:type="spellEnd"/>
      <w:r>
        <w:t xml:space="preserve"> 1995). Therefore, high</w:t>
      </w:r>
      <w:ins w:id="399" w:author="Manilo Franklin" w:date="2020-11-20T12:11:00Z">
        <w:r w:rsidR="0046620B">
          <w:t>ly</w:t>
        </w:r>
      </w:ins>
      <w:ins w:id="400" w:author="Manilo Franklin" w:date="2020-11-20T12:12:00Z">
        <w:r w:rsidR="006C1255">
          <w:t xml:space="preserve"> </w:t>
        </w:r>
      </w:ins>
      <w:del w:id="401" w:author="Manilo Franklin" w:date="2020-11-20T12:11:00Z">
        <w:r w:rsidDel="006C1255">
          <w:delText xml:space="preserve"> </w:delText>
        </w:r>
        <w:r w:rsidDel="0046620B">
          <w:delText xml:space="preserve">schooled </w:delText>
        </w:r>
      </w:del>
      <w:ins w:id="402" w:author="Manilo Franklin" w:date="2020-11-20T12:11:00Z">
        <w:r w:rsidR="0046620B">
          <w:t xml:space="preserve">educated </w:t>
        </w:r>
      </w:ins>
      <w:r>
        <w:t xml:space="preserve">women have reproductive profiles less attached to their husband’s educational </w:t>
      </w:r>
      <w:r>
        <w:lastRenderedPageBreak/>
        <w:t xml:space="preserve">characteristics and more related to females own socioeconomic status and perceived opportunity costs of reproduction (Becker 1993). </w:t>
      </w:r>
    </w:p>
    <w:p w14:paraId="5BC03B13" w14:textId="77777777" w:rsidR="000F7F6A" w:rsidRDefault="00952983">
      <w:pPr>
        <w:pStyle w:val="Corpodetexto"/>
      </w:pPr>
      <w:r>
        <w:t>Figure 1: Educational pairings cohort fertility trends for female birth cohorts grouped in five-year intervals for Brazil and regions.</w:t>
      </w:r>
    </w:p>
    <w:p w14:paraId="78A72D0D" w14:textId="77777777" w:rsidR="000F7F6A" w:rsidRDefault="00952983">
      <w:pPr>
        <w:pStyle w:val="Corpodetexto"/>
      </w:pPr>
      <w:r>
        <w:rPr>
          <w:noProof/>
        </w:rPr>
        <mc:AlternateContent>
          <mc:Choice Requires="wps">
            <w:drawing>
              <wp:anchor distT="0" distB="0" distL="0" distR="0" simplePos="0" relativeHeight="2" behindDoc="0" locked="0" layoutInCell="1" allowOverlap="1" wp14:anchorId="0FD23130" wp14:editId="0DB5AAB9">
                <wp:simplePos x="0" y="0"/>
                <wp:positionH relativeFrom="column">
                  <wp:align>center</wp:align>
                </wp:positionH>
                <wp:positionV relativeFrom="paragraph">
                  <wp:posOffset>635</wp:posOffset>
                </wp:positionV>
                <wp:extent cx="5487035" cy="5878830"/>
                <wp:effectExtent l="0" t="0" r="0" b="0"/>
                <wp:wrapSquare wrapText="largest"/>
                <wp:docPr id="1" name="Frame2"/>
                <wp:cNvGraphicFramePr/>
                <a:graphic xmlns:a="http://schemas.openxmlformats.org/drawingml/2006/main">
                  <a:graphicData uri="http://schemas.microsoft.com/office/word/2010/wordprocessingShape">
                    <wps:wsp>
                      <wps:cNvSpPr/>
                      <wps:spPr>
                        <a:xfrm>
                          <a:off x="0" y="0"/>
                          <a:ext cx="5486400" cy="5878080"/>
                        </a:xfrm>
                        <a:prstGeom prst="rect">
                          <a:avLst/>
                        </a:prstGeom>
                        <a:noFill/>
                        <a:ln>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4D462885" id="Frame2" o:spid="_x0000_s1026" style="position:absolute;margin-left:0;margin-top:.05pt;width:432.05pt;height:462.9pt;z-index:2;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" filled="f" stroked="f">
                <w10:wrap type="square" side="largest"/>
              </v:rect>
            </w:pict>
          </mc:Fallback>
        </mc:AlternateContent>
      </w:r>
      <w:r>
        <w:rPr>
          <w:noProof/>
        </w:rPr>
        <w:drawing>
          <wp:anchor distT="0" distB="0" distL="0" distR="0" simplePos="0" relativeHeight="18" behindDoc="0" locked="0" layoutInCell="1" allowOverlap="1" wp14:anchorId="0D633C19" wp14:editId="33054A19">
            <wp:simplePos x="0" y="0"/>
            <wp:positionH relativeFrom="column">
              <wp:align>center</wp:align>
            </wp:positionH>
            <wp:positionV relativeFrom="paragraph">
              <wp:posOffset>635</wp:posOffset>
            </wp:positionV>
            <wp:extent cx="5486400" cy="548640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7"/>
                    <a:stretch>
                      <a:fillRect/>
                    </a:stretch>
                  </pic:blipFill>
                  <pic:spPr bwMode="auto">
                    <a:xfrm>
                      <a:off x="0" y="0"/>
                      <a:ext cx="5486400" cy="5486400"/>
                    </a:xfrm>
                    <a:prstGeom prst="rect">
                      <a:avLst/>
                    </a:prstGeom>
                  </pic:spPr>
                </pic:pic>
              </a:graphicData>
            </a:graphic>
          </wp:anchor>
        </w:drawing>
      </w:r>
      <w:r>
        <w:rPr>
          <w:i/>
          <w:iCs/>
        </w:rPr>
        <w:t xml:space="preserve">Source: </w:t>
      </w:r>
      <w:r>
        <w:t>Brazilian national censuses 1970, 1980, 1991, 2000, 2010.</w:t>
      </w:r>
    </w:p>
    <w:p w14:paraId="4078542B" w14:textId="77777777" w:rsidR="000F7F6A" w:rsidRDefault="00952983">
      <w:pPr>
        <w:pStyle w:val="Corpodetexto"/>
      </w:pPr>
      <w:r>
        <w:lastRenderedPageBreak/>
        <w:t xml:space="preserve">The Midwest region presented a CFR transition </w:t>
      </w:r>
      <w:proofErr w:type="gramStart"/>
      <w:r>
        <w:t>similar to</w:t>
      </w:r>
      <w:proofErr w:type="gramEnd"/>
      <w:r>
        <w:t xml:space="preserve"> the one observed for the country as a whole. In this region, male schooling </w:t>
      </w:r>
      <w:ins w:id="403" w:author="Manilo Franklin" w:date="2020-11-20T12:12:00Z">
        <w:r w:rsidR="00741A83">
          <w:t xml:space="preserve">notably </w:t>
        </w:r>
      </w:ins>
      <w:r>
        <w:t xml:space="preserve">influenced </w:t>
      </w:r>
      <w:del w:id="404" w:author="Manilo Franklin" w:date="2020-11-20T12:12:00Z">
        <w:r w:rsidDel="00741A83">
          <w:delText xml:space="preserve">more </w:delText>
        </w:r>
      </w:del>
      <w:ins w:id="405" w:author="Manilo Franklin" w:date="2020-11-20T12:12:00Z">
        <w:r w:rsidR="00741A83">
          <w:t xml:space="preserve">the </w:t>
        </w:r>
      </w:ins>
      <w:r>
        <w:t>fertility of old cohorts commonly composed by women with low education. Additionally, as women achieved higher schooling levels, the effects</w:t>
      </w:r>
      <w:ins w:id="406" w:author="Manilo Franklin" w:date="2020-11-20T12:13:00Z">
        <w:r w:rsidR="008E1648">
          <w:t xml:space="preserve"> of the</w:t>
        </w:r>
      </w:ins>
      <w:del w:id="407" w:author="Manilo Franklin" w:date="2020-11-20T12:13:00Z">
        <w:r w:rsidDel="008E1648">
          <w:delText xml:space="preserve"> of partner’s</w:delText>
        </w:r>
      </w:del>
      <w:r>
        <w:t xml:space="preserve"> educational </w:t>
      </w:r>
      <w:del w:id="408" w:author="Manilo Franklin" w:date="2020-11-20T12:12:00Z">
        <w:r w:rsidDel="008E1648">
          <w:delText xml:space="preserve">differentials </w:delText>
        </w:r>
      </w:del>
      <w:ins w:id="409" w:author="Manilo Franklin" w:date="2020-11-20T12:12:00Z">
        <w:r w:rsidR="008E1648">
          <w:t xml:space="preserve">gap </w:t>
        </w:r>
      </w:ins>
      <w:ins w:id="410" w:author="Manilo Franklin" w:date="2020-11-20T12:13:00Z">
        <w:r w:rsidR="008E1648">
          <w:t xml:space="preserve">between partners </w:t>
        </w:r>
      </w:ins>
      <w:del w:id="411" w:author="Manilo Franklin" w:date="2020-11-20T12:18:00Z">
        <w:r w:rsidDel="0031282D">
          <w:delText>diminished</w:delText>
        </w:r>
      </w:del>
      <w:ins w:id="412" w:author="Manilo Franklin" w:date="2020-11-20T12:18:00Z">
        <w:r w:rsidR="0031282D">
          <w:t>decreased</w:t>
        </w:r>
      </w:ins>
      <w:r>
        <w:t>, and CFRs got closer to replacement fertility levels. Younger cohorts exhibit similar CFR values for all educational categories of the partner and converge towards population replacement levels.</w:t>
      </w:r>
    </w:p>
    <w:p w14:paraId="6341C69E" w14:textId="77777777" w:rsidR="000F7F6A" w:rsidRDefault="00952983">
      <w:pPr>
        <w:pStyle w:val="Corpodetexto"/>
      </w:pPr>
      <w:r>
        <w:t>In the North</w:t>
      </w:r>
      <w:ins w:id="413" w:author="Manilo Franklin" w:date="2020-11-20T12:16:00Z">
        <w:r w:rsidR="00270051">
          <w:t>ern</w:t>
        </w:r>
      </w:ins>
      <w:r>
        <w:t xml:space="preserve"> and Northeast</w:t>
      </w:r>
      <w:ins w:id="414" w:author="Manilo Franklin" w:date="2020-11-20T12:16:00Z">
        <w:r w:rsidR="00270051">
          <w:t>ern</w:t>
        </w:r>
      </w:ins>
      <w:r>
        <w:t xml:space="preserve"> regions, cohorts started their CFRs reductions from rates above 8 children per woman among low educated groups. In these regions, we observed important differentials of male partner’s fertility between the educational categories, especially for those in transition from incomplete to complete primary education. The increase of </w:t>
      </w:r>
      <w:del w:id="415" w:author="Manilo Franklin" w:date="2020-11-20T12:17:00Z">
        <w:r w:rsidDel="0031282D">
          <w:delText xml:space="preserve">females’ </w:delText>
        </w:r>
      </w:del>
      <w:r>
        <w:t xml:space="preserve">educational levels </w:t>
      </w:r>
      <w:ins w:id="416" w:author="Manilo Franklin" w:date="2020-11-20T12:17:00Z">
        <w:r w:rsidR="0031282D">
          <w:t xml:space="preserve">of females </w:t>
        </w:r>
      </w:ins>
      <w:r>
        <w:t>in North</w:t>
      </w:r>
      <w:ins w:id="417" w:author="Manilo Franklin" w:date="2020-11-20T12:17:00Z">
        <w:r w:rsidR="0031282D">
          <w:t xml:space="preserve">ern and </w:t>
        </w:r>
      </w:ins>
      <w:del w:id="418" w:author="Manilo Franklin" w:date="2020-11-20T12:17:00Z">
        <w:r w:rsidDel="0031282D">
          <w:delText>-</w:delText>
        </w:r>
      </w:del>
      <w:r>
        <w:t>Northeast</w:t>
      </w:r>
      <w:ins w:id="419" w:author="Manilo Franklin" w:date="2020-11-20T12:17:00Z">
        <w:r w:rsidR="0031282D">
          <w:t>ern</w:t>
        </w:r>
      </w:ins>
      <w:r>
        <w:t xml:space="preserve"> areas induced a general fertility reduction, but this was not followed by a decrease in the effects of </w:t>
      </w:r>
      <w:del w:id="420" w:author="Manilo Franklin" w:date="2020-11-20T12:18:00Z">
        <w:r w:rsidDel="007A10F9">
          <w:delText xml:space="preserve">male partner’s </w:delText>
        </w:r>
      </w:del>
      <w:r>
        <w:t xml:space="preserve">educational </w:t>
      </w:r>
      <w:del w:id="421" w:author="Manilo Franklin" w:date="2020-11-20T12:18:00Z">
        <w:r w:rsidDel="0031282D">
          <w:delText xml:space="preserve">differentials </w:delText>
        </w:r>
      </w:del>
      <w:ins w:id="422" w:author="Manilo Franklin" w:date="2020-11-20T12:18:00Z">
        <w:r w:rsidR="0031282D">
          <w:t>gap</w:t>
        </w:r>
        <w:r w:rsidR="007A10F9">
          <w:t>s between partners</w:t>
        </w:r>
        <w:r w:rsidR="0031282D">
          <w:t xml:space="preserve"> </w:t>
        </w:r>
      </w:ins>
      <w:r>
        <w:t>on CFRs at the same pace as observed in other regions. Hence, the observed results for couples in which males have the lowest schooling level are at higher CFR levels than others.</w:t>
      </w:r>
    </w:p>
    <w:p w14:paraId="6D6D82CC" w14:textId="77777777" w:rsidR="000F7F6A" w:rsidRDefault="00675A40">
      <w:pPr>
        <w:pStyle w:val="Corpodetexto"/>
      </w:pPr>
      <w:ins w:id="423" w:author="Manilo Franklin" w:date="2020-11-20T12:18:00Z">
        <w:r>
          <w:t xml:space="preserve">Meanwhile, </w:t>
        </w:r>
      </w:ins>
      <w:r w:rsidR="00952983">
        <w:t>South</w:t>
      </w:r>
      <w:ins w:id="424" w:author="Manilo Franklin" w:date="2020-11-20T12:18:00Z">
        <w:r>
          <w:t>ern</w:t>
        </w:r>
      </w:ins>
      <w:r w:rsidR="00952983">
        <w:t xml:space="preserve"> and Southeast</w:t>
      </w:r>
      <w:ins w:id="425" w:author="Manilo Franklin" w:date="2020-11-20T12:18:00Z">
        <w:r>
          <w:t>ern</w:t>
        </w:r>
      </w:ins>
      <w:r w:rsidR="00952983">
        <w:t xml:space="preserve"> </w:t>
      </w:r>
      <w:del w:id="426" w:author="Manilo Franklin" w:date="2020-11-20T12:18:00Z">
        <w:r w:rsidR="00952983" w:rsidDel="00675A40">
          <w:delText xml:space="preserve">areas </w:delText>
        </w:r>
      </w:del>
      <w:ins w:id="427" w:author="Manilo Franklin" w:date="2020-11-20T12:18:00Z">
        <w:r>
          <w:t xml:space="preserve">regions of the country </w:t>
        </w:r>
      </w:ins>
      <w:r w:rsidR="00952983">
        <w:t xml:space="preserve">started their cohort fertility transition from lower CFR levels relative to </w:t>
      </w:r>
      <w:r w:rsidR="00952983">
        <w:lastRenderedPageBreak/>
        <w:t>other areas of the country. i.e. the rates show less than 6 children per woman for those with incomplete primary education. In contrast to lesser developed regions of the country, male education affected less changes in cohort fertility, that is observed even among cohorts of women with incomplete primary school - curves are close to each other specially for younger cohorts. These regions also present the stronger convergence process of CFRs towards replacement levels. All couples with low</w:t>
      </w:r>
      <w:ins w:id="428" w:author="Manilo Franklin" w:date="2020-11-20T12:19:00Z">
        <w:r>
          <w:t>-</w:t>
        </w:r>
      </w:ins>
      <w:del w:id="429" w:author="Manilo Franklin" w:date="2020-11-20T12:19:00Z">
        <w:r w:rsidR="00952983" w:rsidDel="00675A40">
          <w:delText xml:space="preserve"> </w:delText>
        </w:r>
      </w:del>
      <w:r w:rsidR="00952983">
        <w:t xml:space="preserve">educated females show CFR </w:t>
      </w:r>
      <w:ins w:id="430" w:author="Manilo Franklin" w:date="2020-11-20T12:19:00Z">
        <w:r w:rsidR="00E30B53">
          <w:t xml:space="preserve">levels </w:t>
        </w:r>
      </w:ins>
      <w:r w:rsidR="00952983">
        <w:t xml:space="preserve">lower than 3 children per woman. </w:t>
      </w:r>
      <w:ins w:id="431" w:author="Manilo Franklin" w:date="2020-11-20T12:20:00Z">
        <w:r w:rsidR="00FD79B8">
          <w:t xml:space="preserve">In the </w:t>
        </w:r>
      </w:ins>
      <w:del w:id="432" w:author="Manilo Franklin" w:date="2020-11-20T12:20:00Z">
        <w:r w:rsidR="00952983" w:rsidDel="00FD79B8">
          <w:delText>Next</w:delText>
        </w:r>
      </w:del>
      <w:ins w:id="433" w:author="Manilo Franklin" w:date="2020-11-20T12:20:00Z">
        <w:r w:rsidR="00FD79B8">
          <w:t>next pages</w:t>
        </w:r>
      </w:ins>
      <w:r w:rsidR="00952983">
        <w:t>, we will investigate the changes in cohort fertility differentials by decomposing this measure between the effects of educational pairings on CFRs and the effects on cohort fertility of any other variable not observed.</w:t>
      </w:r>
    </w:p>
    <w:p w14:paraId="1D3FBF6D" w14:textId="77777777" w:rsidR="000F7F6A" w:rsidRDefault="00952983">
      <w:pPr>
        <w:pStyle w:val="Ttulo2"/>
      </w:pPr>
      <w:bookmarkStart w:id="434" w:name="decomposition-of-cohort-fertility-rates"/>
      <w:r>
        <w:t>4.2 Decomposition of cohort fertility rates</w:t>
      </w:r>
      <w:bookmarkEnd w:id="434"/>
    </w:p>
    <w:p w14:paraId="319F810E" w14:textId="77777777" w:rsidR="000F7F6A" w:rsidRDefault="00952983">
      <w:pPr>
        <w:pStyle w:val="FirstParagraph"/>
      </w:pPr>
      <w:r>
        <w:t>Tables 1 to 4 present the percentage share of educational pairings and the estimated CFRs for female cohorts born in 1925-39, 1940-54 and 1955-69 for Brazil and its regions.</w:t>
      </w:r>
    </w:p>
    <w:p w14:paraId="4F26C25D" w14:textId="77777777" w:rsidR="000F7F6A" w:rsidRDefault="000F7F6A">
      <w:pPr>
        <w:pStyle w:val="Corpodetexto"/>
      </w:pPr>
    </w:p>
    <w:p w14:paraId="1CFB402E" w14:textId="77777777" w:rsidR="000F7F6A" w:rsidRDefault="000F7F6A">
      <w:pPr>
        <w:pStyle w:val="Corpodetexto"/>
      </w:pPr>
    </w:p>
    <w:p w14:paraId="6DD9E8BE" w14:textId="77777777" w:rsidR="000F7F6A" w:rsidRDefault="000F7F6A">
      <w:pPr>
        <w:pStyle w:val="Corpodetexto"/>
      </w:pPr>
    </w:p>
    <w:p w14:paraId="5BC2BE87" w14:textId="77777777" w:rsidR="000F7F6A" w:rsidRDefault="000F7F6A">
      <w:pPr>
        <w:pStyle w:val="Corpodetexto"/>
      </w:pPr>
    </w:p>
    <w:p w14:paraId="59142479" w14:textId="77777777" w:rsidR="000F7F6A" w:rsidRDefault="000F7F6A">
      <w:pPr>
        <w:pStyle w:val="Corpodetexto"/>
      </w:pPr>
    </w:p>
    <w:p w14:paraId="74C81137" w14:textId="77777777" w:rsidR="000F7F6A" w:rsidRDefault="000F7F6A">
      <w:pPr>
        <w:pStyle w:val="Corpodetexto"/>
      </w:pPr>
    </w:p>
    <w:p w14:paraId="3A497453" w14:textId="77777777" w:rsidR="000F7F6A" w:rsidRDefault="00952983">
      <w:pPr>
        <w:pStyle w:val="Corpodetexto"/>
      </w:pPr>
      <w:r>
        <w:t>Table 1: Educational pairings prevalence rates and cohort fertility rates for female cohorts born in 1925-39, 1940-54 and 1955-69 - Brazil. Source: Brazilian National Censuses, 1970, 1980, 1991, 2000, 2010.</w:t>
      </w:r>
    </w:p>
    <w:tbl>
      <w:tblPr>
        <w:tblStyle w:val="Table"/>
        <w:tblW w:w="8640" w:type="dxa"/>
        <w:jc w:val="center"/>
        <w:tblBorders>
          <w:top w:val="single" w:sz="16" w:space="0" w:color="000000"/>
          <w:bottom w:val="single" w:sz="16" w:space="0" w:color="000000"/>
          <w:insideH w:val="single" w:sz="16" w:space="0" w:color="000000"/>
        </w:tblBorders>
        <w:tblCellMar>
          <w:left w:w="0" w:type="dxa"/>
          <w:right w:w="0" w:type="dxa"/>
        </w:tblCellMar>
        <w:tblLook w:val="0420" w:firstRow="1" w:lastRow="0" w:firstColumn="0" w:lastColumn="0" w:noHBand="0" w:noVBand="1"/>
      </w:tblPr>
      <w:tblGrid>
        <w:gridCol w:w="1081"/>
        <w:gridCol w:w="1080"/>
        <w:gridCol w:w="1080"/>
        <w:gridCol w:w="1080"/>
        <w:gridCol w:w="1080"/>
        <w:gridCol w:w="1080"/>
        <w:gridCol w:w="1080"/>
        <w:gridCol w:w="1079"/>
      </w:tblGrid>
      <w:tr w:rsidR="000F7F6A" w14:paraId="51B7AC4A" w14:textId="77777777">
        <w:trPr>
          <w:cantSplit/>
          <w:trHeight w:val="360"/>
          <w:tblHeader/>
          <w:jc w:val="center"/>
        </w:trPr>
        <w:tc>
          <w:tcPr>
            <w:tcW w:w="2160" w:type="dxa"/>
            <w:gridSpan w:val="2"/>
            <w:tcBorders>
              <w:top w:val="single" w:sz="16" w:space="0" w:color="000000"/>
              <w:bottom w:val="single" w:sz="16" w:space="0" w:color="000000"/>
            </w:tcBorders>
            <w:shd w:val="clear" w:color="auto" w:fill="FFFFFF"/>
            <w:vAlign w:val="center"/>
          </w:tcPr>
          <w:p w14:paraId="2F006C0B" w14:textId="77777777" w:rsidR="000F7F6A" w:rsidRDefault="00952983">
            <w:pPr>
              <w:spacing w:before="40" w:after="40"/>
              <w:ind w:left="100" w:right="100"/>
              <w:jc w:val="center"/>
            </w:pPr>
            <w:r>
              <w:rPr>
                <w:rFonts w:eastAsia="Arial" w:cs="Arial"/>
                <w:color w:val="111111"/>
                <w:sz w:val="22"/>
                <w:szCs w:val="22"/>
              </w:rPr>
              <w:t>Education</w:t>
            </w:r>
          </w:p>
        </w:tc>
        <w:tc>
          <w:tcPr>
            <w:tcW w:w="3240" w:type="dxa"/>
            <w:gridSpan w:val="3"/>
            <w:tcBorders>
              <w:top w:val="single" w:sz="16" w:space="0" w:color="000000"/>
              <w:bottom w:val="single" w:sz="16" w:space="0" w:color="000000"/>
            </w:tcBorders>
            <w:shd w:val="clear" w:color="auto" w:fill="FFFFFF"/>
            <w:vAlign w:val="center"/>
          </w:tcPr>
          <w:p w14:paraId="3E3DBE4F" w14:textId="77777777" w:rsidR="000F7F6A" w:rsidRDefault="00952983">
            <w:pPr>
              <w:spacing w:before="40" w:after="40"/>
              <w:ind w:left="100" w:right="100"/>
              <w:jc w:val="center"/>
            </w:pPr>
            <w:r>
              <w:rPr>
                <w:rFonts w:eastAsia="Arial" w:cs="Arial"/>
                <w:color w:val="111111"/>
                <w:sz w:val="22"/>
                <w:szCs w:val="22"/>
              </w:rPr>
              <w:t>Prevalence (%)</w:t>
            </w:r>
          </w:p>
        </w:tc>
        <w:tc>
          <w:tcPr>
            <w:tcW w:w="3239" w:type="dxa"/>
            <w:gridSpan w:val="3"/>
            <w:tcBorders>
              <w:top w:val="single" w:sz="16" w:space="0" w:color="000000"/>
              <w:bottom w:val="single" w:sz="16" w:space="0" w:color="000000"/>
            </w:tcBorders>
            <w:shd w:val="clear" w:color="auto" w:fill="FFFFFF"/>
            <w:vAlign w:val="center"/>
          </w:tcPr>
          <w:p w14:paraId="61BAAE25" w14:textId="77777777" w:rsidR="000F7F6A" w:rsidRDefault="00952983">
            <w:pPr>
              <w:spacing w:before="40" w:after="40"/>
              <w:ind w:left="100" w:right="100"/>
              <w:jc w:val="center"/>
            </w:pPr>
            <w:r>
              <w:rPr>
                <w:rFonts w:eastAsia="Arial" w:cs="Arial"/>
                <w:color w:val="111111"/>
                <w:sz w:val="22"/>
                <w:szCs w:val="22"/>
              </w:rPr>
              <w:t>CFR</w:t>
            </w:r>
          </w:p>
        </w:tc>
      </w:tr>
      <w:tr w:rsidR="000F7F6A" w14:paraId="0EF636E7" w14:textId="77777777">
        <w:trPr>
          <w:cantSplit/>
          <w:trHeight w:val="360"/>
          <w:tblHeader/>
          <w:jc w:val="center"/>
        </w:trPr>
        <w:tc>
          <w:tcPr>
            <w:tcW w:w="1080" w:type="dxa"/>
            <w:tcBorders>
              <w:top w:val="single" w:sz="8" w:space="0" w:color="000000"/>
              <w:bottom w:val="single" w:sz="8" w:space="0" w:color="000000"/>
            </w:tcBorders>
            <w:shd w:val="clear" w:color="auto" w:fill="FFFFFF"/>
            <w:vAlign w:val="center"/>
          </w:tcPr>
          <w:p w14:paraId="0E596D79" w14:textId="77777777" w:rsidR="000F7F6A" w:rsidRDefault="00952983">
            <w:pPr>
              <w:spacing w:after="0"/>
              <w:jc w:val="center"/>
            </w:pPr>
            <w:r>
              <w:rPr>
                <w:rFonts w:eastAsia="Arial" w:cs="Arial"/>
                <w:color w:val="000000"/>
                <w:sz w:val="20"/>
                <w:szCs w:val="20"/>
              </w:rPr>
              <w:t>Female</w:t>
            </w:r>
          </w:p>
        </w:tc>
        <w:tc>
          <w:tcPr>
            <w:tcW w:w="1080" w:type="dxa"/>
            <w:tcBorders>
              <w:top w:val="single" w:sz="8" w:space="0" w:color="000000"/>
              <w:bottom w:val="single" w:sz="8" w:space="0" w:color="000000"/>
            </w:tcBorders>
            <w:shd w:val="clear" w:color="auto" w:fill="FFFFFF"/>
            <w:vAlign w:val="center"/>
          </w:tcPr>
          <w:p w14:paraId="17C98597" w14:textId="77777777" w:rsidR="000F7F6A" w:rsidRDefault="00952983">
            <w:pPr>
              <w:spacing w:after="0"/>
              <w:jc w:val="center"/>
            </w:pPr>
            <w:r>
              <w:rPr>
                <w:rFonts w:eastAsia="Arial" w:cs="Arial"/>
                <w:color w:val="000000"/>
                <w:sz w:val="20"/>
                <w:szCs w:val="20"/>
              </w:rPr>
              <w:t>Male</w:t>
            </w:r>
          </w:p>
        </w:tc>
        <w:tc>
          <w:tcPr>
            <w:tcW w:w="1080" w:type="dxa"/>
            <w:tcBorders>
              <w:top w:val="single" w:sz="8" w:space="0" w:color="000000"/>
              <w:bottom w:val="single" w:sz="8" w:space="0" w:color="000000"/>
            </w:tcBorders>
            <w:shd w:val="clear" w:color="auto" w:fill="FFFFFF"/>
            <w:vAlign w:val="center"/>
          </w:tcPr>
          <w:p w14:paraId="2916A209" w14:textId="77777777" w:rsidR="000F7F6A" w:rsidRDefault="00952983">
            <w:pPr>
              <w:spacing w:after="0"/>
              <w:jc w:val="center"/>
            </w:pPr>
            <w:r>
              <w:rPr>
                <w:rFonts w:eastAsia="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6453053D" w14:textId="77777777" w:rsidR="000F7F6A" w:rsidRDefault="00952983">
            <w:pPr>
              <w:spacing w:after="0"/>
              <w:jc w:val="center"/>
            </w:pPr>
            <w:r>
              <w:rPr>
                <w:rFonts w:eastAsia="Arial" w:cs="Arial"/>
                <w:color w:val="000000"/>
                <w:sz w:val="20"/>
                <w:szCs w:val="20"/>
              </w:rPr>
              <w:t>1940-1954</w:t>
            </w:r>
          </w:p>
        </w:tc>
        <w:tc>
          <w:tcPr>
            <w:tcW w:w="1080" w:type="dxa"/>
            <w:tcBorders>
              <w:top w:val="single" w:sz="8" w:space="0" w:color="000000"/>
              <w:bottom w:val="single" w:sz="8" w:space="0" w:color="000000"/>
            </w:tcBorders>
            <w:shd w:val="clear" w:color="auto" w:fill="FFFFFF"/>
            <w:vAlign w:val="center"/>
          </w:tcPr>
          <w:p w14:paraId="5FFCEA6C" w14:textId="77777777" w:rsidR="000F7F6A" w:rsidRDefault="00952983">
            <w:pPr>
              <w:spacing w:after="0"/>
              <w:jc w:val="center"/>
            </w:pPr>
            <w:r>
              <w:rPr>
                <w:rFonts w:eastAsia="Arial" w:cs="Arial"/>
                <w:color w:val="000000"/>
                <w:sz w:val="20"/>
                <w:szCs w:val="20"/>
              </w:rPr>
              <w:t>1955-1969</w:t>
            </w:r>
          </w:p>
        </w:tc>
        <w:tc>
          <w:tcPr>
            <w:tcW w:w="1080" w:type="dxa"/>
            <w:tcBorders>
              <w:top w:val="single" w:sz="8" w:space="0" w:color="000000"/>
              <w:bottom w:val="single" w:sz="8" w:space="0" w:color="000000"/>
            </w:tcBorders>
            <w:shd w:val="clear" w:color="auto" w:fill="FFFFFF"/>
            <w:vAlign w:val="center"/>
          </w:tcPr>
          <w:p w14:paraId="04BA1558" w14:textId="77777777" w:rsidR="000F7F6A" w:rsidRDefault="00952983">
            <w:pPr>
              <w:spacing w:after="0"/>
              <w:jc w:val="center"/>
            </w:pPr>
            <w:r>
              <w:rPr>
                <w:rFonts w:eastAsia="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71D177DB" w14:textId="77777777" w:rsidR="000F7F6A" w:rsidRDefault="00952983">
            <w:pPr>
              <w:spacing w:after="0"/>
              <w:jc w:val="center"/>
            </w:pPr>
            <w:r>
              <w:rPr>
                <w:rFonts w:eastAsia="Arial" w:cs="Arial"/>
                <w:color w:val="000000"/>
                <w:sz w:val="20"/>
                <w:szCs w:val="20"/>
              </w:rPr>
              <w:t>1940-1954</w:t>
            </w:r>
          </w:p>
        </w:tc>
        <w:tc>
          <w:tcPr>
            <w:tcW w:w="1079" w:type="dxa"/>
            <w:tcBorders>
              <w:top w:val="single" w:sz="8" w:space="0" w:color="000000"/>
              <w:bottom w:val="single" w:sz="8" w:space="0" w:color="000000"/>
            </w:tcBorders>
            <w:shd w:val="clear" w:color="auto" w:fill="FFFFFF"/>
            <w:vAlign w:val="center"/>
          </w:tcPr>
          <w:p w14:paraId="0BEFF0D1" w14:textId="77777777" w:rsidR="000F7F6A" w:rsidRDefault="00952983">
            <w:pPr>
              <w:spacing w:after="0"/>
              <w:jc w:val="center"/>
            </w:pPr>
            <w:r>
              <w:rPr>
                <w:rFonts w:eastAsia="Arial" w:cs="Arial"/>
                <w:color w:val="000000"/>
                <w:sz w:val="20"/>
                <w:szCs w:val="20"/>
              </w:rPr>
              <w:t>1955-1969</w:t>
            </w:r>
          </w:p>
        </w:tc>
      </w:tr>
      <w:tr w:rsidR="000F7F6A" w14:paraId="477D29E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6A4FF82"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52EACB8F"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149002AC" w14:textId="77777777" w:rsidR="000F7F6A" w:rsidRDefault="00952983">
            <w:pPr>
              <w:spacing w:before="40" w:after="40"/>
              <w:ind w:left="100" w:right="100"/>
              <w:jc w:val="center"/>
            </w:pPr>
            <w:r>
              <w:rPr>
                <w:rFonts w:eastAsia="Arial" w:cs="Arial"/>
                <w:color w:val="111111"/>
                <w:sz w:val="22"/>
                <w:szCs w:val="22"/>
              </w:rPr>
              <w:t>80.87</w:t>
            </w:r>
          </w:p>
        </w:tc>
        <w:tc>
          <w:tcPr>
            <w:tcW w:w="1080" w:type="dxa"/>
            <w:tcBorders>
              <w:top w:val="single" w:sz="16" w:space="0" w:color="000000"/>
              <w:bottom w:val="single" w:sz="16" w:space="0" w:color="000000"/>
            </w:tcBorders>
            <w:shd w:val="clear" w:color="auto" w:fill="FFFFFF"/>
            <w:vAlign w:val="center"/>
          </w:tcPr>
          <w:p w14:paraId="73C32C2A" w14:textId="77777777" w:rsidR="000F7F6A" w:rsidRDefault="00952983">
            <w:pPr>
              <w:spacing w:before="40" w:after="40"/>
              <w:ind w:left="100" w:right="100"/>
              <w:jc w:val="center"/>
            </w:pPr>
            <w:r>
              <w:rPr>
                <w:rFonts w:eastAsia="Arial" w:cs="Arial"/>
                <w:color w:val="111111"/>
                <w:sz w:val="22"/>
                <w:szCs w:val="22"/>
              </w:rPr>
              <w:t>62.17</w:t>
            </w:r>
          </w:p>
        </w:tc>
        <w:tc>
          <w:tcPr>
            <w:tcW w:w="1080" w:type="dxa"/>
            <w:tcBorders>
              <w:top w:val="single" w:sz="16" w:space="0" w:color="000000"/>
              <w:bottom w:val="single" w:sz="16" w:space="0" w:color="000000"/>
            </w:tcBorders>
            <w:shd w:val="clear" w:color="auto" w:fill="FFFFFF"/>
            <w:vAlign w:val="center"/>
          </w:tcPr>
          <w:p w14:paraId="2182437E" w14:textId="77777777" w:rsidR="000F7F6A" w:rsidRDefault="00952983">
            <w:pPr>
              <w:spacing w:before="40" w:after="40"/>
              <w:ind w:left="100" w:right="100"/>
              <w:jc w:val="center"/>
            </w:pPr>
            <w:r>
              <w:rPr>
                <w:rFonts w:eastAsia="Arial" w:cs="Arial"/>
                <w:color w:val="111111"/>
                <w:sz w:val="22"/>
                <w:szCs w:val="22"/>
              </w:rPr>
              <w:t>36.59</w:t>
            </w:r>
          </w:p>
        </w:tc>
        <w:tc>
          <w:tcPr>
            <w:tcW w:w="1080" w:type="dxa"/>
            <w:tcBorders>
              <w:top w:val="single" w:sz="16" w:space="0" w:color="000000"/>
              <w:bottom w:val="single" w:sz="16" w:space="0" w:color="000000"/>
            </w:tcBorders>
            <w:shd w:val="clear" w:color="auto" w:fill="FFFFFF"/>
            <w:vAlign w:val="center"/>
          </w:tcPr>
          <w:p w14:paraId="1D63F28C" w14:textId="77777777" w:rsidR="000F7F6A" w:rsidRDefault="00952983">
            <w:pPr>
              <w:spacing w:before="40" w:after="40"/>
              <w:ind w:left="100" w:right="100"/>
              <w:jc w:val="center"/>
            </w:pPr>
            <w:r>
              <w:rPr>
                <w:rFonts w:eastAsia="Arial" w:cs="Arial"/>
                <w:color w:val="111111"/>
                <w:sz w:val="22"/>
                <w:szCs w:val="22"/>
              </w:rPr>
              <w:t>6.84</w:t>
            </w:r>
          </w:p>
        </w:tc>
        <w:tc>
          <w:tcPr>
            <w:tcW w:w="1080" w:type="dxa"/>
            <w:tcBorders>
              <w:top w:val="single" w:sz="16" w:space="0" w:color="000000"/>
              <w:bottom w:val="single" w:sz="16" w:space="0" w:color="000000"/>
            </w:tcBorders>
            <w:shd w:val="clear" w:color="auto" w:fill="FFFFFF"/>
            <w:vAlign w:val="center"/>
          </w:tcPr>
          <w:p w14:paraId="1E5C9A10" w14:textId="77777777" w:rsidR="000F7F6A" w:rsidRDefault="00952983">
            <w:pPr>
              <w:spacing w:before="40" w:after="40"/>
              <w:ind w:left="100" w:right="100"/>
              <w:jc w:val="center"/>
            </w:pPr>
            <w:r>
              <w:rPr>
                <w:rFonts w:eastAsia="Arial" w:cs="Arial"/>
                <w:color w:val="111111"/>
                <w:sz w:val="22"/>
                <w:szCs w:val="22"/>
              </w:rPr>
              <w:t>5.52</w:t>
            </w:r>
          </w:p>
        </w:tc>
        <w:tc>
          <w:tcPr>
            <w:tcW w:w="1079" w:type="dxa"/>
            <w:tcBorders>
              <w:top w:val="single" w:sz="16" w:space="0" w:color="000000"/>
              <w:bottom w:val="single" w:sz="16" w:space="0" w:color="000000"/>
            </w:tcBorders>
            <w:shd w:val="clear" w:color="auto" w:fill="FFFFFF"/>
            <w:vAlign w:val="center"/>
          </w:tcPr>
          <w:p w14:paraId="618F09F0" w14:textId="77777777" w:rsidR="000F7F6A" w:rsidRDefault="00952983">
            <w:pPr>
              <w:spacing w:before="40" w:after="40"/>
              <w:ind w:left="100" w:right="100"/>
              <w:jc w:val="center"/>
            </w:pPr>
            <w:r>
              <w:rPr>
                <w:rFonts w:eastAsia="Arial" w:cs="Arial"/>
                <w:color w:val="111111"/>
                <w:sz w:val="22"/>
                <w:szCs w:val="22"/>
              </w:rPr>
              <w:t>3.87</w:t>
            </w:r>
          </w:p>
        </w:tc>
      </w:tr>
      <w:tr w:rsidR="000F7F6A" w14:paraId="0059E815"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27BC99F2"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096AA066"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5A982778" w14:textId="77777777" w:rsidR="000F7F6A" w:rsidRDefault="00952983">
            <w:pPr>
              <w:spacing w:before="40" w:after="40"/>
              <w:ind w:left="100" w:right="100"/>
              <w:jc w:val="center"/>
            </w:pPr>
            <w:r>
              <w:rPr>
                <w:rFonts w:eastAsia="Arial" w:cs="Arial"/>
                <w:color w:val="111111"/>
                <w:sz w:val="22"/>
                <w:szCs w:val="22"/>
              </w:rPr>
              <w:t xml:space="preserve"> 4.01</w:t>
            </w:r>
          </w:p>
        </w:tc>
        <w:tc>
          <w:tcPr>
            <w:tcW w:w="1080" w:type="dxa"/>
            <w:tcBorders>
              <w:top w:val="single" w:sz="16" w:space="0" w:color="000000"/>
              <w:bottom w:val="single" w:sz="16" w:space="0" w:color="000000"/>
            </w:tcBorders>
            <w:shd w:val="clear" w:color="auto" w:fill="FFFFFF"/>
            <w:vAlign w:val="center"/>
          </w:tcPr>
          <w:p w14:paraId="1A2F0C33" w14:textId="77777777" w:rsidR="000F7F6A" w:rsidRDefault="00952983">
            <w:pPr>
              <w:spacing w:before="40" w:after="40"/>
              <w:ind w:left="100" w:right="100"/>
              <w:jc w:val="center"/>
            </w:pPr>
            <w:r>
              <w:rPr>
                <w:rFonts w:eastAsia="Arial" w:cs="Arial"/>
                <w:color w:val="111111"/>
                <w:sz w:val="22"/>
                <w:szCs w:val="22"/>
              </w:rPr>
              <w:t xml:space="preserve"> 5.47</w:t>
            </w:r>
          </w:p>
        </w:tc>
        <w:tc>
          <w:tcPr>
            <w:tcW w:w="1080" w:type="dxa"/>
            <w:tcBorders>
              <w:top w:val="single" w:sz="16" w:space="0" w:color="000000"/>
              <w:bottom w:val="single" w:sz="16" w:space="0" w:color="000000"/>
            </w:tcBorders>
            <w:shd w:val="clear" w:color="auto" w:fill="FFFFFF"/>
            <w:vAlign w:val="center"/>
          </w:tcPr>
          <w:p w14:paraId="19F3BFB2" w14:textId="77777777" w:rsidR="000F7F6A" w:rsidRDefault="00952983">
            <w:pPr>
              <w:spacing w:before="40" w:after="40"/>
              <w:ind w:left="100" w:right="100"/>
              <w:jc w:val="center"/>
            </w:pPr>
            <w:r>
              <w:rPr>
                <w:rFonts w:eastAsia="Arial" w:cs="Arial"/>
                <w:color w:val="111111"/>
                <w:sz w:val="22"/>
                <w:szCs w:val="22"/>
              </w:rPr>
              <w:t xml:space="preserve"> 6.65</w:t>
            </w:r>
          </w:p>
        </w:tc>
        <w:tc>
          <w:tcPr>
            <w:tcW w:w="1080" w:type="dxa"/>
            <w:tcBorders>
              <w:top w:val="single" w:sz="16" w:space="0" w:color="000000"/>
              <w:bottom w:val="single" w:sz="16" w:space="0" w:color="000000"/>
            </w:tcBorders>
            <w:shd w:val="clear" w:color="auto" w:fill="FFFFFF"/>
            <w:vAlign w:val="center"/>
          </w:tcPr>
          <w:p w14:paraId="370DC7DC" w14:textId="77777777" w:rsidR="000F7F6A" w:rsidRDefault="00952983">
            <w:pPr>
              <w:spacing w:before="40" w:after="40"/>
              <w:ind w:left="100" w:right="100"/>
              <w:jc w:val="center"/>
            </w:pPr>
            <w:r>
              <w:rPr>
                <w:rFonts w:eastAsia="Arial" w:cs="Arial"/>
                <w:color w:val="111111"/>
                <w:sz w:val="22"/>
                <w:szCs w:val="22"/>
              </w:rPr>
              <w:t>4.61</w:t>
            </w:r>
          </w:p>
        </w:tc>
        <w:tc>
          <w:tcPr>
            <w:tcW w:w="1080" w:type="dxa"/>
            <w:tcBorders>
              <w:top w:val="single" w:sz="16" w:space="0" w:color="000000"/>
              <w:bottom w:val="single" w:sz="16" w:space="0" w:color="000000"/>
            </w:tcBorders>
            <w:shd w:val="clear" w:color="auto" w:fill="FFFFFF"/>
            <w:vAlign w:val="center"/>
          </w:tcPr>
          <w:p w14:paraId="26B9259B" w14:textId="77777777" w:rsidR="000F7F6A" w:rsidRDefault="00952983">
            <w:pPr>
              <w:spacing w:before="40" w:after="40"/>
              <w:ind w:left="100" w:right="100"/>
              <w:jc w:val="center"/>
            </w:pPr>
            <w:r>
              <w:rPr>
                <w:rFonts w:eastAsia="Arial" w:cs="Arial"/>
                <w:color w:val="111111"/>
                <w:sz w:val="22"/>
                <w:szCs w:val="22"/>
              </w:rPr>
              <w:t>3.85</w:t>
            </w:r>
          </w:p>
        </w:tc>
        <w:tc>
          <w:tcPr>
            <w:tcW w:w="1079" w:type="dxa"/>
            <w:tcBorders>
              <w:top w:val="single" w:sz="16" w:space="0" w:color="000000"/>
              <w:bottom w:val="single" w:sz="16" w:space="0" w:color="000000"/>
            </w:tcBorders>
            <w:shd w:val="clear" w:color="auto" w:fill="FFFFFF"/>
            <w:vAlign w:val="center"/>
          </w:tcPr>
          <w:p w14:paraId="27E46741" w14:textId="77777777" w:rsidR="000F7F6A" w:rsidRDefault="00952983">
            <w:pPr>
              <w:spacing w:before="40" w:after="40"/>
              <w:ind w:left="100" w:right="100"/>
              <w:jc w:val="center"/>
            </w:pPr>
            <w:r>
              <w:rPr>
                <w:rFonts w:eastAsia="Arial" w:cs="Arial"/>
                <w:color w:val="111111"/>
                <w:sz w:val="22"/>
                <w:szCs w:val="22"/>
              </w:rPr>
              <w:t>2.99</w:t>
            </w:r>
          </w:p>
        </w:tc>
      </w:tr>
      <w:tr w:rsidR="000F7F6A" w14:paraId="0679FBBD"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4291B57"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080A8472"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1687AEDD" w14:textId="77777777" w:rsidR="000F7F6A" w:rsidRDefault="00952983">
            <w:pPr>
              <w:spacing w:before="40" w:after="40"/>
              <w:ind w:left="100" w:right="100"/>
              <w:jc w:val="center"/>
            </w:pPr>
            <w:r>
              <w:rPr>
                <w:rFonts w:eastAsia="Arial" w:cs="Arial"/>
                <w:color w:val="111111"/>
                <w:sz w:val="22"/>
                <w:szCs w:val="22"/>
              </w:rPr>
              <w:t xml:space="preserve"> 1.70</w:t>
            </w:r>
          </w:p>
        </w:tc>
        <w:tc>
          <w:tcPr>
            <w:tcW w:w="1080" w:type="dxa"/>
            <w:tcBorders>
              <w:top w:val="single" w:sz="16" w:space="0" w:color="000000"/>
              <w:bottom w:val="single" w:sz="16" w:space="0" w:color="000000"/>
            </w:tcBorders>
            <w:shd w:val="clear" w:color="auto" w:fill="FFFFFF"/>
            <w:vAlign w:val="center"/>
          </w:tcPr>
          <w:p w14:paraId="6E4C08B7" w14:textId="77777777" w:rsidR="000F7F6A" w:rsidRDefault="00952983">
            <w:pPr>
              <w:spacing w:before="40" w:after="40"/>
              <w:ind w:left="100" w:right="100"/>
              <w:jc w:val="center"/>
            </w:pPr>
            <w:r>
              <w:rPr>
                <w:rFonts w:eastAsia="Arial" w:cs="Arial"/>
                <w:color w:val="111111"/>
                <w:sz w:val="22"/>
                <w:szCs w:val="22"/>
              </w:rPr>
              <w:t xml:space="preserve"> 2.22</w:t>
            </w:r>
          </w:p>
        </w:tc>
        <w:tc>
          <w:tcPr>
            <w:tcW w:w="1080" w:type="dxa"/>
            <w:tcBorders>
              <w:top w:val="single" w:sz="16" w:space="0" w:color="000000"/>
              <w:bottom w:val="single" w:sz="16" w:space="0" w:color="000000"/>
            </w:tcBorders>
            <w:shd w:val="clear" w:color="auto" w:fill="FFFFFF"/>
            <w:vAlign w:val="center"/>
          </w:tcPr>
          <w:p w14:paraId="75F73BDC" w14:textId="77777777" w:rsidR="000F7F6A" w:rsidRDefault="00952983">
            <w:pPr>
              <w:spacing w:before="40" w:after="40"/>
              <w:ind w:left="100" w:right="100"/>
              <w:jc w:val="center"/>
            </w:pPr>
            <w:r>
              <w:rPr>
                <w:rFonts w:eastAsia="Arial" w:cs="Arial"/>
                <w:color w:val="111111"/>
                <w:sz w:val="22"/>
                <w:szCs w:val="22"/>
              </w:rPr>
              <w:t xml:space="preserve"> 2.28</w:t>
            </w:r>
          </w:p>
        </w:tc>
        <w:tc>
          <w:tcPr>
            <w:tcW w:w="1080" w:type="dxa"/>
            <w:tcBorders>
              <w:top w:val="single" w:sz="16" w:space="0" w:color="000000"/>
              <w:bottom w:val="single" w:sz="16" w:space="0" w:color="000000"/>
            </w:tcBorders>
            <w:shd w:val="clear" w:color="auto" w:fill="FFFFFF"/>
            <w:vAlign w:val="center"/>
          </w:tcPr>
          <w:p w14:paraId="28C0622E" w14:textId="77777777" w:rsidR="000F7F6A" w:rsidRDefault="00952983">
            <w:pPr>
              <w:spacing w:before="40" w:after="40"/>
              <w:ind w:left="100" w:right="100"/>
              <w:jc w:val="center"/>
            </w:pPr>
            <w:r>
              <w:rPr>
                <w:rFonts w:eastAsia="Arial" w:cs="Arial"/>
                <w:color w:val="111111"/>
                <w:sz w:val="22"/>
                <w:szCs w:val="22"/>
              </w:rPr>
              <w:t>4.13</w:t>
            </w:r>
          </w:p>
        </w:tc>
        <w:tc>
          <w:tcPr>
            <w:tcW w:w="1080" w:type="dxa"/>
            <w:tcBorders>
              <w:top w:val="single" w:sz="16" w:space="0" w:color="000000"/>
              <w:bottom w:val="single" w:sz="16" w:space="0" w:color="000000"/>
            </w:tcBorders>
            <w:shd w:val="clear" w:color="auto" w:fill="FFFFFF"/>
            <w:vAlign w:val="center"/>
          </w:tcPr>
          <w:p w14:paraId="778350E7" w14:textId="77777777" w:rsidR="000F7F6A" w:rsidRDefault="00952983">
            <w:pPr>
              <w:spacing w:before="40" w:after="40"/>
              <w:ind w:left="100" w:right="100"/>
              <w:jc w:val="center"/>
            </w:pPr>
            <w:r>
              <w:rPr>
                <w:rFonts w:eastAsia="Arial" w:cs="Arial"/>
                <w:color w:val="111111"/>
                <w:sz w:val="22"/>
                <w:szCs w:val="22"/>
              </w:rPr>
              <w:t>3.47</w:t>
            </w:r>
          </w:p>
        </w:tc>
        <w:tc>
          <w:tcPr>
            <w:tcW w:w="1079" w:type="dxa"/>
            <w:tcBorders>
              <w:top w:val="single" w:sz="16" w:space="0" w:color="000000"/>
              <w:bottom w:val="single" w:sz="16" w:space="0" w:color="000000"/>
            </w:tcBorders>
            <w:shd w:val="clear" w:color="auto" w:fill="FFFFFF"/>
            <w:vAlign w:val="center"/>
          </w:tcPr>
          <w:p w14:paraId="03C3B817" w14:textId="77777777" w:rsidR="000F7F6A" w:rsidRDefault="00952983">
            <w:pPr>
              <w:spacing w:before="40" w:after="40"/>
              <w:ind w:left="100" w:right="100"/>
              <w:jc w:val="center"/>
            </w:pPr>
            <w:r>
              <w:rPr>
                <w:rFonts w:eastAsia="Arial" w:cs="Arial"/>
                <w:color w:val="111111"/>
                <w:sz w:val="22"/>
                <w:szCs w:val="22"/>
              </w:rPr>
              <w:t>2.67</w:t>
            </w:r>
          </w:p>
        </w:tc>
      </w:tr>
      <w:tr w:rsidR="000F7F6A" w14:paraId="0F42605F"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0BB29AD"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773A852C"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1B13D316" w14:textId="77777777" w:rsidR="000F7F6A" w:rsidRDefault="00952983">
            <w:pPr>
              <w:spacing w:before="40" w:after="40"/>
              <w:ind w:left="100" w:right="100"/>
              <w:jc w:val="center"/>
            </w:pPr>
            <w:r>
              <w:rPr>
                <w:rFonts w:eastAsia="Arial" w:cs="Arial"/>
                <w:color w:val="111111"/>
                <w:sz w:val="22"/>
                <w:szCs w:val="22"/>
              </w:rPr>
              <w:t xml:space="preserve"> 0.56</w:t>
            </w:r>
          </w:p>
        </w:tc>
        <w:tc>
          <w:tcPr>
            <w:tcW w:w="1080" w:type="dxa"/>
            <w:tcBorders>
              <w:top w:val="single" w:sz="16" w:space="0" w:color="000000"/>
              <w:bottom w:val="single" w:sz="16" w:space="0" w:color="000000"/>
            </w:tcBorders>
            <w:shd w:val="clear" w:color="auto" w:fill="FFFFFF"/>
            <w:vAlign w:val="center"/>
          </w:tcPr>
          <w:p w14:paraId="6295AE42" w14:textId="77777777" w:rsidR="000F7F6A" w:rsidRDefault="00952983">
            <w:pPr>
              <w:spacing w:before="40" w:after="40"/>
              <w:ind w:left="100" w:right="100"/>
              <w:jc w:val="center"/>
            </w:pPr>
            <w:r>
              <w:rPr>
                <w:rFonts w:eastAsia="Arial" w:cs="Arial"/>
                <w:color w:val="111111"/>
                <w:sz w:val="22"/>
                <w:szCs w:val="22"/>
              </w:rPr>
              <w:t xml:space="preserve"> 0.48</w:t>
            </w:r>
          </w:p>
        </w:tc>
        <w:tc>
          <w:tcPr>
            <w:tcW w:w="1080" w:type="dxa"/>
            <w:tcBorders>
              <w:top w:val="single" w:sz="16" w:space="0" w:color="000000"/>
              <w:bottom w:val="single" w:sz="16" w:space="0" w:color="000000"/>
            </w:tcBorders>
            <w:shd w:val="clear" w:color="auto" w:fill="FFFFFF"/>
            <w:vAlign w:val="center"/>
          </w:tcPr>
          <w:p w14:paraId="234B0DD1" w14:textId="77777777" w:rsidR="000F7F6A" w:rsidRDefault="00952983">
            <w:pPr>
              <w:spacing w:before="40" w:after="40"/>
              <w:ind w:left="100" w:right="100"/>
              <w:jc w:val="center"/>
            </w:pPr>
            <w:r>
              <w:rPr>
                <w:rFonts w:eastAsia="Arial" w:cs="Arial"/>
                <w:color w:val="111111"/>
                <w:sz w:val="22"/>
                <w:szCs w:val="22"/>
              </w:rPr>
              <w:t xml:space="preserve"> 0.26</w:t>
            </w:r>
          </w:p>
        </w:tc>
        <w:tc>
          <w:tcPr>
            <w:tcW w:w="1080" w:type="dxa"/>
            <w:tcBorders>
              <w:top w:val="single" w:sz="16" w:space="0" w:color="000000"/>
              <w:bottom w:val="single" w:sz="16" w:space="0" w:color="000000"/>
            </w:tcBorders>
            <w:shd w:val="clear" w:color="auto" w:fill="FFFFFF"/>
            <w:vAlign w:val="center"/>
          </w:tcPr>
          <w:p w14:paraId="115DDDBA" w14:textId="77777777" w:rsidR="000F7F6A" w:rsidRDefault="00952983">
            <w:pPr>
              <w:spacing w:before="40" w:after="40"/>
              <w:ind w:left="100" w:right="100"/>
              <w:jc w:val="center"/>
            </w:pPr>
            <w:r>
              <w:rPr>
                <w:rFonts w:eastAsia="Arial" w:cs="Arial"/>
                <w:color w:val="111111"/>
                <w:sz w:val="22"/>
                <w:szCs w:val="22"/>
              </w:rPr>
              <w:t>3.91</w:t>
            </w:r>
          </w:p>
        </w:tc>
        <w:tc>
          <w:tcPr>
            <w:tcW w:w="1080" w:type="dxa"/>
            <w:tcBorders>
              <w:top w:val="single" w:sz="16" w:space="0" w:color="000000"/>
              <w:bottom w:val="single" w:sz="16" w:space="0" w:color="000000"/>
            </w:tcBorders>
            <w:shd w:val="clear" w:color="auto" w:fill="FFFFFF"/>
            <w:vAlign w:val="center"/>
          </w:tcPr>
          <w:p w14:paraId="590FD108" w14:textId="77777777" w:rsidR="000F7F6A" w:rsidRDefault="00952983">
            <w:pPr>
              <w:spacing w:before="40" w:after="40"/>
              <w:ind w:left="100" w:right="100"/>
              <w:jc w:val="center"/>
            </w:pPr>
            <w:r>
              <w:rPr>
                <w:rFonts w:eastAsia="Arial" w:cs="Arial"/>
                <w:color w:val="111111"/>
                <w:sz w:val="22"/>
                <w:szCs w:val="22"/>
              </w:rPr>
              <w:t>3.28</w:t>
            </w:r>
          </w:p>
        </w:tc>
        <w:tc>
          <w:tcPr>
            <w:tcW w:w="1079" w:type="dxa"/>
            <w:tcBorders>
              <w:top w:val="single" w:sz="16" w:space="0" w:color="000000"/>
              <w:bottom w:val="single" w:sz="16" w:space="0" w:color="000000"/>
            </w:tcBorders>
            <w:shd w:val="clear" w:color="auto" w:fill="FFFFFF"/>
            <w:vAlign w:val="center"/>
          </w:tcPr>
          <w:p w14:paraId="4ED2FD0B" w14:textId="77777777" w:rsidR="000F7F6A" w:rsidRDefault="00952983">
            <w:pPr>
              <w:spacing w:before="40" w:after="40"/>
              <w:ind w:left="100" w:right="100"/>
              <w:jc w:val="center"/>
            </w:pPr>
            <w:r>
              <w:rPr>
                <w:rFonts w:eastAsia="Arial" w:cs="Arial"/>
                <w:color w:val="111111"/>
                <w:sz w:val="22"/>
                <w:szCs w:val="22"/>
              </w:rPr>
              <w:t>2.47</w:t>
            </w:r>
          </w:p>
        </w:tc>
      </w:tr>
      <w:tr w:rsidR="000F7F6A" w14:paraId="09FBEECC"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077DA08"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10F41D41"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001310DF" w14:textId="77777777" w:rsidR="000F7F6A" w:rsidRDefault="00952983">
            <w:pPr>
              <w:spacing w:before="40" w:after="40"/>
              <w:ind w:left="100" w:right="100"/>
              <w:jc w:val="center"/>
            </w:pPr>
            <w:r>
              <w:rPr>
                <w:rFonts w:eastAsia="Arial" w:cs="Arial"/>
                <w:color w:val="111111"/>
                <w:sz w:val="22"/>
                <w:szCs w:val="22"/>
              </w:rPr>
              <w:t xml:space="preserve"> 2.34</w:t>
            </w:r>
          </w:p>
        </w:tc>
        <w:tc>
          <w:tcPr>
            <w:tcW w:w="1080" w:type="dxa"/>
            <w:tcBorders>
              <w:top w:val="single" w:sz="16" w:space="0" w:color="000000"/>
              <w:bottom w:val="single" w:sz="16" w:space="0" w:color="000000"/>
            </w:tcBorders>
            <w:shd w:val="clear" w:color="auto" w:fill="FFFFFF"/>
            <w:vAlign w:val="center"/>
          </w:tcPr>
          <w:p w14:paraId="767AFA36" w14:textId="77777777" w:rsidR="000F7F6A" w:rsidRDefault="00952983">
            <w:pPr>
              <w:spacing w:before="40" w:after="40"/>
              <w:ind w:left="100" w:right="100"/>
              <w:jc w:val="center"/>
            </w:pPr>
            <w:r>
              <w:rPr>
                <w:rFonts w:eastAsia="Arial" w:cs="Arial"/>
                <w:color w:val="111111"/>
                <w:sz w:val="22"/>
                <w:szCs w:val="22"/>
              </w:rPr>
              <w:t xml:space="preserve"> 5.08</w:t>
            </w:r>
          </w:p>
        </w:tc>
        <w:tc>
          <w:tcPr>
            <w:tcW w:w="1080" w:type="dxa"/>
            <w:tcBorders>
              <w:top w:val="single" w:sz="16" w:space="0" w:color="000000"/>
              <w:bottom w:val="single" w:sz="16" w:space="0" w:color="000000"/>
            </w:tcBorders>
            <w:shd w:val="clear" w:color="auto" w:fill="FFFFFF"/>
            <w:vAlign w:val="center"/>
          </w:tcPr>
          <w:p w14:paraId="66DDDED8" w14:textId="77777777" w:rsidR="000F7F6A" w:rsidRDefault="00952983">
            <w:pPr>
              <w:spacing w:before="40" w:after="40"/>
              <w:ind w:left="100" w:right="100"/>
              <w:jc w:val="center"/>
            </w:pPr>
            <w:r>
              <w:rPr>
                <w:rFonts w:eastAsia="Arial" w:cs="Arial"/>
                <w:color w:val="111111"/>
                <w:sz w:val="22"/>
                <w:szCs w:val="22"/>
              </w:rPr>
              <w:t xml:space="preserve"> 8.60</w:t>
            </w:r>
          </w:p>
        </w:tc>
        <w:tc>
          <w:tcPr>
            <w:tcW w:w="1080" w:type="dxa"/>
            <w:tcBorders>
              <w:top w:val="single" w:sz="16" w:space="0" w:color="000000"/>
              <w:bottom w:val="single" w:sz="16" w:space="0" w:color="000000"/>
            </w:tcBorders>
            <w:shd w:val="clear" w:color="auto" w:fill="FFFFFF"/>
            <w:vAlign w:val="center"/>
          </w:tcPr>
          <w:p w14:paraId="68BADFA8" w14:textId="77777777" w:rsidR="000F7F6A" w:rsidRDefault="00952983">
            <w:pPr>
              <w:spacing w:before="40" w:after="40"/>
              <w:ind w:left="100" w:right="100"/>
              <w:jc w:val="center"/>
            </w:pPr>
            <w:r>
              <w:rPr>
                <w:rFonts w:eastAsia="Arial" w:cs="Arial"/>
                <w:color w:val="111111"/>
                <w:sz w:val="22"/>
                <w:szCs w:val="22"/>
              </w:rPr>
              <w:t>4.68</w:t>
            </w:r>
          </w:p>
        </w:tc>
        <w:tc>
          <w:tcPr>
            <w:tcW w:w="1080" w:type="dxa"/>
            <w:tcBorders>
              <w:top w:val="single" w:sz="16" w:space="0" w:color="000000"/>
              <w:bottom w:val="single" w:sz="16" w:space="0" w:color="000000"/>
            </w:tcBorders>
            <w:shd w:val="clear" w:color="auto" w:fill="FFFFFF"/>
            <w:vAlign w:val="center"/>
          </w:tcPr>
          <w:p w14:paraId="64230C0B" w14:textId="77777777" w:rsidR="000F7F6A" w:rsidRDefault="00952983">
            <w:pPr>
              <w:spacing w:before="40" w:after="40"/>
              <w:ind w:left="100" w:right="100"/>
              <w:jc w:val="center"/>
            </w:pPr>
            <w:r>
              <w:rPr>
                <w:rFonts w:eastAsia="Arial" w:cs="Arial"/>
                <w:color w:val="111111"/>
                <w:sz w:val="22"/>
                <w:szCs w:val="22"/>
              </w:rPr>
              <w:t>3.76</w:t>
            </w:r>
          </w:p>
        </w:tc>
        <w:tc>
          <w:tcPr>
            <w:tcW w:w="1079" w:type="dxa"/>
            <w:tcBorders>
              <w:top w:val="single" w:sz="16" w:space="0" w:color="000000"/>
              <w:bottom w:val="single" w:sz="16" w:space="0" w:color="000000"/>
            </w:tcBorders>
            <w:shd w:val="clear" w:color="auto" w:fill="FFFFFF"/>
            <w:vAlign w:val="center"/>
          </w:tcPr>
          <w:p w14:paraId="2F91DDEF" w14:textId="77777777" w:rsidR="000F7F6A" w:rsidRDefault="00952983">
            <w:pPr>
              <w:spacing w:before="40" w:after="40"/>
              <w:ind w:left="100" w:right="100"/>
              <w:jc w:val="center"/>
            </w:pPr>
            <w:r>
              <w:rPr>
                <w:rFonts w:eastAsia="Arial" w:cs="Arial"/>
                <w:color w:val="111111"/>
                <w:sz w:val="22"/>
                <w:szCs w:val="22"/>
              </w:rPr>
              <w:t>2.91</w:t>
            </w:r>
          </w:p>
        </w:tc>
      </w:tr>
      <w:tr w:rsidR="000F7F6A" w14:paraId="1DD053EF"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2104BAD7"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4D807C75"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553370BD" w14:textId="77777777" w:rsidR="000F7F6A" w:rsidRDefault="00952983">
            <w:pPr>
              <w:spacing w:before="40" w:after="40"/>
              <w:ind w:left="100" w:right="100"/>
              <w:jc w:val="center"/>
            </w:pPr>
            <w:r>
              <w:rPr>
                <w:rFonts w:eastAsia="Arial" w:cs="Arial"/>
                <w:color w:val="111111"/>
                <w:sz w:val="22"/>
                <w:szCs w:val="22"/>
              </w:rPr>
              <w:t xml:space="preserve"> 1.95</w:t>
            </w:r>
          </w:p>
        </w:tc>
        <w:tc>
          <w:tcPr>
            <w:tcW w:w="1080" w:type="dxa"/>
            <w:tcBorders>
              <w:top w:val="single" w:sz="16" w:space="0" w:color="000000"/>
              <w:bottom w:val="single" w:sz="16" w:space="0" w:color="000000"/>
            </w:tcBorders>
            <w:shd w:val="clear" w:color="auto" w:fill="FFFFFF"/>
            <w:vAlign w:val="center"/>
          </w:tcPr>
          <w:p w14:paraId="3178F381" w14:textId="77777777" w:rsidR="000F7F6A" w:rsidRDefault="00952983">
            <w:pPr>
              <w:spacing w:before="40" w:after="40"/>
              <w:ind w:left="100" w:right="100"/>
              <w:jc w:val="center"/>
            </w:pPr>
            <w:r>
              <w:rPr>
                <w:rFonts w:eastAsia="Arial" w:cs="Arial"/>
                <w:color w:val="111111"/>
                <w:sz w:val="22"/>
                <w:szCs w:val="22"/>
              </w:rPr>
              <w:t xml:space="preserve"> 4.22</w:t>
            </w:r>
          </w:p>
        </w:tc>
        <w:tc>
          <w:tcPr>
            <w:tcW w:w="1080" w:type="dxa"/>
            <w:tcBorders>
              <w:top w:val="single" w:sz="16" w:space="0" w:color="000000"/>
              <w:bottom w:val="single" w:sz="16" w:space="0" w:color="000000"/>
            </w:tcBorders>
            <w:shd w:val="clear" w:color="auto" w:fill="FFFFFF"/>
            <w:vAlign w:val="center"/>
          </w:tcPr>
          <w:p w14:paraId="08226479" w14:textId="77777777" w:rsidR="000F7F6A" w:rsidRDefault="00952983">
            <w:pPr>
              <w:spacing w:before="40" w:after="40"/>
              <w:ind w:left="100" w:right="100"/>
              <w:jc w:val="center"/>
            </w:pPr>
            <w:r>
              <w:rPr>
                <w:rFonts w:eastAsia="Arial" w:cs="Arial"/>
                <w:color w:val="111111"/>
                <w:sz w:val="22"/>
                <w:szCs w:val="22"/>
              </w:rPr>
              <w:t xml:space="preserve"> 9.57</w:t>
            </w:r>
          </w:p>
        </w:tc>
        <w:tc>
          <w:tcPr>
            <w:tcW w:w="1080" w:type="dxa"/>
            <w:tcBorders>
              <w:top w:val="single" w:sz="16" w:space="0" w:color="000000"/>
              <w:bottom w:val="single" w:sz="16" w:space="0" w:color="000000"/>
            </w:tcBorders>
            <w:shd w:val="clear" w:color="auto" w:fill="FFFFFF"/>
            <w:vAlign w:val="center"/>
          </w:tcPr>
          <w:p w14:paraId="2A7529CF" w14:textId="77777777" w:rsidR="000F7F6A" w:rsidRDefault="00952983">
            <w:pPr>
              <w:spacing w:before="40" w:after="40"/>
              <w:ind w:left="100" w:right="100"/>
              <w:jc w:val="center"/>
            </w:pPr>
            <w:r>
              <w:rPr>
                <w:rFonts w:eastAsia="Arial" w:cs="Arial"/>
                <w:color w:val="111111"/>
                <w:sz w:val="22"/>
                <w:szCs w:val="22"/>
              </w:rPr>
              <w:t>3.85</w:t>
            </w:r>
          </w:p>
        </w:tc>
        <w:tc>
          <w:tcPr>
            <w:tcW w:w="1080" w:type="dxa"/>
            <w:tcBorders>
              <w:top w:val="single" w:sz="16" w:space="0" w:color="000000"/>
              <w:bottom w:val="single" w:sz="16" w:space="0" w:color="000000"/>
            </w:tcBorders>
            <w:shd w:val="clear" w:color="auto" w:fill="FFFFFF"/>
            <w:vAlign w:val="center"/>
          </w:tcPr>
          <w:p w14:paraId="6BD1B859" w14:textId="77777777" w:rsidR="000F7F6A" w:rsidRDefault="00952983">
            <w:pPr>
              <w:spacing w:before="40" w:after="40"/>
              <w:ind w:left="100" w:right="100"/>
              <w:jc w:val="center"/>
            </w:pPr>
            <w:r>
              <w:rPr>
                <w:rFonts w:eastAsia="Arial" w:cs="Arial"/>
                <w:color w:val="111111"/>
                <w:sz w:val="22"/>
                <w:szCs w:val="22"/>
              </w:rPr>
              <w:t>3.12</w:t>
            </w:r>
          </w:p>
        </w:tc>
        <w:tc>
          <w:tcPr>
            <w:tcW w:w="1079" w:type="dxa"/>
            <w:tcBorders>
              <w:top w:val="single" w:sz="16" w:space="0" w:color="000000"/>
              <w:bottom w:val="single" w:sz="16" w:space="0" w:color="000000"/>
            </w:tcBorders>
            <w:shd w:val="clear" w:color="auto" w:fill="FFFFFF"/>
            <w:vAlign w:val="center"/>
          </w:tcPr>
          <w:p w14:paraId="679A197A" w14:textId="77777777" w:rsidR="000F7F6A" w:rsidRDefault="00952983">
            <w:pPr>
              <w:spacing w:before="40" w:after="40"/>
              <w:ind w:left="100" w:right="100"/>
              <w:jc w:val="center"/>
            </w:pPr>
            <w:r>
              <w:rPr>
                <w:rFonts w:eastAsia="Arial" w:cs="Arial"/>
                <w:color w:val="111111"/>
                <w:sz w:val="22"/>
                <w:szCs w:val="22"/>
              </w:rPr>
              <w:t>2.51</w:t>
            </w:r>
          </w:p>
        </w:tc>
      </w:tr>
      <w:tr w:rsidR="000F7F6A" w14:paraId="412F94A1"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C30BFE7"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553EF714"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6B99A543" w14:textId="77777777" w:rsidR="000F7F6A" w:rsidRDefault="00952983">
            <w:pPr>
              <w:spacing w:before="40" w:after="40"/>
              <w:ind w:left="100" w:right="100"/>
              <w:jc w:val="center"/>
            </w:pPr>
            <w:r>
              <w:rPr>
                <w:rFonts w:eastAsia="Arial" w:cs="Arial"/>
                <w:color w:val="111111"/>
                <w:sz w:val="22"/>
                <w:szCs w:val="22"/>
              </w:rPr>
              <w:t xml:space="preserve"> 1.18</w:t>
            </w:r>
          </w:p>
        </w:tc>
        <w:tc>
          <w:tcPr>
            <w:tcW w:w="1080" w:type="dxa"/>
            <w:tcBorders>
              <w:top w:val="single" w:sz="16" w:space="0" w:color="000000"/>
              <w:bottom w:val="single" w:sz="16" w:space="0" w:color="000000"/>
            </w:tcBorders>
            <w:shd w:val="clear" w:color="auto" w:fill="FFFFFF"/>
            <w:vAlign w:val="center"/>
          </w:tcPr>
          <w:p w14:paraId="0065E3DE" w14:textId="77777777" w:rsidR="000F7F6A" w:rsidRDefault="00952983">
            <w:pPr>
              <w:spacing w:before="40" w:after="40"/>
              <w:ind w:left="100" w:right="100"/>
              <w:jc w:val="center"/>
            </w:pPr>
            <w:r>
              <w:rPr>
                <w:rFonts w:eastAsia="Arial" w:cs="Arial"/>
                <w:color w:val="111111"/>
                <w:sz w:val="22"/>
                <w:szCs w:val="22"/>
              </w:rPr>
              <w:t xml:space="preserve"> 2.17</w:t>
            </w:r>
          </w:p>
        </w:tc>
        <w:tc>
          <w:tcPr>
            <w:tcW w:w="1080" w:type="dxa"/>
            <w:tcBorders>
              <w:top w:val="single" w:sz="16" w:space="0" w:color="000000"/>
              <w:bottom w:val="single" w:sz="16" w:space="0" w:color="000000"/>
            </w:tcBorders>
            <w:shd w:val="clear" w:color="auto" w:fill="FFFFFF"/>
            <w:vAlign w:val="center"/>
          </w:tcPr>
          <w:p w14:paraId="5FE37E1C" w14:textId="77777777" w:rsidR="000F7F6A" w:rsidRDefault="00952983">
            <w:pPr>
              <w:spacing w:before="40" w:after="40"/>
              <w:ind w:left="100" w:right="100"/>
              <w:jc w:val="center"/>
            </w:pPr>
            <w:r>
              <w:rPr>
                <w:rFonts w:eastAsia="Arial" w:cs="Arial"/>
                <w:color w:val="111111"/>
                <w:sz w:val="22"/>
                <w:szCs w:val="22"/>
              </w:rPr>
              <w:t xml:space="preserve"> 4.02</w:t>
            </w:r>
          </w:p>
        </w:tc>
        <w:tc>
          <w:tcPr>
            <w:tcW w:w="1080" w:type="dxa"/>
            <w:tcBorders>
              <w:top w:val="single" w:sz="16" w:space="0" w:color="000000"/>
              <w:bottom w:val="single" w:sz="16" w:space="0" w:color="000000"/>
            </w:tcBorders>
            <w:shd w:val="clear" w:color="auto" w:fill="FFFFFF"/>
            <w:vAlign w:val="center"/>
          </w:tcPr>
          <w:p w14:paraId="3569D66F" w14:textId="77777777" w:rsidR="000F7F6A" w:rsidRDefault="00952983">
            <w:pPr>
              <w:spacing w:before="40" w:after="40"/>
              <w:ind w:left="100" w:right="100"/>
              <w:jc w:val="center"/>
            </w:pPr>
            <w:r>
              <w:rPr>
                <w:rFonts w:eastAsia="Arial" w:cs="Arial"/>
                <w:color w:val="111111"/>
                <w:sz w:val="22"/>
                <w:szCs w:val="22"/>
              </w:rPr>
              <w:t>3.64</w:t>
            </w:r>
          </w:p>
        </w:tc>
        <w:tc>
          <w:tcPr>
            <w:tcW w:w="1080" w:type="dxa"/>
            <w:tcBorders>
              <w:top w:val="single" w:sz="16" w:space="0" w:color="000000"/>
              <w:bottom w:val="single" w:sz="16" w:space="0" w:color="000000"/>
            </w:tcBorders>
            <w:shd w:val="clear" w:color="auto" w:fill="FFFFFF"/>
            <w:vAlign w:val="center"/>
          </w:tcPr>
          <w:p w14:paraId="38543585" w14:textId="77777777" w:rsidR="000F7F6A" w:rsidRDefault="00952983">
            <w:pPr>
              <w:spacing w:before="40" w:after="40"/>
              <w:ind w:left="100" w:right="100"/>
              <w:jc w:val="center"/>
            </w:pPr>
            <w:r>
              <w:rPr>
                <w:rFonts w:eastAsia="Arial" w:cs="Arial"/>
                <w:color w:val="111111"/>
                <w:sz w:val="22"/>
                <w:szCs w:val="22"/>
              </w:rPr>
              <w:t>2.95</w:t>
            </w:r>
          </w:p>
        </w:tc>
        <w:tc>
          <w:tcPr>
            <w:tcW w:w="1079" w:type="dxa"/>
            <w:tcBorders>
              <w:top w:val="single" w:sz="16" w:space="0" w:color="000000"/>
              <w:bottom w:val="single" w:sz="16" w:space="0" w:color="000000"/>
            </w:tcBorders>
            <w:shd w:val="clear" w:color="auto" w:fill="FFFFFF"/>
            <w:vAlign w:val="center"/>
          </w:tcPr>
          <w:p w14:paraId="1195F6F3" w14:textId="77777777" w:rsidR="000F7F6A" w:rsidRDefault="00952983">
            <w:pPr>
              <w:spacing w:before="40" w:after="40"/>
              <w:ind w:left="100" w:right="100"/>
              <w:jc w:val="center"/>
            </w:pPr>
            <w:r>
              <w:rPr>
                <w:rFonts w:eastAsia="Arial" w:cs="Arial"/>
                <w:color w:val="111111"/>
                <w:sz w:val="22"/>
                <w:szCs w:val="22"/>
              </w:rPr>
              <w:t>2.38</w:t>
            </w:r>
          </w:p>
        </w:tc>
      </w:tr>
      <w:tr w:rsidR="000F7F6A" w14:paraId="5679283B"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965C1D9"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2FCA881C"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07D471B1" w14:textId="77777777" w:rsidR="000F7F6A" w:rsidRDefault="00952983">
            <w:pPr>
              <w:spacing w:before="40" w:after="40"/>
              <w:ind w:left="100" w:right="100"/>
              <w:jc w:val="center"/>
            </w:pPr>
            <w:r>
              <w:rPr>
                <w:rFonts w:eastAsia="Arial" w:cs="Arial"/>
                <w:color w:val="111111"/>
                <w:sz w:val="22"/>
                <w:szCs w:val="22"/>
              </w:rPr>
              <w:t xml:space="preserve"> 0.84</w:t>
            </w:r>
          </w:p>
        </w:tc>
        <w:tc>
          <w:tcPr>
            <w:tcW w:w="1080" w:type="dxa"/>
            <w:tcBorders>
              <w:top w:val="single" w:sz="16" w:space="0" w:color="000000"/>
              <w:bottom w:val="single" w:sz="16" w:space="0" w:color="000000"/>
            </w:tcBorders>
            <w:shd w:val="clear" w:color="auto" w:fill="FFFFFF"/>
            <w:vAlign w:val="center"/>
          </w:tcPr>
          <w:p w14:paraId="7C1A4CC4" w14:textId="77777777" w:rsidR="000F7F6A" w:rsidRDefault="00952983">
            <w:pPr>
              <w:spacing w:before="40" w:after="40"/>
              <w:ind w:left="100" w:right="100"/>
              <w:jc w:val="center"/>
            </w:pPr>
            <w:r>
              <w:rPr>
                <w:rFonts w:eastAsia="Arial" w:cs="Arial"/>
                <w:color w:val="111111"/>
                <w:sz w:val="22"/>
                <w:szCs w:val="22"/>
              </w:rPr>
              <w:t xml:space="preserve"> 0.86</w:t>
            </w:r>
          </w:p>
        </w:tc>
        <w:tc>
          <w:tcPr>
            <w:tcW w:w="1080" w:type="dxa"/>
            <w:tcBorders>
              <w:top w:val="single" w:sz="16" w:space="0" w:color="000000"/>
              <w:bottom w:val="single" w:sz="16" w:space="0" w:color="000000"/>
            </w:tcBorders>
            <w:shd w:val="clear" w:color="auto" w:fill="FFFFFF"/>
            <w:vAlign w:val="center"/>
          </w:tcPr>
          <w:p w14:paraId="1800079F" w14:textId="77777777" w:rsidR="000F7F6A" w:rsidRDefault="00952983">
            <w:pPr>
              <w:spacing w:before="40" w:after="40"/>
              <w:ind w:left="100" w:right="100"/>
              <w:jc w:val="center"/>
            </w:pPr>
            <w:r>
              <w:rPr>
                <w:rFonts w:eastAsia="Arial" w:cs="Arial"/>
                <w:color w:val="111111"/>
                <w:sz w:val="22"/>
                <w:szCs w:val="22"/>
              </w:rPr>
              <w:t xml:space="preserve"> 0.77</w:t>
            </w:r>
          </w:p>
        </w:tc>
        <w:tc>
          <w:tcPr>
            <w:tcW w:w="1080" w:type="dxa"/>
            <w:tcBorders>
              <w:top w:val="single" w:sz="16" w:space="0" w:color="000000"/>
              <w:bottom w:val="single" w:sz="16" w:space="0" w:color="000000"/>
            </w:tcBorders>
            <w:shd w:val="clear" w:color="auto" w:fill="FFFFFF"/>
            <w:vAlign w:val="center"/>
          </w:tcPr>
          <w:p w14:paraId="54312186" w14:textId="77777777" w:rsidR="000F7F6A" w:rsidRDefault="00952983">
            <w:pPr>
              <w:spacing w:before="40" w:after="40"/>
              <w:ind w:left="100" w:right="100"/>
              <w:jc w:val="center"/>
            </w:pPr>
            <w:r>
              <w:rPr>
                <w:rFonts w:eastAsia="Arial" w:cs="Arial"/>
                <w:color w:val="111111"/>
                <w:sz w:val="22"/>
                <w:szCs w:val="22"/>
              </w:rPr>
              <w:t>3.45</w:t>
            </w:r>
          </w:p>
        </w:tc>
        <w:tc>
          <w:tcPr>
            <w:tcW w:w="1080" w:type="dxa"/>
            <w:tcBorders>
              <w:top w:val="single" w:sz="16" w:space="0" w:color="000000"/>
              <w:bottom w:val="single" w:sz="16" w:space="0" w:color="000000"/>
            </w:tcBorders>
            <w:shd w:val="clear" w:color="auto" w:fill="FFFFFF"/>
            <w:vAlign w:val="center"/>
          </w:tcPr>
          <w:p w14:paraId="7BDFE572" w14:textId="77777777" w:rsidR="000F7F6A" w:rsidRDefault="00952983">
            <w:pPr>
              <w:spacing w:before="40" w:after="40"/>
              <w:ind w:left="100" w:right="100"/>
              <w:jc w:val="center"/>
            </w:pPr>
            <w:r>
              <w:rPr>
                <w:rFonts w:eastAsia="Arial" w:cs="Arial"/>
                <w:color w:val="111111"/>
                <w:sz w:val="22"/>
                <w:szCs w:val="22"/>
              </w:rPr>
              <w:t>2.85</w:t>
            </w:r>
          </w:p>
        </w:tc>
        <w:tc>
          <w:tcPr>
            <w:tcW w:w="1079" w:type="dxa"/>
            <w:tcBorders>
              <w:top w:val="single" w:sz="16" w:space="0" w:color="000000"/>
              <w:bottom w:val="single" w:sz="16" w:space="0" w:color="000000"/>
            </w:tcBorders>
            <w:shd w:val="clear" w:color="auto" w:fill="FFFFFF"/>
            <w:vAlign w:val="center"/>
          </w:tcPr>
          <w:p w14:paraId="57724976" w14:textId="77777777" w:rsidR="000F7F6A" w:rsidRDefault="00952983">
            <w:pPr>
              <w:spacing w:before="40" w:after="40"/>
              <w:ind w:left="100" w:right="100"/>
              <w:jc w:val="center"/>
            </w:pPr>
            <w:r>
              <w:rPr>
                <w:rFonts w:eastAsia="Arial" w:cs="Arial"/>
                <w:color w:val="111111"/>
                <w:sz w:val="22"/>
                <w:szCs w:val="22"/>
              </w:rPr>
              <w:t>2.22</w:t>
            </w:r>
          </w:p>
        </w:tc>
      </w:tr>
      <w:tr w:rsidR="000F7F6A" w14:paraId="5B37C9A5"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1093CA6"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5A685E48"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70F5CFEA" w14:textId="77777777" w:rsidR="000F7F6A" w:rsidRDefault="00952983">
            <w:pPr>
              <w:spacing w:before="40" w:after="40"/>
              <w:ind w:left="100" w:right="100"/>
              <w:jc w:val="center"/>
            </w:pPr>
            <w:r>
              <w:rPr>
                <w:rFonts w:eastAsia="Arial" w:cs="Arial"/>
                <w:color w:val="111111"/>
                <w:sz w:val="22"/>
                <w:szCs w:val="22"/>
              </w:rPr>
              <w:t xml:space="preserve"> 1.20</w:t>
            </w:r>
          </w:p>
        </w:tc>
        <w:tc>
          <w:tcPr>
            <w:tcW w:w="1080" w:type="dxa"/>
            <w:tcBorders>
              <w:top w:val="single" w:sz="16" w:space="0" w:color="000000"/>
              <w:bottom w:val="single" w:sz="16" w:space="0" w:color="000000"/>
            </w:tcBorders>
            <w:shd w:val="clear" w:color="auto" w:fill="FFFFFF"/>
            <w:vAlign w:val="center"/>
          </w:tcPr>
          <w:p w14:paraId="21362E8F" w14:textId="77777777" w:rsidR="000F7F6A" w:rsidRDefault="00952983">
            <w:pPr>
              <w:spacing w:before="40" w:after="40"/>
              <w:ind w:left="100" w:right="100"/>
              <w:jc w:val="center"/>
            </w:pPr>
            <w:r>
              <w:rPr>
                <w:rFonts w:eastAsia="Arial" w:cs="Arial"/>
                <w:color w:val="111111"/>
                <w:sz w:val="22"/>
                <w:szCs w:val="22"/>
              </w:rPr>
              <w:t xml:space="preserve"> 2.56</w:t>
            </w:r>
          </w:p>
        </w:tc>
        <w:tc>
          <w:tcPr>
            <w:tcW w:w="1080" w:type="dxa"/>
            <w:tcBorders>
              <w:top w:val="single" w:sz="16" w:space="0" w:color="000000"/>
              <w:bottom w:val="single" w:sz="16" w:space="0" w:color="000000"/>
            </w:tcBorders>
            <w:shd w:val="clear" w:color="auto" w:fill="FFFFFF"/>
            <w:vAlign w:val="center"/>
          </w:tcPr>
          <w:p w14:paraId="36A4E2D1" w14:textId="77777777" w:rsidR="000F7F6A" w:rsidRDefault="00952983">
            <w:pPr>
              <w:spacing w:before="40" w:after="40"/>
              <w:ind w:left="100" w:right="100"/>
              <w:jc w:val="center"/>
            </w:pPr>
            <w:r>
              <w:rPr>
                <w:rFonts w:eastAsia="Arial" w:cs="Arial"/>
                <w:color w:val="111111"/>
                <w:sz w:val="22"/>
                <w:szCs w:val="22"/>
              </w:rPr>
              <w:t xml:space="preserve"> 3.76</w:t>
            </w:r>
          </w:p>
        </w:tc>
        <w:tc>
          <w:tcPr>
            <w:tcW w:w="1080" w:type="dxa"/>
            <w:tcBorders>
              <w:top w:val="single" w:sz="16" w:space="0" w:color="000000"/>
              <w:bottom w:val="single" w:sz="16" w:space="0" w:color="000000"/>
            </w:tcBorders>
            <w:shd w:val="clear" w:color="auto" w:fill="FFFFFF"/>
            <w:vAlign w:val="center"/>
          </w:tcPr>
          <w:p w14:paraId="6E9E2E9C" w14:textId="77777777" w:rsidR="000F7F6A" w:rsidRDefault="00952983">
            <w:pPr>
              <w:spacing w:before="40" w:after="40"/>
              <w:ind w:left="100" w:right="100"/>
              <w:jc w:val="center"/>
            </w:pPr>
            <w:r>
              <w:rPr>
                <w:rFonts w:eastAsia="Arial" w:cs="Arial"/>
                <w:color w:val="111111"/>
                <w:sz w:val="22"/>
                <w:szCs w:val="22"/>
              </w:rPr>
              <w:t>4.31</w:t>
            </w:r>
          </w:p>
        </w:tc>
        <w:tc>
          <w:tcPr>
            <w:tcW w:w="1080" w:type="dxa"/>
            <w:tcBorders>
              <w:top w:val="single" w:sz="16" w:space="0" w:color="000000"/>
              <w:bottom w:val="single" w:sz="16" w:space="0" w:color="000000"/>
            </w:tcBorders>
            <w:shd w:val="clear" w:color="auto" w:fill="FFFFFF"/>
            <w:vAlign w:val="center"/>
          </w:tcPr>
          <w:p w14:paraId="456F09D6" w14:textId="77777777" w:rsidR="000F7F6A" w:rsidRDefault="00952983">
            <w:pPr>
              <w:spacing w:before="40" w:after="40"/>
              <w:ind w:left="100" w:right="100"/>
              <w:jc w:val="center"/>
            </w:pPr>
            <w:r>
              <w:rPr>
                <w:rFonts w:eastAsia="Arial" w:cs="Arial"/>
                <w:color w:val="111111"/>
                <w:sz w:val="22"/>
                <w:szCs w:val="22"/>
              </w:rPr>
              <w:t>3.25</w:t>
            </w:r>
          </w:p>
        </w:tc>
        <w:tc>
          <w:tcPr>
            <w:tcW w:w="1079" w:type="dxa"/>
            <w:tcBorders>
              <w:top w:val="single" w:sz="16" w:space="0" w:color="000000"/>
              <w:bottom w:val="single" w:sz="16" w:space="0" w:color="000000"/>
            </w:tcBorders>
            <w:shd w:val="clear" w:color="auto" w:fill="FFFFFF"/>
            <w:vAlign w:val="center"/>
          </w:tcPr>
          <w:p w14:paraId="4FD937A0" w14:textId="77777777" w:rsidR="000F7F6A" w:rsidRDefault="00952983">
            <w:pPr>
              <w:spacing w:before="40" w:after="40"/>
              <w:ind w:left="100" w:right="100"/>
              <w:jc w:val="center"/>
            </w:pPr>
            <w:r>
              <w:rPr>
                <w:rFonts w:eastAsia="Arial" w:cs="Arial"/>
                <w:color w:val="111111"/>
                <w:sz w:val="22"/>
                <w:szCs w:val="22"/>
              </w:rPr>
              <w:t>2.50</w:t>
            </w:r>
          </w:p>
        </w:tc>
      </w:tr>
      <w:tr w:rsidR="000F7F6A" w14:paraId="06285588"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63F9497"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50340992"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77600006" w14:textId="77777777" w:rsidR="000F7F6A" w:rsidRDefault="00952983">
            <w:pPr>
              <w:spacing w:before="40" w:after="40"/>
              <w:ind w:left="100" w:right="100"/>
              <w:jc w:val="center"/>
            </w:pPr>
            <w:r>
              <w:rPr>
                <w:rFonts w:eastAsia="Arial" w:cs="Arial"/>
                <w:color w:val="111111"/>
                <w:sz w:val="22"/>
                <w:szCs w:val="22"/>
              </w:rPr>
              <w:t xml:space="preserve"> 0.82</w:t>
            </w:r>
          </w:p>
        </w:tc>
        <w:tc>
          <w:tcPr>
            <w:tcW w:w="1080" w:type="dxa"/>
            <w:tcBorders>
              <w:top w:val="single" w:sz="16" w:space="0" w:color="000000"/>
              <w:bottom w:val="single" w:sz="16" w:space="0" w:color="000000"/>
            </w:tcBorders>
            <w:shd w:val="clear" w:color="auto" w:fill="FFFFFF"/>
            <w:vAlign w:val="center"/>
          </w:tcPr>
          <w:p w14:paraId="38EDEC27" w14:textId="77777777" w:rsidR="000F7F6A" w:rsidRDefault="00952983">
            <w:pPr>
              <w:spacing w:before="40" w:after="40"/>
              <w:ind w:left="100" w:right="100"/>
              <w:jc w:val="center"/>
            </w:pPr>
            <w:r>
              <w:rPr>
                <w:rFonts w:eastAsia="Arial" w:cs="Arial"/>
                <w:color w:val="111111"/>
                <w:sz w:val="22"/>
                <w:szCs w:val="22"/>
              </w:rPr>
              <w:t xml:space="preserve"> 1.92</w:t>
            </w:r>
          </w:p>
        </w:tc>
        <w:tc>
          <w:tcPr>
            <w:tcW w:w="1080" w:type="dxa"/>
            <w:tcBorders>
              <w:top w:val="single" w:sz="16" w:space="0" w:color="000000"/>
              <w:bottom w:val="single" w:sz="16" w:space="0" w:color="000000"/>
            </w:tcBorders>
            <w:shd w:val="clear" w:color="auto" w:fill="FFFFFF"/>
            <w:vAlign w:val="center"/>
          </w:tcPr>
          <w:p w14:paraId="1A896551" w14:textId="77777777" w:rsidR="000F7F6A" w:rsidRDefault="00952983">
            <w:pPr>
              <w:spacing w:before="40" w:after="40"/>
              <w:ind w:left="100" w:right="100"/>
              <w:jc w:val="center"/>
            </w:pPr>
            <w:r>
              <w:rPr>
                <w:rFonts w:eastAsia="Arial" w:cs="Arial"/>
                <w:color w:val="111111"/>
                <w:sz w:val="22"/>
                <w:szCs w:val="22"/>
              </w:rPr>
              <w:t xml:space="preserve"> 4.46</w:t>
            </w:r>
          </w:p>
        </w:tc>
        <w:tc>
          <w:tcPr>
            <w:tcW w:w="1080" w:type="dxa"/>
            <w:tcBorders>
              <w:top w:val="single" w:sz="16" w:space="0" w:color="000000"/>
              <w:bottom w:val="single" w:sz="16" w:space="0" w:color="000000"/>
            </w:tcBorders>
            <w:shd w:val="clear" w:color="auto" w:fill="FFFFFF"/>
            <w:vAlign w:val="center"/>
          </w:tcPr>
          <w:p w14:paraId="2400A367" w14:textId="77777777" w:rsidR="000F7F6A" w:rsidRDefault="00952983">
            <w:pPr>
              <w:spacing w:before="40" w:after="40"/>
              <w:ind w:left="100" w:right="100"/>
              <w:jc w:val="center"/>
            </w:pPr>
            <w:r>
              <w:rPr>
                <w:rFonts w:eastAsia="Arial" w:cs="Arial"/>
                <w:color w:val="111111"/>
                <w:sz w:val="22"/>
                <w:szCs w:val="22"/>
              </w:rPr>
              <w:t>3.54</w:t>
            </w:r>
          </w:p>
        </w:tc>
        <w:tc>
          <w:tcPr>
            <w:tcW w:w="1080" w:type="dxa"/>
            <w:tcBorders>
              <w:top w:val="single" w:sz="16" w:space="0" w:color="000000"/>
              <w:bottom w:val="single" w:sz="16" w:space="0" w:color="000000"/>
            </w:tcBorders>
            <w:shd w:val="clear" w:color="auto" w:fill="FFFFFF"/>
            <w:vAlign w:val="center"/>
          </w:tcPr>
          <w:p w14:paraId="47896B21" w14:textId="77777777" w:rsidR="000F7F6A" w:rsidRDefault="00952983">
            <w:pPr>
              <w:spacing w:before="40" w:after="40"/>
              <w:ind w:left="100" w:right="100"/>
              <w:jc w:val="center"/>
            </w:pPr>
            <w:r>
              <w:rPr>
                <w:rFonts w:eastAsia="Arial" w:cs="Arial"/>
                <w:color w:val="111111"/>
                <w:sz w:val="22"/>
                <w:szCs w:val="22"/>
              </w:rPr>
              <w:t>2.76</w:t>
            </w:r>
          </w:p>
        </w:tc>
        <w:tc>
          <w:tcPr>
            <w:tcW w:w="1079" w:type="dxa"/>
            <w:tcBorders>
              <w:top w:val="single" w:sz="16" w:space="0" w:color="000000"/>
              <w:bottom w:val="single" w:sz="16" w:space="0" w:color="000000"/>
            </w:tcBorders>
            <w:shd w:val="clear" w:color="auto" w:fill="FFFFFF"/>
            <w:vAlign w:val="center"/>
          </w:tcPr>
          <w:p w14:paraId="7DDF9A1D" w14:textId="77777777" w:rsidR="000F7F6A" w:rsidRDefault="00952983">
            <w:pPr>
              <w:spacing w:before="40" w:after="40"/>
              <w:ind w:left="100" w:right="100"/>
              <w:jc w:val="center"/>
            </w:pPr>
            <w:r>
              <w:rPr>
                <w:rFonts w:eastAsia="Arial" w:cs="Arial"/>
                <w:color w:val="111111"/>
                <w:sz w:val="22"/>
                <w:szCs w:val="22"/>
              </w:rPr>
              <w:t>2.20</w:t>
            </w:r>
          </w:p>
        </w:tc>
      </w:tr>
      <w:tr w:rsidR="000F7F6A" w14:paraId="390CD517"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465F3C8"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66463464"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2E54E062" w14:textId="77777777" w:rsidR="000F7F6A" w:rsidRDefault="00952983">
            <w:pPr>
              <w:spacing w:before="40" w:after="40"/>
              <w:ind w:left="100" w:right="100"/>
              <w:jc w:val="center"/>
            </w:pPr>
            <w:r>
              <w:rPr>
                <w:rFonts w:eastAsia="Arial" w:cs="Arial"/>
                <w:color w:val="111111"/>
                <w:sz w:val="22"/>
                <w:szCs w:val="22"/>
              </w:rPr>
              <w:t xml:space="preserve"> 1.49</w:t>
            </w:r>
          </w:p>
        </w:tc>
        <w:tc>
          <w:tcPr>
            <w:tcW w:w="1080" w:type="dxa"/>
            <w:tcBorders>
              <w:top w:val="single" w:sz="16" w:space="0" w:color="000000"/>
              <w:bottom w:val="single" w:sz="16" w:space="0" w:color="000000"/>
            </w:tcBorders>
            <w:shd w:val="clear" w:color="auto" w:fill="FFFFFF"/>
            <w:vAlign w:val="center"/>
          </w:tcPr>
          <w:p w14:paraId="0930D357" w14:textId="77777777" w:rsidR="000F7F6A" w:rsidRDefault="00952983">
            <w:pPr>
              <w:spacing w:before="40" w:after="40"/>
              <w:ind w:left="100" w:right="100"/>
              <w:jc w:val="center"/>
            </w:pPr>
            <w:r>
              <w:rPr>
                <w:rFonts w:eastAsia="Arial" w:cs="Arial"/>
                <w:color w:val="111111"/>
                <w:sz w:val="22"/>
                <w:szCs w:val="22"/>
              </w:rPr>
              <w:t xml:space="preserve"> 4.06</w:t>
            </w:r>
          </w:p>
        </w:tc>
        <w:tc>
          <w:tcPr>
            <w:tcW w:w="1080" w:type="dxa"/>
            <w:tcBorders>
              <w:top w:val="single" w:sz="16" w:space="0" w:color="000000"/>
              <w:bottom w:val="single" w:sz="16" w:space="0" w:color="000000"/>
            </w:tcBorders>
            <w:shd w:val="clear" w:color="auto" w:fill="FFFFFF"/>
            <w:vAlign w:val="center"/>
          </w:tcPr>
          <w:p w14:paraId="31286BE0" w14:textId="77777777" w:rsidR="000F7F6A" w:rsidRDefault="00952983">
            <w:pPr>
              <w:spacing w:before="40" w:after="40"/>
              <w:ind w:left="100" w:right="100"/>
              <w:jc w:val="center"/>
            </w:pPr>
            <w:r>
              <w:rPr>
                <w:rFonts w:eastAsia="Arial" w:cs="Arial"/>
                <w:color w:val="111111"/>
                <w:sz w:val="22"/>
                <w:szCs w:val="22"/>
              </w:rPr>
              <w:t xml:space="preserve"> 9.15</w:t>
            </w:r>
          </w:p>
        </w:tc>
        <w:tc>
          <w:tcPr>
            <w:tcW w:w="1080" w:type="dxa"/>
            <w:tcBorders>
              <w:top w:val="single" w:sz="16" w:space="0" w:color="000000"/>
              <w:bottom w:val="single" w:sz="16" w:space="0" w:color="000000"/>
            </w:tcBorders>
            <w:shd w:val="clear" w:color="auto" w:fill="FFFFFF"/>
            <w:vAlign w:val="center"/>
          </w:tcPr>
          <w:p w14:paraId="76BF3DD9" w14:textId="77777777" w:rsidR="000F7F6A" w:rsidRDefault="00952983">
            <w:pPr>
              <w:spacing w:before="40" w:after="40"/>
              <w:ind w:left="100" w:right="100"/>
              <w:jc w:val="center"/>
            </w:pPr>
            <w:r>
              <w:rPr>
                <w:rFonts w:eastAsia="Arial" w:cs="Arial"/>
                <w:color w:val="111111"/>
                <w:sz w:val="22"/>
                <w:szCs w:val="22"/>
              </w:rPr>
              <w:t>3.39</w:t>
            </w:r>
          </w:p>
        </w:tc>
        <w:tc>
          <w:tcPr>
            <w:tcW w:w="1080" w:type="dxa"/>
            <w:tcBorders>
              <w:top w:val="single" w:sz="16" w:space="0" w:color="000000"/>
              <w:bottom w:val="single" w:sz="16" w:space="0" w:color="000000"/>
            </w:tcBorders>
            <w:shd w:val="clear" w:color="auto" w:fill="FFFFFF"/>
            <w:vAlign w:val="center"/>
          </w:tcPr>
          <w:p w14:paraId="21B4A6FE" w14:textId="77777777" w:rsidR="000F7F6A" w:rsidRDefault="00952983">
            <w:pPr>
              <w:spacing w:before="40" w:after="40"/>
              <w:ind w:left="100" w:right="100"/>
              <w:jc w:val="center"/>
            </w:pPr>
            <w:r>
              <w:rPr>
                <w:rFonts w:eastAsia="Arial" w:cs="Arial"/>
                <w:color w:val="111111"/>
                <w:sz w:val="22"/>
                <w:szCs w:val="22"/>
              </w:rPr>
              <w:t>2.64</w:t>
            </w:r>
          </w:p>
        </w:tc>
        <w:tc>
          <w:tcPr>
            <w:tcW w:w="1079" w:type="dxa"/>
            <w:tcBorders>
              <w:top w:val="single" w:sz="16" w:space="0" w:color="000000"/>
              <w:bottom w:val="single" w:sz="16" w:space="0" w:color="000000"/>
            </w:tcBorders>
            <w:shd w:val="clear" w:color="auto" w:fill="FFFFFF"/>
            <w:vAlign w:val="center"/>
          </w:tcPr>
          <w:p w14:paraId="2A772D2D" w14:textId="77777777" w:rsidR="000F7F6A" w:rsidRDefault="00952983">
            <w:pPr>
              <w:spacing w:before="40" w:after="40"/>
              <w:ind w:left="100" w:right="100"/>
              <w:jc w:val="center"/>
            </w:pPr>
            <w:r>
              <w:rPr>
                <w:rFonts w:eastAsia="Arial" w:cs="Arial"/>
                <w:color w:val="111111"/>
                <w:sz w:val="22"/>
                <w:szCs w:val="22"/>
              </w:rPr>
              <w:t>2.09</w:t>
            </w:r>
          </w:p>
        </w:tc>
      </w:tr>
      <w:tr w:rsidR="000F7F6A" w14:paraId="2608630A"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3C57A09B"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08B93E91"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45A1F580" w14:textId="77777777" w:rsidR="000F7F6A" w:rsidRDefault="00952983">
            <w:pPr>
              <w:spacing w:before="40" w:after="40"/>
              <w:ind w:left="100" w:right="100"/>
              <w:jc w:val="center"/>
            </w:pPr>
            <w:r>
              <w:rPr>
                <w:rFonts w:eastAsia="Arial" w:cs="Arial"/>
                <w:color w:val="111111"/>
                <w:sz w:val="22"/>
                <w:szCs w:val="22"/>
              </w:rPr>
              <w:t xml:space="preserve"> 1.43</w:t>
            </w:r>
          </w:p>
        </w:tc>
        <w:tc>
          <w:tcPr>
            <w:tcW w:w="1080" w:type="dxa"/>
            <w:tcBorders>
              <w:top w:val="single" w:sz="16" w:space="0" w:color="000000"/>
              <w:bottom w:val="single" w:sz="16" w:space="0" w:color="000000"/>
            </w:tcBorders>
            <w:shd w:val="clear" w:color="auto" w:fill="FFFFFF"/>
            <w:vAlign w:val="center"/>
          </w:tcPr>
          <w:p w14:paraId="71540B82" w14:textId="77777777" w:rsidR="000F7F6A" w:rsidRDefault="00952983">
            <w:pPr>
              <w:spacing w:before="40" w:after="40"/>
              <w:ind w:left="100" w:right="100"/>
              <w:jc w:val="center"/>
            </w:pPr>
            <w:r>
              <w:rPr>
                <w:rFonts w:eastAsia="Arial" w:cs="Arial"/>
                <w:color w:val="111111"/>
                <w:sz w:val="22"/>
                <w:szCs w:val="22"/>
              </w:rPr>
              <w:t xml:space="preserve"> 2.60</w:t>
            </w:r>
          </w:p>
        </w:tc>
        <w:tc>
          <w:tcPr>
            <w:tcW w:w="1080" w:type="dxa"/>
            <w:tcBorders>
              <w:top w:val="single" w:sz="16" w:space="0" w:color="000000"/>
              <w:bottom w:val="single" w:sz="16" w:space="0" w:color="000000"/>
            </w:tcBorders>
            <w:shd w:val="clear" w:color="auto" w:fill="FFFFFF"/>
            <w:vAlign w:val="center"/>
          </w:tcPr>
          <w:p w14:paraId="404A7C87" w14:textId="77777777" w:rsidR="000F7F6A" w:rsidRDefault="00952983">
            <w:pPr>
              <w:spacing w:before="40" w:after="40"/>
              <w:ind w:left="100" w:right="100"/>
              <w:jc w:val="center"/>
            </w:pPr>
            <w:r>
              <w:rPr>
                <w:rFonts w:eastAsia="Arial" w:cs="Arial"/>
                <w:color w:val="111111"/>
                <w:sz w:val="22"/>
                <w:szCs w:val="22"/>
              </w:rPr>
              <w:t xml:space="preserve"> 2.97</w:t>
            </w:r>
          </w:p>
        </w:tc>
        <w:tc>
          <w:tcPr>
            <w:tcW w:w="1080" w:type="dxa"/>
            <w:tcBorders>
              <w:top w:val="single" w:sz="16" w:space="0" w:color="000000"/>
              <w:bottom w:val="single" w:sz="16" w:space="0" w:color="000000"/>
            </w:tcBorders>
            <w:shd w:val="clear" w:color="auto" w:fill="FFFFFF"/>
            <w:vAlign w:val="center"/>
          </w:tcPr>
          <w:p w14:paraId="04981C17" w14:textId="77777777" w:rsidR="000F7F6A" w:rsidRDefault="00952983">
            <w:pPr>
              <w:spacing w:before="40" w:after="40"/>
              <w:ind w:left="100" w:right="100"/>
              <w:jc w:val="center"/>
            </w:pPr>
            <w:r>
              <w:rPr>
                <w:rFonts w:eastAsia="Arial" w:cs="Arial"/>
                <w:color w:val="111111"/>
                <w:sz w:val="22"/>
                <w:szCs w:val="22"/>
              </w:rPr>
              <w:t>3.54</w:t>
            </w:r>
          </w:p>
        </w:tc>
        <w:tc>
          <w:tcPr>
            <w:tcW w:w="1080" w:type="dxa"/>
            <w:tcBorders>
              <w:top w:val="single" w:sz="16" w:space="0" w:color="000000"/>
              <w:bottom w:val="single" w:sz="16" w:space="0" w:color="000000"/>
            </w:tcBorders>
            <w:shd w:val="clear" w:color="auto" w:fill="FFFFFF"/>
            <w:vAlign w:val="center"/>
          </w:tcPr>
          <w:p w14:paraId="5A7A580D" w14:textId="77777777" w:rsidR="000F7F6A" w:rsidRDefault="00952983">
            <w:pPr>
              <w:spacing w:before="40" w:after="40"/>
              <w:ind w:left="100" w:right="100"/>
              <w:jc w:val="center"/>
            </w:pPr>
            <w:r>
              <w:rPr>
                <w:rFonts w:eastAsia="Arial" w:cs="Arial"/>
                <w:color w:val="111111"/>
                <w:sz w:val="22"/>
                <w:szCs w:val="22"/>
              </w:rPr>
              <w:t>2.69</w:t>
            </w:r>
          </w:p>
        </w:tc>
        <w:tc>
          <w:tcPr>
            <w:tcW w:w="1079" w:type="dxa"/>
            <w:tcBorders>
              <w:top w:val="single" w:sz="16" w:space="0" w:color="000000"/>
              <w:bottom w:val="single" w:sz="16" w:space="0" w:color="000000"/>
            </w:tcBorders>
            <w:shd w:val="clear" w:color="auto" w:fill="FFFFFF"/>
            <w:vAlign w:val="center"/>
          </w:tcPr>
          <w:p w14:paraId="2290BF52" w14:textId="77777777" w:rsidR="000F7F6A" w:rsidRDefault="00952983">
            <w:pPr>
              <w:spacing w:before="40" w:after="40"/>
              <w:ind w:left="100" w:right="100"/>
              <w:jc w:val="center"/>
            </w:pPr>
            <w:r>
              <w:rPr>
                <w:rFonts w:eastAsia="Arial" w:cs="Arial"/>
                <w:color w:val="111111"/>
                <w:sz w:val="22"/>
                <w:szCs w:val="22"/>
              </w:rPr>
              <w:t>2.06</w:t>
            </w:r>
          </w:p>
        </w:tc>
      </w:tr>
      <w:tr w:rsidR="000F7F6A" w14:paraId="2A748674"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2ACC3D97"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7863A437" w14:textId="77777777" w:rsidR="000F7F6A" w:rsidRDefault="00952983">
            <w:pPr>
              <w:spacing w:before="40" w:after="40"/>
              <w:ind w:left="100" w:right="100"/>
              <w:jc w:val="center"/>
            </w:pPr>
            <w:r>
              <w:rPr>
                <w:rFonts w:eastAsia="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219FD46F" w14:textId="77777777" w:rsidR="000F7F6A" w:rsidRDefault="00952983">
            <w:pPr>
              <w:spacing w:before="40" w:after="40"/>
              <w:ind w:left="100" w:right="100"/>
              <w:jc w:val="center"/>
            </w:pPr>
            <w:r>
              <w:rPr>
                <w:rFonts w:eastAsia="Arial" w:cs="Arial"/>
                <w:color w:val="111111"/>
                <w:sz w:val="22"/>
                <w:szCs w:val="22"/>
              </w:rPr>
              <w:t xml:space="preserve"> 0.21</w:t>
            </w:r>
          </w:p>
        </w:tc>
        <w:tc>
          <w:tcPr>
            <w:tcW w:w="1080" w:type="dxa"/>
            <w:tcBorders>
              <w:top w:val="single" w:sz="16" w:space="0" w:color="000000"/>
              <w:bottom w:val="single" w:sz="16" w:space="0" w:color="000000"/>
            </w:tcBorders>
            <w:shd w:val="clear" w:color="auto" w:fill="FFFFFF"/>
            <w:vAlign w:val="center"/>
          </w:tcPr>
          <w:p w14:paraId="0BA562F2" w14:textId="77777777" w:rsidR="000F7F6A" w:rsidRDefault="00952983">
            <w:pPr>
              <w:spacing w:before="40" w:after="40"/>
              <w:ind w:left="100" w:right="100"/>
              <w:jc w:val="center"/>
            </w:pPr>
            <w:r>
              <w:rPr>
                <w:rFonts w:eastAsia="Arial" w:cs="Arial"/>
                <w:color w:val="111111"/>
                <w:sz w:val="22"/>
                <w:szCs w:val="22"/>
              </w:rPr>
              <w:t xml:space="preserve"> 0.59</w:t>
            </w:r>
          </w:p>
        </w:tc>
        <w:tc>
          <w:tcPr>
            <w:tcW w:w="1080" w:type="dxa"/>
            <w:tcBorders>
              <w:top w:val="single" w:sz="16" w:space="0" w:color="000000"/>
              <w:bottom w:val="single" w:sz="16" w:space="0" w:color="000000"/>
            </w:tcBorders>
            <w:shd w:val="clear" w:color="auto" w:fill="FFFFFF"/>
            <w:vAlign w:val="center"/>
          </w:tcPr>
          <w:p w14:paraId="62D18F5D" w14:textId="77777777" w:rsidR="000F7F6A" w:rsidRDefault="00952983">
            <w:pPr>
              <w:spacing w:before="40" w:after="40"/>
              <w:ind w:left="100" w:right="100"/>
              <w:jc w:val="center"/>
            </w:pPr>
            <w:r>
              <w:rPr>
                <w:rFonts w:eastAsia="Arial" w:cs="Arial"/>
                <w:color w:val="111111"/>
                <w:sz w:val="22"/>
                <w:szCs w:val="22"/>
              </w:rPr>
              <w:t xml:space="preserve"> 0.79</w:t>
            </w:r>
          </w:p>
        </w:tc>
        <w:tc>
          <w:tcPr>
            <w:tcW w:w="1080" w:type="dxa"/>
            <w:tcBorders>
              <w:top w:val="single" w:sz="16" w:space="0" w:color="000000"/>
              <w:bottom w:val="single" w:sz="16" w:space="0" w:color="000000"/>
            </w:tcBorders>
            <w:shd w:val="clear" w:color="auto" w:fill="FFFFFF"/>
            <w:vAlign w:val="center"/>
          </w:tcPr>
          <w:p w14:paraId="1C75DE7F" w14:textId="77777777" w:rsidR="000F7F6A" w:rsidRDefault="00952983">
            <w:pPr>
              <w:spacing w:before="40" w:after="40"/>
              <w:ind w:left="100" w:right="100"/>
              <w:jc w:val="center"/>
            </w:pPr>
            <w:r>
              <w:rPr>
                <w:rFonts w:eastAsia="Arial" w:cs="Arial"/>
                <w:color w:val="111111"/>
                <w:sz w:val="22"/>
                <w:szCs w:val="22"/>
              </w:rPr>
              <w:t>3.71</w:t>
            </w:r>
          </w:p>
        </w:tc>
        <w:tc>
          <w:tcPr>
            <w:tcW w:w="1080" w:type="dxa"/>
            <w:tcBorders>
              <w:top w:val="single" w:sz="16" w:space="0" w:color="000000"/>
              <w:bottom w:val="single" w:sz="16" w:space="0" w:color="000000"/>
            </w:tcBorders>
            <w:shd w:val="clear" w:color="auto" w:fill="FFFFFF"/>
            <w:vAlign w:val="center"/>
          </w:tcPr>
          <w:p w14:paraId="70E55D57" w14:textId="77777777" w:rsidR="000F7F6A" w:rsidRDefault="00952983">
            <w:pPr>
              <w:spacing w:before="40" w:after="40"/>
              <w:ind w:left="100" w:right="100"/>
              <w:jc w:val="center"/>
            </w:pPr>
            <w:r>
              <w:rPr>
                <w:rFonts w:eastAsia="Arial" w:cs="Arial"/>
                <w:color w:val="111111"/>
                <w:sz w:val="22"/>
                <w:szCs w:val="22"/>
              </w:rPr>
              <w:t>2.67</w:t>
            </w:r>
          </w:p>
        </w:tc>
        <w:tc>
          <w:tcPr>
            <w:tcW w:w="1079" w:type="dxa"/>
            <w:tcBorders>
              <w:top w:val="single" w:sz="16" w:space="0" w:color="000000"/>
              <w:bottom w:val="single" w:sz="16" w:space="0" w:color="000000"/>
            </w:tcBorders>
            <w:shd w:val="clear" w:color="auto" w:fill="FFFFFF"/>
            <w:vAlign w:val="center"/>
          </w:tcPr>
          <w:p w14:paraId="2A3ABD15" w14:textId="77777777" w:rsidR="000F7F6A" w:rsidRDefault="00952983">
            <w:pPr>
              <w:spacing w:before="40" w:after="40"/>
              <w:ind w:left="100" w:right="100"/>
              <w:jc w:val="center"/>
            </w:pPr>
            <w:r>
              <w:rPr>
                <w:rFonts w:eastAsia="Arial" w:cs="Arial"/>
                <w:color w:val="111111"/>
                <w:sz w:val="22"/>
                <w:szCs w:val="22"/>
              </w:rPr>
              <w:t>2.23</w:t>
            </w:r>
          </w:p>
        </w:tc>
      </w:tr>
      <w:tr w:rsidR="000F7F6A" w14:paraId="17D25500"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356CFFB" w14:textId="77777777" w:rsidR="000F7F6A" w:rsidRDefault="00952983">
            <w:pPr>
              <w:spacing w:before="40" w:after="40"/>
              <w:ind w:left="100" w:right="100"/>
              <w:jc w:val="center"/>
            </w:pPr>
            <w:r>
              <w:rPr>
                <w:rFonts w:eastAsia="Arial" w:cs="Arial"/>
                <w:color w:val="111111"/>
                <w:sz w:val="22"/>
                <w:szCs w:val="22"/>
              </w:rPr>
              <w:lastRenderedPageBreak/>
              <w:t>T</w:t>
            </w:r>
          </w:p>
        </w:tc>
        <w:tc>
          <w:tcPr>
            <w:tcW w:w="1080" w:type="dxa"/>
            <w:tcBorders>
              <w:top w:val="single" w:sz="16" w:space="0" w:color="000000"/>
              <w:bottom w:val="single" w:sz="16" w:space="0" w:color="000000"/>
            </w:tcBorders>
            <w:shd w:val="clear" w:color="auto" w:fill="FFFFFF"/>
            <w:vAlign w:val="center"/>
          </w:tcPr>
          <w:p w14:paraId="4475A0BB" w14:textId="77777777" w:rsidR="000F7F6A" w:rsidRDefault="00952983">
            <w:pPr>
              <w:spacing w:before="40" w:after="40"/>
              <w:ind w:left="100" w:right="100"/>
              <w:jc w:val="center"/>
            </w:pPr>
            <w:r>
              <w:rPr>
                <w:rFonts w:eastAsia="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6FA409E3" w14:textId="77777777" w:rsidR="000F7F6A" w:rsidRDefault="00952983">
            <w:pPr>
              <w:spacing w:before="40" w:after="40"/>
              <w:ind w:left="100" w:right="100"/>
              <w:jc w:val="center"/>
            </w:pPr>
            <w:r>
              <w:rPr>
                <w:rFonts w:eastAsia="Arial" w:cs="Arial"/>
                <w:color w:val="111111"/>
                <w:sz w:val="22"/>
                <w:szCs w:val="22"/>
              </w:rPr>
              <w:t xml:space="preserve"> 0.19</w:t>
            </w:r>
          </w:p>
        </w:tc>
        <w:tc>
          <w:tcPr>
            <w:tcW w:w="1080" w:type="dxa"/>
            <w:tcBorders>
              <w:top w:val="single" w:sz="16" w:space="0" w:color="000000"/>
              <w:bottom w:val="single" w:sz="16" w:space="0" w:color="000000"/>
            </w:tcBorders>
            <w:shd w:val="clear" w:color="auto" w:fill="FFFFFF"/>
            <w:vAlign w:val="center"/>
          </w:tcPr>
          <w:p w14:paraId="031C2F26" w14:textId="77777777" w:rsidR="000F7F6A" w:rsidRDefault="00952983">
            <w:pPr>
              <w:spacing w:before="40" w:after="40"/>
              <w:ind w:left="100" w:right="100"/>
              <w:jc w:val="center"/>
            </w:pPr>
            <w:r>
              <w:rPr>
                <w:rFonts w:eastAsia="Arial" w:cs="Arial"/>
                <w:color w:val="111111"/>
                <w:sz w:val="22"/>
                <w:szCs w:val="22"/>
              </w:rPr>
              <w:t xml:space="preserve"> 0.67</w:t>
            </w:r>
          </w:p>
        </w:tc>
        <w:tc>
          <w:tcPr>
            <w:tcW w:w="1080" w:type="dxa"/>
            <w:tcBorders>
              <w:top w:val="single" w:sz="16" w:space="0" w:color="000000"/>
              <w:bottom w:val="single" w:sz="16" w:space="0" w:color="000000"/>
            </w:tcBorders>
            <w:shd w:val="clear" w:color="auto" w:fill="FFFFFF"/>
            <w:vAlign w:val="center"/>
          </w:tcPr>
          <w:p w14:paraId="6B4964A6" w14:textId="77777777" w:rsidR="000F7F6A" w:rsidRDefault="00952983">
            <w:pPr>
              <w:spacing w:before="40" w:after="40"/>
              <w:ind w:left="100" w:right="100"/>
              <w:jc w:val="center"/>
            </w:pPr>
            <w:r>
              <w:rPr>
                <w:rFonts w:eastAsia="Arial" w:cs="Arial"/>
                <w:color w:val="111111"/>
                <w:sz w:val="22"/>
                <w:szCs w:val="22"/>
              </w:rPr>
              <w:t xml:space="preserve"> 1.31</w:t>
            </w:r>
          </w:p>
        </w:tc>
        <w:tc>
          <w:tcPr>
            <w:tcW w:w="1080" w:type="dxa"/>
            <w:tcBorders>
              <w:top w:val="single" w:sz="16" w:space="0" w:color="000000"/>
              <w:bottom w:val="single" w:sz="16" w:space="0" w:color="000000"/>
            </w:tcBorders>
            <w:shd w:val="clear" w:color="auto" w:fill="FFFFFF"/>
            <w:vAlign w:val="center"/>
          </w:tcPr>
          <w:p w14:paraId="79A715B6" w14:textId="77777777" w:rsidR="000F7F6A" w:rsidRDefault="00952983">
            <w:pPr>
              <w:spacing w:before="40" w:after="40"/>
              <w:ind w:left="100" w:right="100"/>
              <w:jc w:val="center"/>
            </w:pPr>
            <w:r>
              <w:rPr>
                <w:rFonts w:eastAsia="Arial" w:cs="Arial"/>
                <w:color w:val="111111"/>
                <w:sz w:val="22"/>
                <w:szCs w:val="22"/>
              </w:rPr>
              <w:t>3.07</w:t>
            </w:r>
          </w:p>
        </w:tc>
        <w:tc>
          <w:tcPr>
            <w:tcW w:w="1080" w:type="dxa"/>
            <w:tcBorders>
              <w:top w:val="single" w:sz="16" w:space="0" w:color="000000"/>
              <w:bottom w:val="single" w:sz="16" w:space="0" w:color="000000"/>
            </w:tcBorders>
            <w:shd w:val="clear" w:color="auto" w:fill="FFFFFF"/>
            <w:vAlign w:val="center"/>
          </w:tcPr>
          <w:p w14:paraId="19F8DD22" w14:textId="77777777" w:rsidR="000F7F6A" w:rsidRDefault="00952983">
            <w:pPr>
              <w:spacing w:before="40" w:after="40"/>
              <w:ind w:left="100" w:right="100"/>
              <w:jc w:val="center"/>
            </w:pPr>
            <w:r>
              <w:rPr>
                <w:rFonts w:eastAsia="Arial" w:cs="Arial"/>
                <w:color w:val="111111"/>
                <w:sz w:val="22"/>
                <w:szCs w:val="22"/>
              </w:rPr>
              <w:t>2.42</w:t>
            </w:r>
          </w:p>
        </w:tc>
        <w:tc>
          <w:tcPr>
            <w:tcW w:w="1079" w:type="dxa"/>
            <w:tcBorders>
              <w:top w:val="single" w:sz="16" w:space="0" w:color="000000"/>
              <w:bottom w:val="single" w:sz="16" w:space="0" w:color="000000"/>
            </w:tcBorders>
            <w:shd w:val="clear" w:color="auto" w:fill="FFFFFF"/>
            <w:vAlign w:val="center"/>
          </w:tcPr>
          <w:p w14:paraId="7B48181F" w14:textId="77777777" w:rsidR="000F7F6A" w:rsidRDefault="00952983">
            <w:pPr>
              <w:spacing w:before="40" w:after="40"/>
              <w:ind w:left="100" w:right="100"/>
              <w:jc w:val="center"/>
            </w:pPr>
            <w:r>
              <w:rPr>
                <w:rFonts w:eastAsia="Arial" w:cs="Arial"/>
                <w:color w:val="111111"/>
                <w:sz w:val="22"/>
                <w:szCs w:val="22"/>
              </w:rPr>
              <w:t>1.98</w:t>
            </w:r>
          </w:p>
        </w:tc>
      </w:tr>
      <w:tr w:rsidR="000F7F6A" w14:paraId="268FA9F7"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B139EAA"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3ABACC68" w14:textId="77777777" w:rsidR="000F7F6A" w:rsidRDefault="00952983">
            <w:pPr>
              <w:spacing w:before="40" w:after="40"/>
              <w:ind w:left="100" w:right="100"/>
              <w:jc w:val="center"/>
            </w:pPr>
            <w:r>
              <w:rPr>
                <w:rFonts w:eastAsia="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2B4073F2" w14:textId="77777777" w:rsidR="000F7F6A" w:rsidRDefault="00952983">
            <w:pPr>
              <w:spacing w:before="40" w:after="40"/>
              <w:ind w:left="100" w:right="100"/>
              <w:jc w:val="center"/>
            </w:pPr>
            <w:r>
              <w:rPr>
                <w:rFonts w:eastAsia="Arial" w:cs="Arial"/>
                <w:color w:val="111111"/>
                <w:sz w:val="22"/>
                <w:szCs w:val="22"/>
              </w:rPr>
              <w:t xml:space="preserve"> 0.33</w:t>
            </w:r>
          </w:p>
        </w:tc>
        <w:tc>
          <w:tcPr>
            <w:tcW w:w="1080" w:type="dxa"/>
            <w:tcBorders>
              <w:top w:val="single" w:sz="16" w:space="0" w:color="000000"/>
              <w:bottom w:val="single" w:sz="16" w:space="0" w:color="000000"/>
            </w:tcBorders>
            <w:shd w:val="clear" w:color="auto" w:fill="FFFFFF"/>
            <w:vAlign w:val="center"/>
          </w:tcPr>
          <w:p w14:paraId="62ACCD4C" w14:textId="77777777" w:rsidR="000F7F6A" w:rsidRDefault="00952983">
            <w:pPr>
              <w:spacing w:before="40" w:after="40"/>
              <w:ind w:left="100" w:right="100"/>
              <w:jc w:val="center"/>
            </w:pPr>
            <w:r>
              <w:rPr>
                <w:rFonts w:eastAsia="Arial" w:cs="Arial"/>
                <w:color w:val="111111"/>
                <w:sz w:val="22"/>
                <w:szCs w:val="22"/>
              </w:rPr>
              <w:t xml:space="preserve"> 1.50</w:t>
            </w:r>
          </w:p>
        </w:tc>
        <w:tc>
          <w:tcPr>
            <w:tcW w:w="1080" w:type="dxa"/>
            <w:tcBorders>
              <w:top w:val="single" w:sz="16" w:space="0" w:color="000000"/>
              <w:bottom w:val="single" w:sz="16" w:space="0" w:color="000000"/>
            </w:tcBorders>
            <w:shd w:val="clear" w:color="auto" w:fill="FFFFFF"/>
            <w:vAlign w:val="center"/>
          </w:tcPr>
          <w:p w14:paraId="1A4CDA44" w14:textId="77777777" w:rsidR="000F7F6A" w:rsidRDefault="00952983">
            <w:pPr>
              <w:spacing w:before="40" w:after="40"/>
              <w:ind w:left="100" w:right="100"/>
              <w:jc w:val="center"/>
            </w:pPr>
            <w:r>
              <w:rPr>
                <w:rFonts w:eastAsia="Arial" w:cs="Arial"/>
                <w:color w:val="111111"/>
                <w:sz w:val="22"/>
                <w:szCs w:val="22"/>
              </w:rPr>
              <w:t xml:space="preserve"> 3.21</w:t>
            </w:r>
          </w:p>
        </w:tc>
        <w:tc>
          <w:tcPr>
            <w:tcW w:w="1080" w:type="dxa"/>
            <w:tcBorders>
              <w:top w:val="single" w:sz="16" w:space="0" w:color="000000"/>
              <w:bottom w:val="single" w:sz="16" w:space="0" w:color="000000"/>
            </w:tcBorders>
            <w:shd w:val="clear" w:color="auto" w:fill="FFFFFF"/>
            <w:vAlign w:val="center"/>
          </w:tcPr>
          <w:p w14:paraId="115E2DA2" w14:textId="77777777" w:rsidR="000F7F6A" w:rsidRDefault="00952983">
            <w:pPr>
              <w:spacing w:before="40" w:after="40"/>
              <w:ind w:left="100" w:right="100"/>
              <w:jc w:val="center"/>
            </w:pPr>
            <w:r>
              <w:rPr>
                <w:rFonts w:eastAsia="Arial" w:cs="Arial"/>
                <w:color w:val="111111"/>
                <w:sz w:val="22"/>
                <w:szCs w:val="22"/>
              </w:rPr>
              <w:t>3.18</w:t>
            </w:r>
          </w:p>
        </w:tc>
        <w:tc>
          <w:tcPr>
            <w:tcW w:w="1080" w:type="dxa"/>
            <w:tcBorders>
              <w:top w:val="single" w:sz="16" w:space="0" w:color="000000"/>
              <w:bottom w:val="single" w:sz="16" w:space="0" w:color="000000"/>
            </w:tcBorders>
            <w:shd w:val="clear" w:color="auto" w:fill="FFFFFF"/>
            <w:vAlign w:val="center"/>
          </w:tcPr>
          <w:p w14:paraId="65096BE7" w14:textId="77777777" w:rsidR="000F7F6A" w:rsidRDefault="00952983">
            <w:pPr>
              <w:spacing w:before="40" w:after="40"/>
              <w:ind w:left="100" w:right="100"/>
              <w:jc w:val="center"/>
            </w:pPr>
            <w:r>
              <w:rPr>
                <w:rFonts w:eastAsia="Arial" w:cs="Arial"/>
                <w:color w:val="111111"/>
                <w:sz w:val="22"/>
                <w:szCs w:val="22"/>
              </w:rPr>
              <w:t>2.36</w:t>
            </w:r>
          </w:p>
        </w:tc>
        <w:tc>
          <w:tcPr>
            <w:tcW w:w="1079" w:type="dxa"/>
            <w:tcBorders>
              <w:top w:val="single" w:sz="16" w:space="0" w:color="000000"/>
              <w:bottom w:val="single" w:sz="16" w:space="0" w:color="000000"/>
            </w:tcBorders>
            <w:shd w:val="clear" w:color="auto" w:fill="FFFFFF"/>
            <w:vAlign w:val="center"/>
          </w:tcPr>
          <w:p w14:paraId="357D64C5" w14:textId="77777777" w:rsidR="000F7F6A" w:rsidRDefault="00952983">
            <w:pPr>
              <w:spacing w:before="40" w:after="40"/>
              <w:ind w:left="100" w:right="100"/>
              <w:jc w:val="center"/>
            </w:pPr>
            <w:r>
              <w:rPr>
                <w:rFonts w:eastAsia="Arial" w:cs="Arial"/>
                <w:color w:val="111111"/>
                <w:sz w:val="22"/>
                <w:szCs w:val="22"/>
              </w:rPr>
              <w:t>1.86</w:t>
            </w:r>
          </w:p>
        </w:tc>
      </w:tr>
      <w:tr w:rsidR="000F7F6A" w14:paraId="226E7973"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0783EBF"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500C134E" w14:textId="77777777" w:rsidR="000F7F6A" w:rsidRDefault="00952983">
            <w:pPr>
              <w:spacing w:before="40" w:after="40"/>
              <w:ind w:left="100" w:right="100"/>
              <w:jc w:val="center"/>
            </w:pPr>
            <w:r>
              <w:rPr>
                <w:rFonts w:eastAsia="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7A4D8328" w14:textId="77777777" w:rsidR="000F7F6A" w:rsidRDefault="00952983">
            <w:pPr>
              <w:spacing w:before="40" w:after="40"/>
              <w:ind w:left="100" w:right="100"/>
              <w:jc w:val="center"/>
            </w:pPr>
            <w:r>
              <w:rPr>
                <w:rFonts w:eastAsia="Arial" w:cs="Arial"/>
                <w:color w:val="111111"/>
                <w:sz w:val="22"/>
                <w:szCs w:val="22"/>
              </w:rPr>
              <w:t xml:space="preserve"> 0.88</w:t>
            </w:r>
          </w:p>
        </w:tc>
        <w:tc>
          <w:tcPr>
            <w:tcW w:w="1080" w:type="dxa"/>
            <w:tcBorders>
              <w:top w:val="single" w:sz="16" w:space="0" w:color="000000"/>
              <w:bottom w:val="single" w:sz="16" w:space="0" w:color="000000"/>
            </w:tcBorders>
            <w:shd w:val="clear" w:color="auto" w:fill="FFFFFF"/>
            <w:vAlign w:val="center"/>
          </w:tcPr>
          <w:p w14:paraId="0AAD7DFC" w14:textId="77777777" w:rsidR="000F7F6A" w:rsidRDefault="00952983">
            <w:pPr>
              <w:spacing w:before="40" w:after="40"/>
              <w:ind w:left="100" w:right="100"/>
              <w:jc w:val="center"/>
            </w:pPr>
            <w:r>
              <w:rPr>
                <w:rFonts w:eastAsia="Arial" w:cs="Arial"/>
                <w:color w:val="111111"/>
                <w:sz w:val="22"/>
                <w:szCs w:val="22"/>
              </w:rPr>
              <w:t xml:space="preserve"> 3.45</w:t>
            </w:r>
          </w:p>
        </w:tc>
        <w:tc>
          <w:tcPr>
            <w:tcW w:w="1080" w:type="dxa"/>
            <w:tcBorders>
              <w:top w:val="single" w:sz="16" w:space="0" w:color="000000"/>
              <w:bottom w:val="single" w:sz="16" w:space="0" w:color="000000"/>
            </w:tcBorders>
            <w:shd w:val="clear" w:color="auto" w:fill="FFFFFF"/>
            <w:vAlign w:val="center"/>
          </w:tcPr>
          <w:p w14:paraId="3CC6E81E" w14:textId="77777777" w:rsidR="000F7F6A" w:rsidRDefault="00952983">
            <w:pPr>
              <w:spacing w:before="40" w:after="40"/>
              <w:ind w:left="100" w:right="100"/>
              <w:jc w:val="center"/>
            </w:pPr>
            <w:r>
              <w:rPr>
                <w:rFonts w:eastAsia="Arial" w:cs="Arial"/>
                <w:color w:val="111111"/>
                <w:sz w:val="22"/>
                <w:szCs w:val="22"/>
              </w:rPr>
              <w:t xml:space="preserve"> 5.60</w:t>
            </w:r>
          </w:p>
        </w:tc>
        <w:tc>
          <w:tcPr>
            <w:tcW w:w="1080" w:type="dxa"/>
            <w:tcBorders>
              <w:top w:val="single" w:sz="16" w:space="0" w:color="000000"/>
              <w:bottom w:val="single" w:sz="16" w:space="0" w:color="000000"/>
            </w:tcBorders>
            <w:shd w:val="clear" w:color="auto" w:fill="FFFFFF"/>
            <w:vAlign w:val="center"/>
          </w:tcPr>
          <w:p w14:paraId="35C389E3" w14:textId="77777777" w:rsidR="000F7F6A" w:rsidRDefault="00952983">
            <w:pPr>
              <w:spacing w:before="40" w:after="40"/>
              <w:ind w:left="100" w:right="100"/>
              <w:jc w:val="center"/>
            </w:pPr>
            <w:r>
              <w:rPr>
                <w:rFonts w:eastAsia="Arial" w:cs="Arial"/>
                <w:color w:val="111111"/>
                <w:sz w:val="22"/>
                <w:szCs w:val="22"/>
              </w:rPr>
              <w:t>3.29</w:t>
            </w:r>
          </w:p>
        </w:tc>
        <w:tc>
          <w:tcPr>
            <w:tcW w:w="1080" w:type="dxa"/>
            <w:tcBorders>
              <w:top w:val="single" w:sz="16" w:space="0" w:color="000000"/>
              <w:bottom w:val="single" w:sz="16" w:space="0" w:color="000000"/>
            </w:tcBorders>
            <w:shd w:val="clear" w:color="auto" w:fill="FFFFFF"/>
            <w:vAlign w:val="center"/>
          </w:tcPr>
          <w:p w14:paraId="298D8BC7" w14:textId="77777777" w:rsidR="000F7F6A" w:rsidRDefault="00952983">
            <w:pPr>
              <w:spacing w:before="40" w:after="40"/>
              <w:ind w:left="100" w:right="100"/>
              <w:jc w:val="center"/>
            </w:pPr>
            <w:r>
              <w:rPr>
                <w:rFonts w:eastAsia="Arial" w:cs="Arial"/>
                <w:color w:val="111111"/>
                <w:sz w:val="22"/>
                <w:szCs w:val="22"/>
              </w:rPr>
              <w:t>2.45</w:t>
            </w:r>
          </w:p>
        </w:tc>
        <w:tc>
          <w:tcPr>
            <w:tcW w:w="1079" w:type="dxa"/>
            <w:tcBorders>
              <w:top w:val="single" w:sz="16" w:space="0" w:color="000000"/>
              <w:bottom w:val="single" w:sz="16" w:space="0" w:color="000000"/>
            </w:tcBorders>
            <w:shd w:val="clear" w:color="auto" w:fill="FFFFFF"/>
            <w:vAlign w:val="center"/>
          </w:tcPr>
          <w:p w14:paraId="3638219E" w14:textId="77777777" w:rsidR="000F7F6A" w:rsidRDefault="00952983">
            <w:pPr>
              <w:spacing w:before="40" w:after="40"/>
              <w:ind w:left="100" w:right="100"/>
              <w:jc w:val="center"/>
            </w:pPr>
            <w:r>
              <w:rPr>
                <w:rFonts w:eastAsia="Arial" w:cs="Arial"/>
                <w:color w:val="111111"/>
                <w:sz w:val="22"/>
                <w:szCs w:val="22"/>
              </w:rPr>
              <w:t>1.86</w:t>
            </w:r>
          </w:p>
        </w:tc>
      </w:tr>
    </w:tbl>
    <w:p w14:paraId="0335FC75" w14:textId="77777777" w:rsidR="000F7F6A" w:rsidRDefault="00952983">
      <w:pPr>
        <w:pStyle w:val="Corpodetexto"/>
      </w:pPr>
      <w:r>
        <w:rPr>
          <w:i/>
          <w:iCs/>
        </w:rPr>
        <w:t>Source:</w:t>
      </w:r>
      <w:r>
        <w:t xml:space="preserve"> Brazilian national censuses 1970, 1980, 1991, 2000, 2010.</w:t>
      </w:r>
    </w:p>
    <w:p w14:paraId="4922D983" w14:textId="77777777" w:rsidR="000F7F6A" w:rsidRDefault="000F7F6A">
      <w:pPr>
        <w:pStyle w:val="Corpodetexto"/>
      </w:pPr>
    </w:p>
    <w:p w14:paraId="58FF5B98" w14:textId="77777777" w:rsidR="000F7F6A" w:rsidRDefault="000F7F6A">
      <w:pPr>
        <w:pStyle w:val="Corpodetexto"/>
      </w:pPr>
    </w:p>
    <w:p w14:paraId="5769C15D" w14:textId="77777777" w:rsidR="000F7F6A" w:rsidRDefault="000F7F6A">
      <w:pPr>
        <w:pStyle w:val="Corpodetexto"/>
      </w:pPr>
    </w:p>
    <w:p w14:paraId="0F2C0340" w14:textId="77777777" w:rsidR="000F7F6A" w:rsidRDefault="000F7F6A">
      <w:pPr>
        <w:pStyle w:val="Corpodetexto"/>
      </w:pPr>
    </w:p>
    <w:p w14:paraId="26856865" w14:textId="77777777" w:rsidR="000F7F6A" w:rsidRDefault="00952983">
      <w:pPr>
        <w:pStyle w:val="Corpodetexto"/>
      </w:pPr>
      <w:r>
        <w:t xml:space="preserve">Table 2: Educational pairings prevalence rates and cohort fertility rates for female cohorts born in 1925-39, 1940-54 and 1955-69 - Midwest region. </w:t>
      </w:r>
    </w:p>
    <w:tbl>
      <w:tblPr>
        <w:tblStyle w:val="Table"/>
        <w:tblW w:w="8640" w:type="dxa"/>
        <w:jc w:val="center"/>
        <w:tblBorders>
          <w:top w:val="single" w:sz="16" w:space="0" w:color="000000"/>
          <w:bottom w:val="single" w:sz="16" w:space="0" w:color="000000"/>
          <w:insideH w:val="single" w:sz="16" w:space="0" w:color="000000"/>
        </w:tblBorders>
        <w:tblCellMar>
          <w:left w:w="0" w:type="dxa"/>
          <w:right w:w="0" w:type="dxa"/>
        </w:tblCellMar>
        <w:tblLook w:val="0420" w:firstRow="1" w:lastRow="0" w:firstColumn="0" w:lastColumn="0" w:noHBand="0" w:noVBand="1"/>
      </w:tblPr>
      <w:tblGrid>
        <w:gridCol w:w="1081"/>
        <w:gridCol w:w="1080"/>
        <w:gridCol w:w="1080"/>
        <w:gridCol w:w="1080"/>
        <w:gridCol w:w="1080"/>
        <w:gridCol w:w="1080"/>
        <w:gridCol w:w="1080"/>
        <w:gridCol w:w="1079"/>
      </w:tblGrid>
      <w:tr w:rsidR="000F7F6A" w14:paraId="0FB5CD78" w14:textId="77777777">
        <w:trPr>
          <w:cantSplit/>
          <w:trHeight w:val="360"/>
          <w:tblHeader/>
          <w:jc w:val="center"/>
        </w:trPr>
        <w:tc>
          <w:tcPr>
            <w:tcW w:w="2160" w:type="dxa"/>
            <w:gridSpan w:val="2"/>
            <w:tcBorders>
              <w:top w:val="single" w:sz="16" w:space="0" w:color="000000"/>
              <w:bottom w:val="single" w:sz="16" w:space="0" w:color="000000"/>
            </w:tcBorders>
            <w:shd w:val="clear" w:color="auto" w:fill="FFFFFF"/>
            <w:vAlign w:val="center"/>
          </w:tcPr>
          <w:p w14:paraId="6702C2BB" w14:textId="77777777" w:rsidR="000F7F6A" w:rsidRDefault="00952983">
            <w:pPr>
              <w:spacing w:before="40" w:after="40"/>
              <w:ind w:left="100" w:right="100"/>
              <w:jc w:val="center"/>
            </w:pPr>
            <w:r>
              <w:rPr>
                <w:rFonts w:ascii="Arial" w:eastAsia="Arial" w:hAnsi="Arial" w:cs="Arial"/>
                <w:color w:val="111111"/>
                <w:sz w:val="22"/>
                <w:szCs w:val="22"/>
              </w:rPr>
              <w:t>Education</w:t>
            </w:r>
          </w:p>
        </w:tc>
        <w:tc>
          <w:tcPr>
            <w:tcW w:w="3240" w:type="dxa"/>
            <w:gridSpan w:val="3"/>
            <w:tcBorders>
              <w:top w:val="single" w:sz="16" w:space="0" w:color="000000"/>
              <w:bottom w:val="single" w:sz="16" w:space="0" w:color="000000"/>
            </w:tcBorders>
            <w:shd w:val="clear" w:color="auto" w:fill="FFFFFF"/>
            <w:vAlign w:val="center"/>
          </w:tcPr>
          <w:p w14:paraId="6FF56A2E" w14:textId="77777777" w:rsidR="000F7F6A" w:rsidRDefault="00952983">
            <w:pPr>
              <w:spacing w:before="40" w:after="40"/>
              <w:ind w:left="100" w:right="100"/>
              <w:jc w:val="center"/>
            </w:pPr>
            <w:r>
              <w:rPr>
                <w:rFonts w:ascii="Arial" w:eastAsia="Arial" w:hAnsi="Arial" w:cs="Arial"/>
                <w:color w:val="111111"/>
                <w:sz w:val="22"/>
                <w:szCs w:val="22"/>
              </w:rPr>
              <w:t>Prevalence (%)</w:t>
            </w:r>
          </w:p>
        </w:tc>
        <w:tc>
          <w:tcPr>
            <w:tcW w:w="3239" w:type="dxa"/>
            <w:gridSpan w:val="3"/>
            <w:tcBorders>
              <w:top w:val="single" w:sz="16" w:space="0" w:color="000000"/>
              <w:bottom w:val="single" w:sz="16" w:space="0" w:color="000000"/>
            </w:tcBorders>
            <w:shd w:val="clear" w:color="auto" w:fill="FFFFFF"/>
            <w:vAlign w:val="center"/>
          </w:tcPr>
          <w:p w14:paraId="34F75648" w14:textId="77777777" w:rsidR="000F7F6A" w:rsidRDefault="00952983">
            <w:pPr>
              <w:spacing w:before="40" w:after="40"/>
              <w:ind w:left="100" w:right="100"/>
              <w:jc w:val="center"/>
            </w:pPr>
            <w:r>
              <w:rPr>
                <w:rFonts w:ascii="Arial" w:eastAsia="Arial" w:hAnsi="Arial" w:cs="Arial"/>
                <w:color w:val="111111"/>
                <w:sz w:val="22"/>
                <w:szCs w:val="22"/>
              </w:rPr>
              <w:t>CFR</w:t>
            </w:r>
          </w:p>
        </w:tc>
      </w:tr>
      <w:tr w:rsidR="000F7F6A" w14:paraId="79B2134A" w14:textId="77777777">
        <w:trPr>
          <w:cantSplit/>
          <w:trHeight w:val="360"/>
          <w:tblHeader/>
          <w:jc w:val="center"/>
        </w:trPr>
        <w:tc>
          <w:tcPr>
            <w:tcW w:w="1080" w:type="dxa"/>
            <w:tcBorders>
              <w:top w:val="single" w:sz="8" w:space="0" w:color="000000"/>
              <w:bottom w:val="single" w:sz="8" w:space="0" w:color="000000"/>
            </w:tcBorders>
            <w:shd w:val="clear" w:color="auto" w:fill="FFFFFF"/>
            <w:vAlign w:val="center"/>
          </w:tcPr>
          <w:p w14:paraId="4C9828BE" w14:textId="77777777" w:rsidR="000F7F6A" w:rsidRDefault="00952983">
            <w:pPr>
              <w:spacing w:after="0"/>
              <w:jc w:val="center"/>
            </w:pPr>
            <w:r>
              <w:rPr>
                <w:rFonts w:ascii="Arial" w:eastAsia="Arial" w:hAnsi="Arial" w:cs="Arial"/>
                <w:color w:val="000000"/>
                <w:sz w:val="20"/>
                <w:szCs w:val="20"/>
              </w:rPr>
              <w:t>Female</w:t>
            </w:r>
          </w:p>
        </w:tc>
        <w:tc>
          <w:tcPr>
            <w:tcW w:w="1080" w:type="dxa"/>
            <w:tcBorders>
              <w:top w:val="single" w:sz="8" w:space="0" w:color="000000"/>
              <w:bottom w:val="single" w:sz="8" w:space="0" w:color="000000"/>
            </w:tcBorders>
            <w:shd w:val="clear" w:color="auto" w:fill="FFFFFF"/>
            <w:vAlign w:val="center"/>
          </w:tcPr>
          <w:p w14:paraId="045FEB0D" w14:textId="77777777" w:rsidR="000F7F6A" w:rsidRDefault="00952983">
            <w:pPr>
              <w:spacing w:after="0"/>
              <w:jc w:val="center"/>
            </w:pPr>
            <w:r>
              <w:rPr>
                <w:rFonts w:ascii="Arial" w:eastAsia="Arial" w:hAnsi="Arial" w:cs="Arial"/>
                <w:color w:val="000000"/>
                <w:sz w:val="20"/>
                <w:szCs w:val="20"/>
              </w:rPr>
              <w:t>Male</w:t>
            </w:r>
          </w:p>
        </w:tc>
        <w:tc>
          <w:tcPr>
            <w:tcW w:w="1080" w:type="dxa"/>
            <w:tcBorders>
              <w:top w:val="single" w:sz="8" w:space="0" w:color="000000"/>
              <w:bottom w:val="single" w:sz="8" w:space="0" w:color="000000"/>
            </w:tcBorders>
            <w:shd w:val="clear" w:color="auto" w:fill="FFFFFF"/>
            <w:vAlign w:val="center"/>
          </w:tcPr>
          <w:p w14:paraId="6EC90605" w14:textId="77777777" w:rsidR="000F7F6A" w:rsidRDefault="00952983">
            <w:pPr>
              <w:spacing w:after="0"/>
              <w:jc w:val="center"/>
            </w:pPr>
            <w:r>
              <w:rPr>
                <w:rFonts w:ascii="Arial" w:eastAsia="Arial" w:hAnsi="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30F8E5C7" w14:textId="77777777" w:rsidR="000F7F6A" w:rsidRDefault="00952983">
            <w:pPr>
              <w:spacing w:after="0"/>
              <w:jc w:val="center"/>
            </w:pPr>
            <w:r>
              <w:rPr>
                <w:rFonts w:ascii="Arial" w:eastAsia="Arial" w:hAnsi="Arial" w:cs="Arial"/>
                <w:color w:val="000000"/>
                <w:sz w:val="20"/>
                <w:szCs w:val="20"/>
              </w:rPr>
              <w:t>1940-1954</w:t>
            </w:r>
          </w:p>
        </w:tc>
        <w:tc>
          <w:tcPr>
            <w:tcW w:w="1080" w:type="dxa"/>
            <w:tcBorders>
              <w:top w:val="single" w:sz="8" w:space="0" w:color="000000"/>
              <w:bottom w:val="single" w:sz="8" w:space="0" w:color="000000"/>
            </w:tcBorders>
            <w:shd w:val="clear" w:color="auto" w:fill="FFFFFF"/>
            <w:vAlign w:val="center"/>
          </w:tcPr>
          <w:p w14:paraId="5793D5CA" w14:textId="77777777" w:rsidR="000F7F6A" w:rsidRDefault="00952983">
            <w:pPr>
              <w:spacing w:after="0"/>
              <w:jc w:val="center"/>
            </w:pPr>
            <w:r>
              <w:rPr>
                <w:rFonts w:ascii="Arial" w:eastAsia="Arial" w:hAnsi="Arial" w:cs="Arial"/>
                <w:color w:val="000000"/>
                <w:sz w:val="20"/>
                <w:szCs w:val="20"/>
              </w:rPr>
              <w:t>1955-1969</w:t>
            </w:r>
          </w:p>
        </w:tc>
        <w:tc>
          <w:tcPr>
            <w:tcW w:w="1080" w:type="dxa"/>
            <w:tcBorders>
              <w:top w:val="single" w:sz="8" w:space="0" w:color="000000"/>
              <w:bottom w:val="single" w:sz="8" w:space="0" w:color="000000"/>
            </w:tcBorders>
            <w:shd w:val="clear" w:color="auto" w:fill="FFFFFF"/>
            <w:vAlign w:val="center"/>
          </w:tcPr>
          <w:p w14:paraId="5D7D7FB2" w14:textId="77777777" w:rsidR="000F7F6A" w:rsidRDefault="00952983">
            <w:pPr>
              <w:spacing w:after="0"/>
              <w:jc w:val="center"/>
            </w:pPr>
            <w:r>
              <w:rPr>
                <w:rFonts w:ascii="Arial" w:eastAsia="Arial" w:hAnsi="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3298BD49" w14:textId="77777777" w:rsidR="000F7F6A" w:rsidRDefault="00952983">
            <w:pPr>
              <w:spacing w:after="0"/>
              <w:jc w:val="center"/>
            </w:pPr>
            <w:r>
              <w:rPr>
                <w:rFonts w:ascii="Arial" w:eastAsia="Arial" w:hAnsi="Arial" w:cs="Arial"/>
                <w:color w:val="000000"/>
                <w:sz w:val="20"/>
                <w:szCs w:val="20"/>
              </w:rPr>
              <w:t>1940-1954</w:t>
            </w:r>
          </w:p>
        </w:tc>
        <w:tc>
          <w:tcPr>
            <w:tcW w:w="1079" w:type="dxa"/>
            <w:tcBorders>
              <w:top w:val="single" w:sz="8" w:space="0" w:color="000000"/>
              <w:bottom w:val="single" w:sz="8" w:space="0" w:color="000000"/>
            </w:tcBorders>
            <w:shd w:val="clear" w:color="auto" w:fill="FFFFFF"/>
            <w:vAlign w:val="center"/>
          </w:tcPr>
          <w:p w14:paraId="28A26965" w14:textId="77777777" w:rsidR="000F7F6A" w:rsidRDefault="00952983">
            <w:pPr>
              <w:spacing w:after="0"/>
              <w:jc w:val="center"/>
            </w:pPr>
            <w:r>
              <w:rPr>
                <w:rFonts w:ascii="Arial" w:eastAsia="Arial" w:hAnsi="Arial" w:cs="Arial"/>
                <w:color w:val="000000"/>
                <w:sz w:val="20"/>
                <w:szCs w:val="20"/>
              </w:rPr>
              <w:t>1955-1969</w:t>
            </w:r>
          </w:p>
        </w:tc>
      </w:tr>
      <w:tr w:rsidR="000F7F6A" w14:paraId="17EB4338"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3F9B08A6"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39A7B16E"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714E9CBA" w14:textId="77777777" w:rsidR="000F7F6A" w:rsidRDefault="00952983">
            <w:pPr>
              <w:spacing w:before="40" w:after="40"/>
              <w:ind w:left="100" w:right="100"/>
              <w:jc w:val="center"/>
            </w:pPr>
            <w:r>
              <w:rPr>
                <w:rFonts w:ascii="Arial" w:eastAsia="Arial" w:hAnsi="Arial" w:cs="Arial"/>
                <w:color w:val="111111"/>
                <w:sz w:val="22"/>
                <w:szCs w:val="22"/>
              </w:rPr>
              <w:t>83.70</w:t>
            </w:r>
          </w:p>
        </w:tc>
        <w:tc>
          <w:tcPr>
            <w:tcW w:w="1080" w:type="dxa"/>
            <w:tcBorders>
              <w:top w:val="single" w:sz="16" w:space="0" w:color="000000"/>
              <w:bottom w:val="single" w:sz="16" w:space="0" w:color="000000"/>
            </w:tcBorders>
            <w:shd w:val="clear" w:color="auto" w:fill="FFFFFF"/>
            <w:vAlign w:val="center"/>
          </w:tcPr>
          <w:p w14:paraId="6FDF8E9E" w14:textId="77777777" w:rsidR="000F7F6A" w:rsidRDefault="00952983">
            <w:pPr>
              <w:spacing w:before="40" w:after="40"/>
              <w:ind w:left="100" w:right="100"/>
              <w:jc w:val="center"/>
            </w:pPr>
            <w:r>
              <w:rPr>
                <w:rFonts w:ascii="Arial" w:eastAsia="Arial" w:hAnsi="Arial" w:cs="Arial"/>
                <w:color w:val="111111"/>
                <w:sz w:val="22"/>
                <w:szCs w:val="22"/>
              </w:rPr>
              <w:t>62.63</w:t>
            </w:r>
          </w:p>
        </w:tc>
        <w:tc>
          <w:tcPr>
            <w:tcW w:w="1080" w:type="dxa"/>
            <w:tcBorders>
              <w:top w:val="single" w:sz="16" w:space="0" w:color="000000"/>
              <w:bottom w:val="single" w:sz="16" w:space="0" w:color="000000"/>
            </w:tcBorders>
            <w:shd w:val="clear" w:color="auto" w:fill="FFFFFF"/>
            <w:vAlign w:val="center"/>
          </w:tcPr>
          <w:p w14:paraId="6E6F37C2" w14:textId="77777777" w:rsidR="000F7F6A" w:rsidRDefault="00952983">
            <w:pPr>
              <w:spacing w:before="40" w:after="40"/>
              <w:ind w:left="100" w:right="100"/>
              <w:jc w:val="center"/>
            </w:pPr>
            <w:r>
              <w:rPr>
                <w:rFonts w:ascii="Arial" w:eastAsia="Arial" w:hAnsi="Arial" w:cs="Arial"/>
                <w:color w:val="111111"/>
                <w:sz w:val="22"/>
                <w:szCs w:val="22"/>
              </w:rPr>
              <w:t>34.89</w:t>
            </w:r>
          </w:p>
        </w:tc>
        <w:tc>
          <w:tcPr>
            <w:tcW w:w="1080" w:type="dxa"/>
            <w:tcBorders>
              <w:top w:val="single" w:sz="16" w:space="0" w:color="000000"/>
              <w:bottom w:val="single" w:sz="16" w:space="0" w:color="000000"/>
            </w:tcBorders>
            <w:shd w:val="clear" w:color="auto" w:fill="FFFFFF"/>
            <w:vAlign w:val="center"/>
          </w:tcPr>
          <w:p w14:paraId="3BBB1120" w14:textId="77777777" w:rsidR="000F7F6A" w:rsidRDefault="00952983">
            <w:pPr>
              <w:spacing w:before="40" w:after="40"/>
              <w:ind w:left="100" w:right="100"/>
              <w:jc w:val="center"/>
            </w:pPr>
            <w:r>
              <w:rPr>
                <w:rFonts w:ascii="Arial" w:eastAsia="Arial" w:hAnsi="Arial" w:cs="Arial"/>
                <w:color w:val="111111"/>
                <w:sz w:val="22"/>
                <w:szCs w:val="22"/>
              </w:rPr>
              <w:t>7.15</w:t>
            </w:r>
          </w:p>
        </w:tc>
        <w:tc>
          <w:tcPr>
            <w:tcW w:w="1080" w:type="dxa"/>
            <w:tcBorders>
              <w:top w:val="single" w:sz="16" w:space="0" w:color="000000"/>
              <w:bottom w:val="single" w:sz="16" w:space="0" w:color="000000"/>
            </w:tcBorders>
            <w:shd w:val="clear" w:color="auto" w:fill="FFFFFF"/>
            <w:vAlign w:val="center"/>
          </w:tcPr>
          <w:p w14:paraId="128CD803" w14:textId="77777777" w:rsidR="000F7F6A" w:rsidRDefault="00952983">
            <w:pPr>
              <w:spacing w:before="40" w:after="40"/>
              <w:ind w:left="100" w:right="100"/>
              <w:jc w:val="center"/>
            </w:pPr>
            <w:r>
              <w:rPr>
                <w:rFonts w:ascii="Arial" w:eastAsia="Arial" w:hAnsi="Arial" w:cs="Arial"/>
                <w:color w:val="111111"/>
                <w:sz w:val="22"/>
                <w:szCs w:val="22"/>
              </w:rPr>
              <w:t>5.45</w:t>
            </w:r>
          </w:p>
        </w:tc>
        <w:tc>
          <w:tcPr>
            <w:tcW w:w="1079" w:type="dxa"/>
            <w:tcBorders>
              <w:top w:val="single" w:sz="16" w:space="0" w:color="000000"/>
              <w:bottom w:val="single" w:sz="16" w:space="0" w:color="000000"/>
            </w:tcBorders>
            <w:shd w:val="clear" w:color="auto" w:fill="FFFFFF"/>
            <w:vAlign w:val="center"/>
          </w:tcPr>
          <w:p w14:paraId="4047A755" w14:textId="77777777" w:rsidR="000F7F6A" w:rsidRDefault="00952983">
            <w:pPr>
              <w:spacing w:before="40" w:after="40"/>
              <w:ind w:left="100" w:right="100"/>
              <w:jc w:val="center"/>
            </w:pPr>
            <w:r>
              <w:rPr>
                <w:rFonts w:ascii="Arial" w:eastAsia="Arial" w:hAnsi="Arial" w:cs="Arial"/>
                <w:color w:val="111111"/>
                <w:sz w:val="22"/>
                <w:szCs w:val="22"/>
              </w:rPr>
              <w:t>3.54</w:t>
            </w:r>
          </w:p>
        </w:tc>
      </w:tr>
      <w:tr w:rsidR="000F7F6A" w14:paraId="6D16A506"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377E7EEE"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0AD84429"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25BB8840" w14:textId="77777777" w:rsidR="000F7F6A" w:rsidRDefault="00952983">
            <w:pPr>
              <w:spacing w:before="40" w:after="40"/>
              <w:ind w:left="100" w:right="100"/>
              <w:jc w:val="center"/>
            </w:pPr>
            <w:r>
              <w:rPr>
                <w:rFonts w:ascii="Arial" w:eastAsia="Arial" w:hAnsi="Arial" w:cs="Arial"/>
                <w:color w:val="111111"/>
                <w:sz w:val="22"/>
                <w:szCs w:val="22"/>
              </w:rPr>
              <w:t xml:space="preserve"> 2.90</w:t>
            </w:r>
          </w:p>
        </w:tc>
        <w:tc>
          <w:tcPr>
            <w:tcW w:w="1080" w:type="dxa"/>
            <w:tcBorders>
              <w:top w:val="single" w:sz="16" w:space="0" w:color="000000"/>
              <w:bottom w:val="single" w:sz="16" w:space="0" w:color="000000"/>
            </w:tcBorders>
            <w:shd w:val="clear" w:color="auto" w:fill="FFFFFF"/>
            <w:vAlign w:val="center"/>
          </w:tcPr>
          <w:p w14:paraId="2666D14C" w14:textId="77777777" w:rsidR="000F7F6A" w:rsidRDefault="00952983">
            <w:pPr>
              <w:spacing w:before="40" w:after="40"/>
              <w:ind w:left="100" w:right="100"/>
              <w:jc w:val="center"/>
            </w:pPr>
            <w:r>
              <w:rPr>
                <w:rFonts w:ascii="Arial" w:eastAsia="Arial" w:hAnsi="Arial" w:cs="Arial"/>
                <w:color w:val="111111"/>
                <w:sz w:val="22"/>
                <w:szCs w:val="22"/>
              </w:rPr>
              <w:t xml:space="preserve"> 4.73</w:t>
            </w:r>
          </w:p>
        </w:tc>
        <w:tc>
          <w:tcPr>
            <w:tcW w:w="1080" w:type="dxa"/>
            <w:tcBorders>
              <w:top w:val="single" w:sz="16" w:space="0" w:color="000000"/>
              <w:bottom w:val="single" w:sz="16" w:space="0" w:color="000000"/>
            </w:tcBorders>
            <w:shd w:val="clear" w:color="auto" w:fill="FFFFFF"/>
            <w:vAlign w:val="center"/>
          </w:tcPr>
          <w:p w14:paraId="5178267A" w14:textId="77777777" w:rsidR="000F7F6A" w:rsidRDefault="00952983">
            <w:pPr>
              <w:spacing w:before="40" w:after="40"/>
              <w:ind w:left="100" w:right="100"/>
              <w:jc w:val="center"/>
            </w:pPr>
            <w:r>
              <w:rPr>
                <w:rFonts w:ascii="Arial" w:eastAsia="Arial" w:hAnsi="Arial" w:cs="Arial"/>
                <w:color w:val="111111"/>
                <w:sz w:val="22"/>
                <w:szCs w:val="22"/>
              </w:rPr>
              <w:t xml:space="preserve"> 6.21</w:t>
            </w:r>
          </w:p>
        </w:tc>
        <w:tc>
          <w:tcPr>
            <w:tcW w:w="1080" w:type="dxa"/>
            <w:tcBorders>
              <w:top w:val="single" w:sz="16" w:space="0" w:color="000000"/>
              <w:bottom w:val="single" w:sz="16" w:space="0" w:color="000000"/>
            </w:tcBorders>
            <w:shd w:val="clear" w:color="auto" w:fill="FFFFFF"/>
            <w:vAlign w:val="center"/>
          </w:tcPr>
          <w:p w14:paraId="0968F64F" w14:textId="77777777" w:rsidR="000F7F6A" w:rsidRDefault="00952983">
            <w:pPr>
              <w:spacing w:before="40" w:after="40"/>
              <w:ind w:left="100" w:right="100"/>
              <w:jc w:val="center"/>
            </w:pPr>
            <w:r>
              <w:rPr>
                <w:rFonts w:ascii="Arial" w:eastAsia="Arial" w:hAnsi="Arial" w:cs="Arial"/>
                <w:color w:val="111111"/>
                <w:sz w:val="22"/>
                <w:szCs w:val="22"/>
              </w:rPr>
              <w:t>5.75</w:t>
            </w:r>
          </w:p>
        </w:tc>
        <w:tc>
          <w:tcPr>
            <w:tcW w:w="1080" w:type="dxa"/>
            <w:tcBorders>
              <w:top w:val="single" w:sz="16" w:space="0" w:color="000000"/>
              <w:bottom w:val="single" w:sz="16" w:space="0" w:color="000000"/>
            </w:tcBorders>
            <w:shd w:val="clear" w:color="auto" w:fill="FFFFFF"/>
            <w:vAlign w:val="center"/>
          </w:tcPr>
          <w:p w14:paraId="1ABDDBF7" w14:textId="77777777" w:rsidR="000F7F6A" w:rsidRDefault="00952983">
            <w:pPr>
              <w:spacing w:before="40" w:after="40"/>
              <w:ind w:left="100" w:right="100"/>
              <w:jc w:val="center"/>
            </w:pPr>
            <w:r>
              <w:rPr>
                <w:rFonts w:ascii="Arial" w:eastAsia="Arial" w:hAnsi="Arial" w:cs="Arial"/>
                <w:color w:val="111111"/>
                <w:sz w:val="22"/>
                <w:szCs w:val="22"/>
              </w:rPr>
              <w:t>4.21</w:t>
            </w:r>
          </w:p>
        </w:tc>
        <w:tc>
          <w:tcPr>
            <w:tcW w:w="1079" w:type="dxa"/>
            <w:tcBorders>
              <w:top w:val="single" w:sz="16" w:space="0" w:color="000000"/>
              <w:bottom w:val="single" w:sz="16" w:space="0" w:color="000000"/>
            </w:tcBorders>
            <w:shd w:val="clear" w:color="auto" w:fill="FFFFFF"/>
            <w:vAlign w:val="center"/>
          </w:tcPr>
          <w:p w14:paraId="00AC4D1B" w14:textId="77777777" w:rsidR="000F7F6A" w:rsidRDefault="00952983">
            <w:pPr>
              <w:spacing w:before="40" w:after="40"/>
              <w:ind w:left="100" w:right="100"/>
              <w:jc w:val="center"/>
            </w:pPr>
            <w:r>
              <w:rPr>
                <w:rFonts w:ascii="Arial" w:eastAsia="Arial" w:hAnsi="Arial" w:cs="Arial"/>
                <w:color w:val="111111"/>
                <w:sz w:val="22"/>
                <w:szCs w:val="22"/>
              </w:rPr>
              <w:t>3.00</w:t>
            </w:r>
          </w:p>
        </w:tc>
      </w:tr>
      <w:tr w:rsidR="000F7F6A" w14:paraId="5CBF5271"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8C5DB6F"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797FE0E7"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39E3E4DF" w14:textId="77777777" w:rsidR="000F7F6A" w:rsidRDefault="00952983">
            <w:pPr>
              <w:spacing w:before="40" w:after="40"/>
              <w:ind w:left="100" w:right="100"/>
              <w:jc w:val="center"/>
            </w:pPr>
            <w:r>
              <w:rPr>
                <w:rFonts w:ascii="Arial" w:eastAsia="Arial" w:hAnsi="Arial" w:cs="Arial"/>
                <w:color w:val="111111"/>
                <w:sz w:val="22"/>
                <w:szCs w:val="22"/>
              </w:rPr>
              <w:t xml:space="preserve"> 1.16</w:t>
            </w:r>
          </w:p>
        </w:tc>
        <w:tc>
          <w:tcPr>
            <w:tcW w:w="1080" w:type="dxa"/>
            <w:tcBorders>
              <w:top w:val="single" w:sz="16" w:space="0" w:color="000000"/>
              <w:bottom w:val="single" w:sz="16" w:space="0" w:color="000000"/>
            </w:tcBorders>
            <w:shd w:val="clear" w:color="auto" w:fill="FFFFFF"/>
            <w:vAlign w:val="center"/>
          </w:tcPr>
          <w:p w14:paraId="76D008AA" w14:textId="77777777" w:rsidR="000F7F6A" w:rsidRDefault="00952983">
            <w:pPr>
              <w:spacing w:before="40" w:after="40"/>
              <w:ind w:left="100" w:right="100"/>
              <w:jc w:val="center"/>
            </w:pPr>
            <w:r>
              <w:rPr>
                <w:rFonts w:ascii="Arial" w:eastAsia="Arial" w:hAnsi="Arial" w:cs="Arial"/>
                <w:color w:val="111111"/>
                <w:sz w:val="22"/>
                <w:szCs w:val="22"/>
              </w:rPr>
              <w:t xml:space="preserve"> 1.73</w:t>
            </w:r>
          </w:p>
        </w:tc>
        <w:tc>
          <w:tcPr>
            <w:tcW w:w="1080" w:type="dxa"/>
            <w:tcBorders>
              <w:top w:val="single" w:sz="16" w:space="0" w:color="000000"/>
              <w:bottom w:val="single" w:sz="16" w:space="0" w:color="000000"/>
            </w:tcBorders>
            <w:shd w:val="clear" w:color="auto" w:fill="FFFFFF"/>
            <w:vAlign w:val="center"/>
          </w:tcPr>
          <w:p w14:paraId="25E950CE" w14:textId="77777777" w:rsidR="000F7F6A" w:rsidRDefault="00952983">
            <w:pPr>
              <w:spacing w:before="40" w:after="40"/>
              <w:ind w:left="100" w:right="100"/>
              <w:jc w:val="center"/>
            </w:pPr>
            <w:r>
              <w:rPr>
                <w:rFonts w:ascii="Arial" w:eastAsia="Arial" w:hAnsi="Arial" w:cs="Arial"/>
                <w:color w:val="111111"/>
                <w:sz w:val="22"/>
                <w:szCs w:val="22"/>
              </w:rPr>
              <w:t xml:space="preserve"> 1.93</w:t>
            </w:r>
          </w:p>
        </w:tc>
        <w:tc>
          <w:tcPr>
            <w:tcW w:w="1080" w:type="dxa"/>
            <w:tcBorders>
              <w:top w:val="single" w:sz="16" w:space="0" w:color="000000"/>
              <w:bottom w:val="single" w:sz="16" w:space="0" w:color="000000"/>
            </w:tcBorders>
            <w:shd w:val="clear" w:color="auto" w:fill="FFFFFF"/>
            <w:vAlign w:val="center"/>
          </w:tcPr>
          <w:p w14:paraId="02CDA9CF" w14:textId="77777777" w:rsidR="000F7F6A" w:rsidRDefault="00952983">
            <w:pPr>
              <w:spacing w:before="40" w:after="40"/>
              <w:ind w:left="100" w:right="100"/>
              <w:jc w:val="center"/>
            </w:pPr>
            <w:r>
              <w:rPr>
                <w:rFonts w:ascii="Arial" w:eastAsia="Arial" w:hAnsi="Arial" w:cs="Arial"/>
                <w:color w:val="111111"/>
                <w:sz w:val="22"/>
                <w:szCs w:val="22"/>
              </w:rPr>
              <w:t>4.83</w:t>
            </w:r>
          </w:p>
        </w:tc>
        <w:tc>
          <w:tcPr>
            <w:tcW w:w="1080" w:type="dxa"/>
            <w:tcBorders>
              <w:top w:val="single" w:sz="16" w:space="0" w:color="000000"/>
              <w:bottom w:val="single" w:sz="16" w:space="0" w:color="000000"/>
            </w:tcBorders>
            <w:shd w:val="clear" w:color="auto" w:fill="FFFFFF"/>
            <w:vAlign w:val="center"/>
          </w:tcPr>
          <w:p w14:paraId="26F81BCE" w14:textId="77777777" w:rsidR="000F7F6A" w:rsidRDefault="00952983">
            <w:pPr>
              <w:spacing w:before="40" w:after="40"/>
              <w:ind w:left="100" w:right="100"/>
              <w:jc w:val="center"/>
            </w:pPr>
            <w:r>
              <w:rPr>
                <w:rFonts w:ascii="Arial" w:eastAsia="Arial" w:hAnsi="Arial" w:cs="Arial"/>
                <w:color w:val="111111"/>
                <w:sz w:val="22"/>
                <w:szCs w:val="22"/>
              </w:rPr>
              <w:t>3.83</w:t>
            </w:r>
          </w:p>
        </w:tc>
        <w:tc>
          <w:tcPr>
            <w:tcW w:w="1079" w:type="dxa"/>
            <w:tcBorders>
              <w:top w:val="single" w:sz="16" w:space="0" w:color="000000"/>
              <w:bottom w:val="single" w:sz="16" w:space="0" w:color="000000"/>
            </w:tcBorders>
            <w:shd w:val="clear" w:color="auto" w:fill="FFFFFF"/>
            <w:vAlign w:val="center"/>
          </w:tcPr>
          <w:p w14:paraId="174F6AC2" w14:textId="77777777" w:rsidR="000F7F6A" w:rsidRDefault="00952983">
            <w:pPr>
              <w:spacing w:before="40" w:after="40"/>
              <w:ind w:left="100" w:right="100"/>
              <w:jc w:val="center"/>
            </w:pPr>
            <w:r>
              <w:rPr>
                <w:rFonts w:ascii="Arial" w:eastAsia="Arial" w:hAnsi="Arial" w:cs="Arial"/>
                <w:color w:val="111111"/>
                <w:sz w:val="22"/>
                <w:szCs w:val="22"/>
              </w:rPr>
              <w:t>2.74</w:t>
            </w:r>
          </w:p>
        </w:tc>
      </w:tr>
      <w:tr w:rsidR="000F7F6A" w14:paraId="08ED2961"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32CA9B35"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21B11826"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21F81FC1" w14:textId="77777777" w:rsidR="000F7F6A" w:rsidRDefault="00952983">
            <w:pPr>
              <w:spacing w:before="40" w:after="40"/>
              <w:ind w:left="100" w:right="100"/>
              <w:jc w:val="center"/>
            </w:pPr>
            <w:r>
              <w:rPr>
                <w:rFonts w:ascii="Arial" w:eastAsia="Arial" w:hAnsi="Arial" w:cs="Arial"/>
                <w:color w:val="111111"/>
                <w:sz w:val="22"/>
                <w:szCs w:val="22"/>
              </w:rPr>
              <w:t xml:space="preserve"> 0.40</w:t>
            </w:r>
          </w:p>
        </w:tc>
        <w:tc>
          <w:tcPr>
            <w:tcW w:w="1080" w:type="dxa"/>
            <w:tcBorders>
              <w:top w:val="single" w:sz="16" w:space="0" w:color="000000"/>
              <w:bottom w:val="single" w:sz="16" w:space="0" w:color="000000"/>
            </w:tcBorders>
            <w:shd w:val="clear" w:color="auto" w:fill="FFFFFF"/>
            <w:vAlign w:val="center"/>
          </w:tcPr>
          <w:p w14:paraId="46E7008F" w14:textId="77777777" w:rsidR="000F7F6A" w:rsidRDefault="00952983">
            <w:pPr>
              <w:spacing w:before="40" w:after="40"/>
              <w:ind w:left="100" w:right="100"/>
              <w:jc w:val="center"/>
            </w:pPr>
            <w:r>
              <w:rPr>
                <w:rFonts w:ascii="Arial" w:eastAsia="Arial" w:hAnsi="Arial" w:cs="Arial"/>
                <w:color w:val="111111"/>
                <w:sz w:val="22"/>
                <w:szCs w:val="22"/>
              </w:rPr>
              <w:t xml:space="preserve"> 0.38</w:t>
            </w:r>
          </w:p>
        </w:tc>
        <w:tc>
          <w:tcPr>
            <w:tcW w:w="1080" w:type="dxa"/>
            <w:tcBorders>
              <w:top w:val="single" w:sz="16" w:space="0" w:color="000000"/>
              <w:bottom w:val="single" w:sz="16" w:space="0" w:color="000000"/>
            </w:tcBorders>
            <w:shd w:val="clear" w:color="auto" w:fill="FFFFFF"/>
            <w:vAlign w:val="center"/>
          </w:tcPr>
          <w:p w14:paraId="270D58CC" w14:textId="77777777" w:rsidR="000F7F6A" w:rsidRDefault="00952983">
            <w:pPr>
              <w:spacing w:before="40" w:after="40"/>
              <w:ind w:left="100" w:right="100"/>
              <w:jc w:val="center"/>
            </w:pPr>
            <w:r>
              <w:rPr>
                <w:rFonts w:ascii="Arial" w:eastAsia="Arial" w:hAnsi="Arial" w:cs="Arial"/>
                <w:color w:val="111111"/>
                <w:sz w:val="22"/>
                <w:szCs w:val="22"/>
              </w:rPr>
              <w:t xml:space="preserve"> 0.25</w:t>
            </w:r>
          </w:p>
        </w:tc>
        <w:tc>
          <w:tcPr>
            <w:tcW w:w="1080" w:type="dxa"/>
            <w:tcBorders>
              <w:top w:val="single" w:sz="16" w:space="0" w:color="000000"/>
              <w:bottom w:val="single" w:sz="16" w:space="0" w:color="000000"/>
            </w:tcBorders>
            <w:shd w:val="clear" w:color="auto" w:fill="FFFFFF"/>
            <w:vAlign w:val="center"/>
          </w:tcPr>
          <w:p w14:paraId="461464B3" w14:textId="77777777" w:rsidR="000F7F6A" w:rsidRDefault="00952983">
            <w:pPr>
              <w:spacing w:before="40" w:after="40"/>
              <w:ind w:left="100" w:right="100"/>
              <w:jc w:val="center"/>
            </w:pPr>
            <w:r>
              <w:rPr>
                <w:rFonts w:ascii="Arial" w:eastAsia="Arial" w:hAnsi="Arial" w:cs="Arial"/>
                <w:color w:val="111111"/>
                <w:sz w:val="22"/>
                <w:szCs w:val="22"/>
              </w:rPr>
              <w:t>4.29</w:t>
            </w:r>
          </w:p>
        </w:tc>
        <w:tc>
          <w:tcPr>
            <w:tcW w:w="1080" w:type="dxa"/>
            <w:tcBorders>
              <w:top w:val="single" w:sz="16" w:space="0" w:color="000000"/>
              <w:bottom w:val="single" w:sz="16" w:space="0" w:color="000000"/>
            </w:tcBorders>
            <w:shd w:val="clear" w:color="auto" w:fill="FFFFFF"/>
            <w:vAlign w:val="center"/>
          </w:tcPr>
          <w:p w14:paraId="1767F1A9" w14:textId="77777777" w:rsidR="000F7F6A" w:rsidRDefault="00952983">
            <w:pPr>
              <w:spacing w:before="40" w:after="40"/>
              <w:ind w:left="100" w:right="100"/>
              <w:jc w:val="center"/>
            </w:pPr>
            <w:r>
              <w:rPr>
                <w:rFonts w:ascii="Arial" w:eastAsia="Arial" w:hAnsi="Arial" w:cs="Arial"/>
                <w:color w:val="111111"/>
                <w:sz w:val="22"/>
                <w:szCs w:val="22"/>
              </w:rPr>
              <w:t>3.81</w:t>
            </w:r>
          </w:p>
        </w:tc>
        <w:tc>
          <w:tcPr>
            <w:tcW w:w="1079" w:type="dxa"/>
            <w:tcBorders>
              <w:top w:val="single" w:sz="16" w:space="0" w:color="000000"/>
              <w:bottom w:val="single" w:sz="16" w:space="0" w:color="000000"/>
            </w:tcBorders>
            <w:shd w:val="clear" w:color="auto" w:fill="FFFFFF"/>
            <w:vAlign w:val="center"/>
          </w:tcPr>
          <w:p w14:paraId="09AE9094" w14:textId="77777777" w:rsidR="000F7F6A" w:rsidRDefault="00952983">
            <w:pPr>
              <w:spacing w:before="40" w:after="40"/>
              <w:ind w:left="100" w:right="100"/>
              <w:jc w:val="center"/>
            </w:pPr>
            <w:r>
              <w:rPr>
                <w:rFonts w:ascii="Arial" w:eastAsia="Arial" w:hAnsi="Arial" w:cs="Arial"/>
                <w:color w:val="111111"/>
                <w:sz w:val="22"/>
                <w:szCs w:val="22"/>
              </w:rPr>
              <w:t>2.69</w:t>
            </w:r>
          </w:p>
        </w:tc>
      </w:tr>
      <w:tr w:rsidR="000F7F6A" w14:paraId="117100C6"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D5916C7" w14:textId="77777777" w:rsidR="000F7F6A" w:rsidRDefault="00952983">
            <w:pPr>
              <w:spacing w:before="40" w:after="40"/>
              <w:ind w:left="100" w:right="100"/>
              <w:jc w:val="center"/>
            </w:pPr>
            <w:r>
              <w:rPr>
                <w:rFonts w:ascii="Arial" w:eastAsia="Arial" w:hAnsi="Arial" w:cs="Arial"/>
                <w:color w:val="111111"/>
                <w:sz w:val="22"/>
                <w:szCs w:val="22"/>
              </w:rPr>
              <w:lastRenderedPageBreak/>
              <w:t>P</w:t>
            </w:r>
          </w:p>
        </w:tc>
        <w:tc>
          <w:tcPr>
            <w:tcW w:w="1080" w:type="dxa"/>
            <w:tcBorders>
              <w:top w:val="single" w:sz="16" w:space="0" w:color="000000"/>
              <w:bottom w:val="single" w:sz="16" w:space="0" w:color="000000"/>
            </w:tcBorders>
            <w:shd w:val="clear" w:color="auto" w:fill="FFFFFF"/>
            <w:vAlign w:val="center"/>
          </w:tcPr>
          <w:p w14:paraId="2DCB8E09"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7514BC85" w14:textId="77777777" w:rsidR="000F7F6A" w:rsidRDefault="00952983">
            <w:pPr>
              <w:spacing w:before="40" w:after="40"/>
              <w:ind w:left="100" w:right="100"/>
              <w:jc w:val="center"/>
            </w:pPr>
            <w:r>
              <w:rPr>
                <w:rFonts w:ascii="Arial" w:eastAsia="Arial" w:hAnsi="Arial" w:cs="Arial"/>
                <w:color w:val="111111"/>
                <w:sz w:val="22"/>
                <w:szCs w:val="22"/>
              </w:rPr>
              <w:t xml:space="preserve"> 2.28</w:t>
            </w:r>
          </w:p>
        </w:tc>
        <w:tc>
          <w:tcPr>
            <w:tcW w:w="1080" w:type="dxa"/>
            <w:tcBorders>
              <w:top w:val="single" w:sz="16" w:space="0" w:color="000000"/>
              <w:bottom w:val="single" w:sz="16" w:space="0" w:color="000000"/>
            </w:tcBorders>
            <w:shd w:val="clear" w:color="auto" w:fill="FFFFFF"/>
            <w:vAlign w:val="center"/>
          </w:tcPr>
          <w:p w14:paraId="37911E92" w14:textId="77777777" w:rsidR="000F7F6A" w:rsidRDefault="00952983">
            <w:pPr>
              <w:spacing w:before="40" w:after="40"/>
              <w:ind w:left="100" w:right="100"/>
              <w:jc w:val="center"/>
            </w:pPr>
            <w:r>
              <w:rPr>
                <w:rFonts w:ascii="Arial" w:eastAsia="Arial" w:hAnsi="Arial" w:cs="Arial"/>
                <w:color w:val="111111"/>
                <w:sz w:val="22"/>
                <w:szCs w:val="22"/>
              </w:rPr>
              <w:t xml:space="preserve"> 5.66</w:t>
            </w:r>
          </w:p>
        </w:tc>
        <w:tc>
          <w:tcPr>
            <w:tcW w:w="1080" w:type="dxa"/>
            <w:tcBorders>
              <w:top w:val="single" w:sz="16" w:space="0" w:color="000000"/>
              <w:bottom w:val="single" w:sz="16" w:space="0" w:color="000000"/>
            </w:tcBorders>
            <w:shd w:val="clear" w:color="auto" w:fill="FFFFFF"/>
            <w:vAlign w:val="center"/>
          </w:tcPr>
          <w:p w14:paraId="554EA260" w14:textId="77777777" w:rsidR="000F7F6A" w:rsidRDefault="00952983">
            <w:pPr>
              <w:spacing w:before="40" w:after="40"/>
              <w:ind w:left="100" w:right="100"/>
              <w:jc w:val="center"/>
            </w:pPr>
            <w:r>
              <w:rPr>
                <w:rFonts w:ascii="Arial" w:eastAsia="Arial" w:hAnsi="Arial" w:cs="Arial"/>
                <w:color w:val="111111"/>
                <w:sz w:val="22"/>
                <w:szCs w:val="22"/>
              </w:rPr>
              <w:t xml:space="preserve"> 9.42</w:t>
            </w:r>
          </w:p>
        </w:tc>
        <w:tc>
          <w:tcPr>
            <w:tcW w:w="1080" w:type="dxa"/>
            <w:tcBorders>
              <w:top w:val="single" w:sz="16" w:space="0" w:color="000000"/>
              <w:bottom w:val="single" w:sz="16" w:space="0" w:color="000000"/>
            </w:tcBorders>
            <w:shd w:val="clear" w:color="auto" w:fill="FFFFFF"/>
            <w:vAlign w:val="center"/>
          </w:tcPr>
          <w:p w14:paraId="44B826D3" w14:textId="77777777" w:rsidR="000F7F6A" w:rsidRDefault="00952983">
            <w:pPr>
              <w:spacing w:before="40" w:after="40"/>
              <w:ind w:left="100" w:right="100"/>
              <w:jc w:val="center"/>
            </w:pPr>
            <w:r>
              <w:rPr>
                <w:rFonts w:ascii="Arial" w:eastAsia="Arial" w:hAnsi="Arial" w:cs="Arial"/>
                <w:color w:val="111111"/>
                <w:sz w:val="22"/>
                <w:szCs w:val="22"/>
              </w:rPr>
              <w:t>4.82</w:t>
            </w:r>
          </w:p>
        </w:tc>
        <w:tc>
          <w:tcPr>
            <w:tcW w:w="1080" w:type="dxa"/>
            <w:tcBorders>
              <w:top w:val="single" w:sz="16" w:space="0" w:color="000000"/>
              <w:bottom w:val="single" w:sz="16" w:space="0" w:color="000000"/>
            </w:tcBorders>
            <w:shd w:val="clear" w:color="auto" w:fill="FFFFFF"/>
            <w:vAlign w:val="center"/>
          </w:tcPr>
          <w:p w14:paraId="67B64058" w14:textId="77777777" w:rsidR="000F7F6A" w:rsidRDefault="00952983">
            <w:pPr>
              <w:spacing w:before="40" w:after="40"/>
              <w:ind w:left="100" w:right="100"/>
              <w:jc w:val="center"/>
            </w:pPr>
            <w:r>
              <w:rPr>
                <w:rFonts w:ascii="Arial" w:eastAsia="Arial" w:hAnsi="Arial" w:cs="Arial"/>
                <w:color w:val="111111"/>
                <w:sz w:val="22"/>
                <w:szCs w:val="22"/>
              </w:rPr>
              <w:t>3.91</w:t>
            </w:r>
          </w:p>
        </w:tc>
        <w:tc>
          <w:tcPr>
            <w:tcW w:w="1079" w:type="dxa"/>
            <w:tcBorders>
              <w:top w:val="single" w:sz="16" w:space="0" w:color="000000"/>
              <w:bottom w:val="single" w:sz="16" w:space="0" w:color="000000"/>
            </w:tcBorders>
            <w:shd w:val="clear" w:color="auto" w:fill="FFFFFF"/>
            <w:vAlign w:val="center"/>
          </w:tcPr>
          <w:p w14:paraId="55CF6C0D" w14:textId="77777777" w:rsidR="000F7F6A" w:rsidRDefault="00952983">
            <w:pPr>
              <w:spacing w:before="40" w:after="40"/>
              <w:ind w:left="100" w:right="100"/>
              <w:jc w:val="center"/>
            </w:pPr>
            <w:r>
              <w:rPr>
                <w:rFonts w:ascii="Arial" w:eastAsia="Arial" w:hAnsi="Arial" w:cs="Arial"/>
                <w:color w:val="111111"/>
                <w:sz w:val="22"/>
                <w:szCs w:val="22"/>
              </w:rPr>
              <w:t>2.88</w:t>
            </w:r>
          </w:p>
        </w:tc>
      </w:tr>
      <w:tr w:rsidR="000F7F6A" w14:paraId="75467C39"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37375B6F"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61BB914E"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73C25152" w14:textId="77777777" w:rsidR="000F7F6A" w:rsidRDefault="00952983">
            <w:pPr>
              <w:spacing w:before="40" w:after="40"/>
              <w:ind w:left="100" w:right="100"/>
              <w:jc w:val="center"/>
            </w:pPr>
            <w:r>
              <w:rPr>
                <w:rFonts w:ascii="Arial" w:eastAsia="Arial" w:hAnsi="Arial" w:cs="Arial"/>
                <w:color w:val="111111"/>
                <w:sz w:val="22"/>
                <w:szCs w:val="22"/>
              </w:rPr>
              <w:t xml:space="preserve"> 1.67</w:t>
            </w:r>
          </w:p>
        </w:tc>
        <w:tc>
          <w:tcPr>
            <w:tcW w:w="1080" w:type="dxa"/>
            <w:tcBorders>
              <w:top w:val="single" w:sz="16" w:space="0" w:color="000000"/>
              <w:bottom w:val="single" w:sz="16" w:space="0" w:color="000000"/>
            </w:tcBorders>
            <w:shd w:val="clear" w:color="auto" w:fill="FFFFFF"/>
            <w:vAlign w:val="center"/>
          </w:tcPr>
          <w:p w14:paraId="00B6BDE4" w14:textId="77777777" w:rsidR="000F7F6A" w:rsidRDefault="00952983">
            <w:pPr>
              <w:spacing w:before="40" w:after="40"/>
              <w:ind w:left="100" w:right="100"/>
              <w:jc w:val="center"/>
            </w:pPr>
            <w:r>
              <w:rPr>
                <w:rFonts w:ascii="Arial" w:eastAsia="Arial" w:hAnsi="Arial" w:cs="Arial"/>
                <w:color w:val="111111"/>
                <w:sz w:val="22"/>
                <w:szCs w:val="22"/>
              </w:rPr>
              <w:t xml:space="preserve"> 3.91</w:t>
            </w:r>
          </w:p>
        </w:tc>
        <w:tc>
          <w:tcPr>
            <w:tcW w:w="1080" w:type="dxa"/>
            <w:tcBorders>
              <w:top w:val="single" w:sz="16" w:space="0" w:color="000000"/>
              <w:bottom w:val="single" w:sz="16" w:space="0" w:color="000000"/>
            </w:tcBorders>
            <w:shd w:val="clear" w:color="auto" w:fill="FFFFFF"/>
            <w:vAlign w:val="center"/>
          </w:tcPr>
          <w:p w14:paraId="7D9F741E" w14:textId="77777777" w:rsidR="000F7F6A" w:rsidRDefault="00952983">
            <w:pPr>
              <w:spacing w:before="40" w:after="40"/>
              <w:ind w:left="100" w:right="100"/>
              <w:jc w:val="center"/>
            </w:pPr>
            <w:r>
              <w:rPr>
                <w:rFonts w:ascii="Arial" w:eastAsia="Arial" w:hAnsi="Arial" w:cs="Arial"/>
                <w:color w:val="111111"/>
                <w:sz w:val="22"/>
                <w:szCs w:val="22"/>
              </w:rPr>
              <w:t xml:space="preserve"> 9.44</w:t>
            </w:r>
          </w:p>
        </w:tc>
        <w:tc>
          <w:tcPr>
            <w:tcW w:w="1080" w:type="dxa"/>
            <w:tcBorders>
              <w:top w:val="single" w:sz="16" w:space="0" w:color="000000"/>
              <w:bottom w:val="single" w:sz="16" w:space="0" w:color="000000"/>
            </w:tcBorders>
            <w:shd w:val="clear" w:color="auto" w:fill="FFFFFF"/>
            <w:vAlign w:val="center"/>
          </w:tcPr>
          <w:p w14:paraId="6936AE1D" w14:textId="77777777" w:rsidR="000F7F6A" w:rsidRDefault="00952983">
            <w:pPr>
              <w:spacing w:before="40" w:after="40"/>
              <w:ind w:left="100" w:right="100"/>
              <w:jc w:val="center"/>
            </w:pPr>
            <w:r>
              <w:rPr>
                <w:rFonts w:ascii="Arial" w:eastAsia="Arial" w:hAnsi="Arial" w:cs="Arial"/>
                <w:color w:val="111111"/>
                <w:sz w:val="22"/>
                <w:szCs w:val="22"/>
              </w:rPr>
              <w:t>4.52</w:t>
            </w:r>
          </w:p>
        </w:tc>
        <w:tc>
          <w:tcPr>
            <w:tcW w:w="1080" w:type="dxa"/>
            <w:tcBorders>
              <w:top w:val="single" w:sz="16" w:space="0" w:color="000000"/>
              <w:bottom w:val="single" w:sz="16" w:space="0" w:color="000000"/>
            </w:tcBorders>
            <w:shd w:val="clear" w:color="auto" w:fill="FFFFFF"/>
            <w:vAlign w:val="center"/>
          </w:tcPr>
          <w:p w14:paraId="71C286A4" w14:textId="77777777" w:rsidR="000F7F6A" w:rsidRDefault="00952983">
            <w:pPr>
              <w:spacing w:before="40" w:after="40"/>
              <w:ind w:left="100" w:right="100"/>
              <w:jc w:val="center"/>
            </w:pPr>
            <w:r>
              <w:rPr>
                <w:rFonts w:ascii="Arial" w:eastAsia="Arial" w:hAnsi="Arial" w:cs="Arial"/>
                <w:color w:val="111111"/>
                <w:sz w:val="22"/>
                <w:szCs w:val="22"/>
              </w:rPr>
              <w:t>3.42</w:t>
            </w:r>
          </w:p>
        </w:tc>
        <w:tc>
          <w:tcPr>
            <w:tcW w:w="1079" w:type="dxa"/>
            <w:tcBorders>
              <w:top w:val="single" w:sz="16" w:space="0" w:color="000000"/>
              <w:bottom w:val="single" w:sz="16" w:space="0" w:color="000000"/>
            </w:tcBorders>
            <w:shd w:val="clear" w:color="auto" w:fill="FFFFFF"/>
            <w:vAlign w:val="center"/>
          </w:tcPr>
          <w:p w14:paraId="4EB4484C" w14:textId="77777777" w:rsidR="000F7F6A" w:rsidRDefault="00952983">
            <w:pPr>
              <w:spacing w:before="40" w:after="40"/>
              <w:ind w:left="100" w:right="100"/>
              <w:jc w:val="center"/>
            </w:pPr>
            <w:r>
              <w:rPr>
                <w:rFonts w:ascii="Arial" w:eastAsia="Arial" w:hAnsi="Arial" w:cs="Arial"/>
                <w:color w:val="111111"/>
                <w:sz w:val="22"/>
                <w:szCs w:val="22"/>
              </w:rPr>
              <w:t>2.61</w:t>
            </w:r>
          </w:p>
        </w:tc>
      </w:tr>
      <w:tr w:rsidR="000F7F6A" w14:paraId="760D503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2C189723"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466ADA14"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0C3D0C3B" w14:textId="77777777" w:rsidR="000F7F6A" w:rsidRDefault="00952983">
            <w:pPr>
              <w:spacing w:before="40" w:after="40"/>
              <w:ind w:left="100" w:right="100"/>
              <w:jc w:val="center"/>
            </w:pPr>
            <w:r>
              <w:rPr>
                <w:rFonts w:ascii="Arial" w:eastAsia="Arial" w:hAnsi="Arial" w:cs="Arial"/>
                <w:color w:val="111111"/>
                <w:sz w:val="22"/>
                <w:szCs w:val="22"/>
              </w:rPr>
              <w:t xml:space="preserve"> 0.94</w:t>
            </w:r>
          </w:p>
        </w:tc>
        <w:tc>
          <w:tcPr>
            <w:tcW w:w="1080" w:type="dxa"/>
            <w:tcBorders>
              <w:top w:val="single" w:sz="16" w:space="0" w:color="000000"/>
              <w:bottom w:val="single" w:sz="16" w:space="0" w:color="000000"/>
            </w:tcBorders>
            <w:shd w:val="clear" w:color="auto" w:fill="FFFFFF"/>
            <w:vAlign w:val="center"/>
          </w:tcPr>
          <w:p w14:paraId="1D0AFA8B" w14:textId="77777777" w:rsidR="000F7F6A" w:rsidRDefault="00952983">
            <w:pPr>
              <w:spacing w:before="40" w:after="40"/>
              <w:ind w:left="100" w:right="100"/>
              <w:jc w:val="center"/>
            </w:pPr>
            <w:r>
              <w:rPr>
                <w:rFonts w:ascii="Arial" w:eastAsia="Arial" w:hAnsi="Arial" w:cs="Arial"/>
                <w:color w:val="111111"/>
                <w:sz w:val="22"/>
                <w:szCs w:val="22"/>
              </w:rPr>
              <w:t xml:space="preserve"> 1.92</w:t>
            </w:r>
          </w:p>
        </w:tc>
        <w:tc>
          <w:tcPr>
            <w:tcW w:w="1080" w:type="dxa"/>
            <w:tcBorders>
              <w:top w:val="single" w:sz="16" w:space="0" w:color="000000"/>
              <w:bottom w:val="single" w:sz="16" w:space="0" w:color="000000"/>
            </w:tcBorders>
            <w:shd w:val="clear" w:color="auto" w:fill="FFFFFF"/>
            <w:vAlign w:val="center"/>
          </w:tcPr>
          <w:p w14:paraId="493A686F" w14:textId="77777777" w:rsidR="000F7F6A" w:rsidRDefault="00952983">
            <w:pPr>
              <w:spacing w:before="40" w:after="40"/>
              <w:ind w:left="100" w:right="100"/>
              <w:jc w:val="center"/>
            </w:pPr>
            <w:r>
              <w:rPr>
                <w:rFonts w:ascii="Arial" w:eastAsia="Arial" w:hAnsi="Arial" w:cs="Arial"/>
                <w:color w:val="111111"/>
                <w:sz w:val="22"/>
                <w:szCs w:val="22"/>
              </w:rPr>
              <w:t xml:space="preserve"> 3.75</w:t>
            </w:r>
          </w:p>
        </w:tc>
        <w:tc>
          <w:tcPr>
            <w:tcW w:w="1080" w:type="dxa"/>
            <w:tcBorders>
              <w:top w:val="single" w:sz="16" w:space="0" w:color="000000"/>
              <w:bottom w:val="single" w:sz="16" w:space="0" w:color="000000"/>
            </w:tcBorders>
            <w:shd w:val="clear" w:color="auto" w:fill="FFFFFF"/>
            <w:vAlign w:val="center"/>
          </w:tcPr>
          <w:p w14:paraId="60C53E2B" w14:textId="77777777" w:rsidR="000F7F6A" w:rsidRDefault="00952983">
            <w:pPr>
              <w:spacing w:before="40" w:after="40"/>
              <w:ind w:left="100" w:right="100"/>
              <w:jc w:val="center"/>
            </w:pPr>
            <w:r>
              <w:rPr>
                <w:rFonts w:ascii="Arial" w:eastAsia="Arial" w:hAnsi="Arial" w:cs="Arial"/>
                <w:color w:val="111111"/>
                <w:sz w:val="22"/>
                <w:szCs w:val="22"/>
              </w:rPr>
              <w:t>4.38</w:t>
            </w:r>
          </w:p>
        </w:tc>
        <w:tc>
          <w:tcPr>
            <w:tcW w:w="1080" w:type="dxa"/>
            <w:tcBorders>
              <w:top w:val="single" w:sz="16" w:space="0" w:color="000000"/>
              <w:bottom w:val="single" w:sz="16" w:space="0" w:color="000000"/>
            </w:tcBorders>
            <w:shd w:val="clear" w:color="auto" w:fill="FFFFFF"/>
            <w:vAlign w:val="center"/>
          </w:tcPr>
          <w:p w14:paraId="09EEDB48" w14:textId="77777777" w:rsidR="000F7F6A" w:rsidRDefault="00952983">
            <w:pPr>
              <w:spacing w:before="40" w:after="40"/>
              <w:ind w:left="100" w:right="100"/>
              <w:jc w:val="center"/>
            </w:pPr>
            <w:r>
              <w:rPr>
                <w:rFonts w:ascii="Arial" w:eastAsia="Arial" w:hAnsi="Arial" w:cs="Arial"/>
                <w:color w:val="111111"/>
                <w:sz w:val="22"/>
                <w:szCs w:val="22"/>
              </w:rPr>
              <w:t>3.36</w:t>
            </w:r>
          </w:p>
        </w:tc>
        <w:tc>
          <w:tcPr>
            <w:tcW w:w="1079" w:type="dxa"/>
            <w:tcBorders>
              <w:top w:val="single" w:sz="16" w:space="0" w:color="000000"/>
              <w:bottom w:val="single" w:sz="16" w:space="0" w:color="000000"/>
            </w:tcBorders>
            <w:shd w:val="clear" w:color="auto" w:fill="FFFFFF"/>
            <w:vAlign w:val="center"/>
          </w:tcPr>
          <w:p w14:paraId="2B5EFC99" w14:textId="77777777" w:rsidR="000F7F6A" w:rsidRDefault="00952983">
            <w:pPr>
              <w:spacing w:before="40" w:after="40"/>
              <w:ind w:left="100" w:right="100"/>
              <w:jc w:val="center"/>
            </w:pPr>
            <w:r>
              <w:rPr>
                <w:rFonts w:ascii="Arial" w:eastAsia="Arial" w:hAnsi="Arial" w:cs="Arial"/>
                <w:color w:val="111111"/>
                <w:sz w:val="22"/>
                <w:szCs w:val="22"/>
              </w:rPr>
              <w:t>2.51</w:t>
            </w:r>
          </w:p>
        </w:tc>
      </w:tr>
      <w:tr w:rsidR="000F7F6A" w14:paraId="32519540"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7CA8D77"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30A1FF73"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51D1A3EF" w14:textId="77777777" w:rsidR="000F7F6A" w:rsidRDefault="00952983">
            <w:pPr>
              <w:spacing w:before="40" w:after="40"/>
              <w:ind w:left="100" w:right="100"/>
              <w:jc w:val="center"/>
            </w:pPr>
            <w:r>
              <w:rPr>
                <w:rFonts w:ascii="Arial" w:eastAsia="Arial" w:hAnsi="Arial" w:cs="Arial"/>
                <w:color w:val="111111"/>
                <w:sz w:val="22"/>
                <w:szCs w:val="22"/>
              </w:rPr>
              <w:t xml:space="preserve"> 0.81</w:t>
            </w:r>
          </w:p>
        </w:tc>
        <w:tc>
          <w:tcPr>
            <w:tcW w:w="1080" w:type="dxa"/>
            <w:tcBorders>
              <w:top w:val="single" w:sz="16" w:space="0" w:color="000000"/>
              <w:bottom w:val="single" w:sz="16" w:space="0" w:color="000000"/>
            </w:tcBorders>
            <w:shd w:val="clear" w:color="auto" w:fill="FFFFFF"/>
            <w:vAlign w:val="center"/>
          </w:tcPr>
          <w:p w14:paraId="728AFAC3" w14:textId="77777777" w:rsidR="000F7F6A" w:rsidRDefault="00952983">
            <w:pPr>
              <w:spacing w:before="40" w:after="40"/>
              <w:ind w:left="100" w:right="100"/>
              <w:jc w:val="center"/>
            </w:pPr>
            <w:r>
              <w:rPr>
                <w:rFonts w:ascii="Arial" w:eastAsia="Arial" w:hAnsi="Arial" w:cs="Arial"/>
                <w:color w:val="111111"/>
                <w:sz w:val="22"/>
                <w:szCs w:val="22"/>
              </w:rPr>
              <w:t xml:space="preserve"> 0.68</w:t>
            </w:r>
          </w:p>
        </w:tc>
        <w:tc>
          <w:tcPr>
            <w:tcW w:w="1080" w:type="dxa"/>
            <w:tcBorders>
              <w:top w:val="single" w:sz="16" w:space="0" w:color="000000"/>
              <w:bottom w:val="single" w:sz="16" w:space="0" w:color="000000"/>
            </w:tcBorders>
            <w:shd w:val="clear" w:color="auto" w:fill="FFFFFF"/>
            <w:vAlign w:val="center"/>
          </w:tcPr>
          <w:p w14:paraId="58C2FD1B" w14:textId="77777777" w:rsidR="000F7F6A" w:rsidRDefault="00952983">
            <w:pPr>
              <w:spacing w:before="40" w:after="40"/>
              <w:ind w:left="100" w:right="100"/>
              <w:jc w:val="center"/>
            </w:pPr>
            <w:r>
              <w:rPr>
                <w:rFonts w:ascii="Arial" w:eastAsia="Arial" w:hAnsi="Arial" w:cs="Arial"/>
                <w:color w:val="111111"/>
                <w:sz w:val="22"/>
                <w:szCs w:val="22"/>
              </w:rPr>
              <w:t xml:space="preserve"> 0.77</w:t>
            </w:r>
          </w:p>
        </w:tc>
        <w:tc>
          <w:tcPr>
            <w:tcW w:w="1080" w:type="dxa"/>
            <w:tcBorders>
              <w:top w:val="single" w:sz="16" w:space="0" w:color="000000"/>
              <w:bottom w:val="single" w:sz="16" w:space="0" w:color="000000"/>
            </w:tcBorders>
            <w:shd w:val="clear" w:color="auto" w:fill="FFFFFF"/>
            <w:vAlign w:val="center"/>
          </w:tcPr>
          <w:p w14:paraId="4B74CECC" w14:textId="77777777" w:rsidR="000F7F6A" w:rsidRDefault="00952983">
            <w:pPr>
              <w:spacing w:before="40" w:after="40"/>
              <w:ind w:left="100" w:right="100"/>
              <w:jc w:val="center"/>
            </w:pPr>
            <w:r>
              <w:rPr>
                <w:rFonts w:ascii="Arial" w:eastAsia="Arial" w:hAnsi="Arial" w:cs="Arial"/>
                <w:color w:val="111111"/>
                <w:sz w:val="22"/>
                <w:szCs w:val="22"/>
              </w:rPr>
              <w:t>3.99</w:t>
            </w:r>
          </w:p>
        </w:tc>
        <w:tc>
          <w:tcPr>
            <w:tcW w:w="1080" w:type="dxa"/>
            <w:tcBorders>
              <w:top w:val="single" w:sz="16" w:space="0" w:color="000000"/>
              <w:bottom w:val="single" w:sz="16" w:space="0" w:color="000000"/>
            </w:tcBorders>
            <w:shd w:val="clear" w:color="auto" w:fill="FFFFFF"/>
            <w:vAlign w:val="center"/>
          </w:tcPr>
          <w:p w14:paraId="5B2E47B7" w14:textId="77777777" w:rsidR="000F7F6A" w:rsidRDefault="00952983">
            <w:pPr>
              <w:spacing w:before="40" w:after="40"/>
              <w:ind w:left="100" w:right="100"/>
              <w:jc w:val="center"/>
            </w:pPr>
            <w:r>
              <w:rPr>
                <w:rFonts w:ascii="Arial" w:eastAsia="Arial" w:hAnsi="Arial" w:cs="Arial"/>
                <w:color w:val="111111"/>
                <w:sz w:val="22"/>
                <w:szCs w:val="22"/>
              </w:rPr>
              <w:t>3.12</w:t>
            </w:r>
          </w:p>
        </w:tc>
        <w:tc>
          <w:tcPr>
            <w:tcW w:w="1079" w:type="dxa"/>
            <w:tcBorders>
              <w:top w:val="single" w:sz="16" w:space="0" w:color="000000"/>
              <w:bottom w:val="single" w:sz="16" w:space="0" w:color="000000"/>
            </w:tcBorders>
            <w:shd w:val="clear" w:color="auto" w:fill="FFFFFF"/>
            <w:vAlign w:val="center"/>
          </w:tcPr>
          <w:p w14:paraId="19822EFE" w14:textId="77777777" w:rsidR="000F7F6A" w:rsidRDefault="00952983">
            <w:pPr>
              <w:spacing w:before="40" w:after="40"/>
              <w:ind w:left="100" w:right="100"/>
              <w:jc w:val="center"/>
            </w:pPr>
            <w:r>
              <w:rPr>
                <w:rFonts w:ascii="Arial" w:eastAsia="Arial" w:hAnsi="Arial" w:cs="Arial"/>
                <w:color w:val="111111"/>
                <w:sz w:val="22"/>
                <w:szCs w:val="22"/>
              </w:rPr>
              <w:t>2.39</w:t>
            </w:r>
          </w:p>
        </w:tc>
      </w:tr>
      <w:tr w:rsidR="000F7F6A" w14:paraId="538DC9C5"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ED77CF5"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2BE1B280"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0C8996C5" w14:textId="77777777" w:rsidR="000F7F6A" w:rsidRDefault="00952983">
            <w:pPr>
              <w:spacing w:before="40" w:after="40"/>
              <w:ind w:left="100" w:right="100"/>
              <w:jc w:val="center"/>
            </w:pPr>
            <w:r>
              <w:rPr>
                <w:rFonts w:ascii="Arial" w:eastAsia="Arial" w:hAnsi="Arial" w:cs="Arial"/>
                <w:color w:val="111111"/>
                <w:sz w:val="22"/>
                <w:szCs w:val="22"/>
              </w:rPr>
              <w:t xml:space="preserve"> 1.11</w:t>
            </w:r>
          </w:p>
        </w:tc>
        <w:tc>
          <w:tcPr>
            <w:tcW w:w="1080" w:type="dxa"/>
            <w:tcBorders>
              <w:top w:val="single" w:sz="16" w:space="0" w:color="000000"/>
              <w:bottom w:val="single" w:sz="16" w:space="0" w:color="000000"/>
            </w:tcBorders>
            <w:shd w:val="clear" w:color="auto" w:fill="FFFFFF"/>
            <w:vAlign w:val="center"/>
          </w:tcPr>
          <w:p w14:paraId="1569B4DF" w14:textId="77777777" w:rsidR="000F7F6A" w:rsidRDefault="00952983">
            <w:pPr>
              <w:spacing w:before="40" w:after="40"/>
              <w:ind w:left="100" w:right="100"/>
              <w:jc w:val="center"/>
            </w:pPr>
            <w:r>
              <w:rPr>
                <w:rFonts w:ascii="Arial" w:eastAsia="Arial" w:hAnsi="Arial" w:cs="Arial"/>
                <w:color w:val="111111"/>
                <w:sz w:val="22"/>
                <w:szCs w:val="22"/>
              </w:rPr>
              <w:t xml:space="preserve"> 2.98</w:t>
            </w:r>
          </w:p>
        </w:tc>
        <w:tc>
          <w:tcPr>
            <w:tcW w:w="1080" w:type="dxa"/>
            <w:tcBorders>
              <w:top w:val="single" w:sz="16" w:space="0" w:color="000000"/>
              <w:bottom w:val="single" w:sz="16" w:space="0" w:color="000000"/>
            </w:tcBorders>
            <w:shd w:val="clear" w:color="auto" w:fill="FFFFFF"/>
            <w:vAlign w:val="center"/>
          </w:tcPr>
          <w:p w14:paraId="134C966C" w14:textId="77777777" w:rsidR="000F7F6A" w:rsidRDefault="00952983">
            <w:pPr>
              <w:spacing w:before="40" w:after="40"/>
              <w:ind w:left="100" w:right="100"/>
              <w:jc w:val="center"/>
            </w:pPr>
            <w:r>
              <w:rPr>
                <w:rFonts w:ascii="Arial" w:eastAsia="Arial" w:hAnsi="Arial" w:cs="Arial"/>
                <w:color w:val="111111"/>
                <w:sz w:val="22"/>
                <w:szCs w:val="22"/>
              </w:rPr>
              <w:t xml:space="preserve"> 4.41</w:t>
            </w:r>
          </w:p>
        </w:tc>
        <w:tc>
          <w:tcPr>
            <w:tcW w:w="1080" w:type="dxa"/>
            <w:tcBorders>
              <w:top w:val="single" w:sz="16" w:space="0" w:color="000000"/>
              <w:bottom w:val="single" w:sz="16" w:space="0" w:color="000000"/>
            </w:tcBorders>
            <w:shd w:val="clear" w:color="auto" w:fill="FFFFFF"/>
            <w:vAlign w:val="center"/>
          </w:tcPr>
          <w:p w14:paraId="7C3364AE" w14:textId="77777777" w:rsidR="000F7F6A" w:rsidRDefault="00952983">
            <w:pPr>
              <w:spacing w:before="40" w:after="40"/>
              <w:ind w:left="100" w:right="100"/>
              <w:jc w:val="center"/>
            </w:pPr>
            <w:r>
              <w:rPr>
                <w:rFonts w:ascii="Arial" w:eastAsia="Arial" w:hAnsi="Arial" w:cs="Arial"/>
                <w:color w:val="111111"/>
                <w:sz w:val="22"/>
                <w:szCs w:val="22"/>
              </w:rPr>
              <w:t>4.72</w:t>
            </w:r>
          </w:p>
        </w:tc>
        <w:tc>
          <w:tcPr>
            <w:tcW w:w="1080" w:type="dxa"/>
            <w:tcBorders>
              <w:top w:val="single" w:sz="16" w:space="0" w:color="000000"/>
              <w:bottom w:val="single" w:sz="16" w:space="0" w:color="000000"/>
            </w:tcBorders>
            <w:shd w:val="clear" w:color="auto" w:fill="FFFFFF"/>
            <w:vAlign w:val="center"/>
          </w:tcPr>
          <w:p w14:paraId="5AAA50EF" w14:textId="77777777" w:rsidR="000F7F6A" w:rsidRDefault="00952983">
            <w:pPr>
              <w:spacing w:before="40" w:after="40"/>
              <w:ind w:left="100" w:right="100"/>
              <w:jc w:val="center"/>
            </w:pPr>
            <w:r>
              <w:rPr>
                <w:rFonts w:ascii="Arial" w:eastAsia="Arial" w:hAnsi="Arial" w:cs="Arial"/>
                <w:color w:val="111111"/>
                <w:sz w:val="22"/>
                <w:szCs w:val="22"/>
              </w:rPr>
              <w:t>3.38</w:t>
            </w:r>
          </w:p>
        </w:tc>
        <w:tc>
          <w:tcPr>
            <w:tcW w:w="1079" w:type="dxa"/>
            <w:tcBorders>
              <w:top w:val="single" w:sz="16" w:space="0" w:color="000000"/>
              <w:bottom w:val="single" w:sz="16" w:space="0" w:color="000000"/>
            </w:tcBorders>
            <w:shd w:val="clear" w:color="auto" w:fill="FFFFFF"/>
            <w:vAlign w:val="center"/>
          </w:tcPr>
          <w:p w14:paraId="52EFC60D" w14:textId="77777777" w:rsidR="000F7F6A" w:rsidRDefault="00952983">
            <w:pPr>
              <w:spacing w:before="40" w:after="40"/>
              <w:ind w:left="100" w:right="100"/>
              <w:jc w:val="center"/>
            </w:pPr>
            <w:r>
              <w:rPr>
                <w:rFonts w:ascii="Arial" w:eastAsia="Arial" w:hAnsi="Arial" w:cs="Arial"/>
                <w:color w:val="111111"/>
                <w:sz w:val="22"/>
                <w:szCs w:val="22"/>
              </w:rPr>
              <w:t>2.51</w:t>
            </w:r>
          </w:p>
        </w:tc>
      </w:tr>
      <w:tr w:rsidR="000F7F6A" w14:paraId="17700EC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1827DBC"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061E4FBF"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53E5F993" w14:textId="77777777" w:rsidR="000F7F6A" w:rsidRDefault="00952983">
            <w:pPr>
              <w:spacing w:before="40" w:after="40"/>
              <w:ind w:left="100" w:right="100"/>
              <w:jc w:val="center"/>
            </w:pPr>
            <w:r>
              <w:rPr>
                <w:rFonts w:ascii="Arial" w:eastAsia="Arial" w:hAnsi="Arial" w:cs="Arial"/>
                <w:color w:val="111111"/>
                <w:sz w:val="22"/>
                <w:szCs w:val="22"/>
              </w:rPr>
              <w:t xml:space="preserve"> 0.72</w:t>
            </w:r>
          </w:p>
        </w:tc>
        <w:tc>
          <w:tcPr>
            <w:tcW w:w="1080" w:type="dxa"/>
            <w:tcBorders>
              <w:top w:val="single" w:sz="16" w:space="0" w:color="000000"/>
              <w:bottom w:val="single" w:sz="16" w:space="0" w:color="000000"/>
            </w:tcBorders>
            <w:shd w:val="clear" w:color="auto" w:fill="FFFFFF"/>
            <w:vAlign w:val="center"/>
          </w:tcPr>
          <w:p w14:paraId="38A461AA" w14:textId="77777777" w:rsidR="000F7F6A" w:rsidRDefault="00952983">
            <w:pPr>
              <w:spacing w:before="40" w:after="40"/>
              <w:ind w:left="100" w:right="100"/>
              <w:jc w:val="center"/>
            </w:pPr>
            <w:r>
              <w:rPr>
                <w:rFonts w:ascii="Arial" w:eastAsia="Arial" w:hAnsi="Arial" w:cs="Arial"/>
                <w:color w:val="111111"/>
                <w:sz w:val="22"/>
                <w:szCs w:val="22"/>
              </w:rPr>
              <w:t xml:space="preserve"> 2.06</w:t>
            </w:r>
          </w:p>
        </w:tc>
        <w:tc>
          <w:tcPr>
            <w:tcW w:w="1080" w:type="dxa"/>
            <w:tcBorders>
              <w:top w:val="single" w:sz="16" w:space="0" w:color="000000"/>
              <w:bottom w:val="single" w:sz="16" w:space="0" w:color="000000"/>
            </w:tcBorders>
            <w:shd w:val="clear" w:color="auto" w:fill="FFFFFF"/>
            <w:vAlign w:val="center"/>
          </w:tcPr>
          <w:p w14:paraId="15438882" w14:textId="77777777" w:rsidR="000F7F6A" w:rsidRDefault="00952983">
            <w:pPr>
              <w:spacing w:before="40" w:after="40"/>
              <w:ind w:left="100" w:right="100"/>
              <w:jc w:val="center"/>
            </w:pPr>
            <w:r>
              <w:rPr>
                <w:rFonts w:ascii="Arial" w:eastAsia="Arial" w:hAnsi="Arial" w:cs="Arial"/>
                <w:color w:val="111111"/>
                <w:sz w:val="22"/>
                <w:szCs w:val="22"/>
              </w:rPr>
              <w:t xml:space="preserve"> 4.80</w:t>
            </w:r>
          </w:p>
        </w:tc>
        <w:tc>
          <w:tcPr>
            <w:tcW w:w="1080" w:type="dxa"/>
            <w:tcBorders>
              <w:top w:val="single" w:sz="16" w:space="0" w:color="000000"/>
              <w:bottom w:val="single" w:sz="16" w:space="0" w:color="000000"/>
            </w:tcBorders>
            <w:shd w:val="clear" w:color="auto" w:fill="FFFFFF"/>
            <w:vAlign w:val="center"/>
          </w:tcPr>
          <w:p w14:paraId="5AD89D38" w14:textId="77777777" w:rsidR="000F7F6A" w:rsidRDefault="00952983">
            <w:pPr>
              <w:spacing w:before="40" w:after="40"/>
              <w:ind w:left="100" w:right="100"/>
              <w:jc w:val="center"/>
            </w:pPr>
            <w:r>
              <w:rPr>
                <w:rFonts w:ascii="Arial" w:eastAsia="Arial" w:hAnsi="Arial" w:cs="Arial"/>
                <w:color w:val="111111"/>
                <w:sz w:val="22"/>
                <w:szCs w:val="22"/>
              </w:rPr>
              <w:t>4.16</w:t>
            </w:r>
          </w:p>
        </w:tc>
        <w:tc>
          <w:tcPr>
            <w:tcW w:w="1080" w:type="dxa"/>
            <w:tcBorders>
              <w:top w:val="single" w:sz="16" w:space="0" w:color="000000"/>
              <w:bottom w:val="single" w:sz="16" w:space="0" w:color="000000"/>
            </w:tcBorders>
            <w:shd w:val="clear" w:color="auto" w:fill="FFFFFF"/>
            <w:vAlign w:val="center"/>
          </w:tcPr>
          <w:p w14:paraId="43145DD0" w14:textId="77777777" w:rsidR="000F7F6A" w:rsidRDefault="00952983">
            <w:pPr>
              <w:spacing w:before="40" w:after="40"/>
              <w:ind w:left="100" w:right="100"/>
              <w:jc w:val="center"/>
            </w:pPr>
            <w:r>
              <w:rPr>
                <w:rFonts w:ascii="Arial" w:eastAsia="Arial" w:hAnsi="Arial" w:cs="Arial"/>
                <w:color w:val="111111"/>
                <w:sz w:val="22"/>
                <w:szCs w:val="22"/>
              </w:rPr>
              <w:t>3.01</w:t>
            </w:r>
          </w:p>
        </w:tc>
        <w:tc>
          <w:tcPr>
            <w:tcW w:w="1079" w:type="dxa"/>
            <w:tcBorders>
              <w:top w:val="single" w:sz="16" w:space="0" w:color="000000"/>
              <w:bottom w:val="single" w:sz="16" w:space="0" w:color="000000"/>
            </w:tcBorders>
            <w:shd w:val="clear" w:color="auto" w:fill="FFFFFF"/>
            <w:vAlign w:val="center"/>
          </w:tcPr>
          <w:p w14:paraId="7F5FC0B0" w14:textId="77777777" w:rsidR="000F7F6A" w:rsidRDefault="00952983">
            <w:pPr>
              <w:spacing w:before="40" w:after="40"/>
              <w:ind w:left="100" w:right="100"/>
              <w:jc w:val="center"/>
            </w:pPr>
            <w:r>
              <w:rPr>
                <w:rFonts w:ascii="Arial" w:eastAsia="Arial" w:hAnsi="Arial" w:cs="Arial"/>
                <w:color w:val="111111"/>
                <w:sz w:val="22"/>
                <w:szCs w:val="22"/>
              </w:rPr>
              <w:t>2.33</w:t>
            </w:r>
          </w:p>
        </w:tc>
      </w:tr>
      <w:tr w:rsidR="000F7F6A" w14:paraId="412F2C0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40F2F4D4"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43A74660"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0343B728" w14:textId="77777777" w:rsidR="000F7F6A" w:rsidRDefault="00952983">
            <w:pPr>
              <w:spacing w:before="40" w:after="40"/>
              <w:ind w:left="100" w:right="100"/>
              <w:jc w:val="center"/>
            </w:pPr>
            <w:r>
              <w:rPr>
                <w:rFonts w:ascii="Arial" w:eastAsia="Arial" w:hAnsi="Arial" w:cs="Arial"/>
                <w:color w:val="111111"/>
                <w:sz w:val="22"/>
                <w:szCs w:val="22"/>
              </w:rPr>
              <w:t xml:space="preserve"> 1.15</w:t>
            </w:r>
          </w:p>
        </w:tc>
        <w:tc>
          <w:tcPr>
            <w:tcW w:w="1080" w:type="dxa"/>
            <w:tcBorders>
              <w:top w:val="single" w:sz="16" w:space="0" w:color="000000"/>
              <w:bottom w:val="single" w:sz="16" w:space="0" w:color="000000"/>
            </w:tcBorders>
            <w:shd w:val="clear" w:color="auto" w:fill="FFFFFF"/>
            <w:vAlign w:val="center"/>
          </w:tcPr>
          <w:p w14:paraId="57D62AAF" w14:textId="77777777" w:rsidR="000F7F6A" w:rsidRDefault="00952983">
            <w:pPr>
              <w:spacing w:before="40" w:after="40"/>
              <w:ind w:left="100" w:right="100"/>
              <w:jc w:val="center"/>
            </w:pPr>
            <w:r>
              <w:rPr>
                <w:rFonts w:ascii="Arial" w:eastAsia="Arial" w:hAnsi="Arial" w:cs="Arial"/>
                <w:color w:val="111111"/>
                <w:sz w:val="22"/>
                <w:szCs w:val="22"/>
              </w:rPr>
              <w:t xml:space="preserve"> 3.84</w:t>
            </w:r>
          </w:p>
        </w:tc>
        <w:tc>
          <w:tcPr>
            <w:tcW w:w="1080" w:type="dxa"/>
            <w:tcBorders>
              <w:top w:val="single" w:sz="16" w:space="0" w:color="000000"/>
              <w:bottom w:val="single" w:sz="16" w:space="0" w:color="000000"/>
            </w:tcBorders>
            <w:shd w:val="clear" w:color="auto" w:fill="FFFFFF"/>
            <w:vAlign w:val="center"/>
          </w:tcPr>
          <w:p w14:paraId="4E305B69" w14:textId="77777777" w:rsidR="000F7F6A" w:rsidRDefault="00952983">
            <w:pPr>
              <w:spacing w:before="40" w:after="40"/>
              <w:ind w:left="100" w:right="100"/>
              <w:jc w:val="center"/>
            </w:pPr>
            <w:r>
              <w:rPr>
                <w:rFonts w:ascii="Arial" w:eastAsia="Arial" w:hAnsi="Arial" w:cs="Arial"/>
                <w:color w:val="111111"/>
                <w:sz w:val="22"/>
                <w:szCs w:val="22"/>
              </w:rPr>
              <w:t xml:space="preserve"> 8.63</w:t>
            </w:r>
          </w:p>
        </w:tc>
        <w:tc>
          <w:tcPr>
            <w:tcW w:w="1080" w:type="dxa"/>
            <w:tcBorders>
              <w:top w:val="single" w:sz="16" w:space="0" w:color="000000"/>
              <w:bottom w:val="single" w:sz="16" w:space="0" w:color="000000"/>
            </w:tcBorders>
            <w:shd w:val="clear" w:color="auto" w:fill="FFFFFF"/>
            <w:vAlign w:val="center"/>
          </w:tcPr>
          <w:p w14:paraId="302FA1D6" w14:textId="77777777" w:rsidR="000F7F6A" w:rsidRDefault="00952983">
            <w:pPr>
              <w:spacing w:before="40" w:after="40"/>
              <w:ind w:left="100" w:right="100"/>
              <w:jc w:val="center"/>
            </w:pPr>
            <w:r>
              <w:rPr>
                <w:rFonts w:ascii="Arial" w:eastAsia="Arial" w:hAnsi="Arial" w:cs="Arial"/>
                <w:color w:val="111111"/>
                <w:sz w:val="22"/>
                <w:szCs w:val="22"/>
              </w:rPr>
              <w:t>3.94</w:t>
            </w:r>
          </w:p>
        </w:tc>
        <w:tc>
          <w:tcPr>
            <w:tcW w:w="1080" w:type="dxa"/>
            <w:tcBorders>
              <w:top w:val="single" w:sz="16" w:space="0" w:color="000000"/>
              <w:bottom w:val="single" w:sz="16" w:space="0" w:color="000000"/>
            </w:tcBorders>
            <w:shd w:val="clear" w:color="auto" w:fill="FFFFFF"/>
            <w:vAlign w:val="center"/>
          </w:tcPr>
          <w:p w14:paraId="2E606EA7" w14:textId="77777777" w:rsidR="000F7F6A" w:rsidRDefault="00952983">
            <w:pPr>
              <w:spacing w:before="40" w:after="40"/>
              <w:ind w:left="100" w:right="100"/>
              <w:jc w:val="center"/>
            </w:pPr>
            <w:r>
              <w:rPr>
                <w:rFonts w:ascii="Arial" w:eastAsia="Arial" w:hAnsi="Arial" w:cs="Arial"/>
                <w:color w:val="111111"/>
                <w:sz w:val="22"/>
                <w:szCs w:val="22"/>
              </w:rPr>
              <w:t>2.90</w:t>
            </w:r>
          </w:p>
        </w:tc>
        <w:tc>
          <w:tcPr>
            <w:tcW w:w="1079" w:type="dxa"/>
            <w:tcBorders>
              <w:top w:val="single" w:sz="16" w:space="0" w:color="000000"/>
              <w:bottom w:val="single" w:sz="16" w:space="0" w:color="000000"/>
            </w:tcBorders>
            <w:shd w:val="clear" w:color="auto" w:fill="FFFFFF"/>
            <w:vAlign w:val="center"/>
          </w:tcPr>
          <w:p w14:paraId="4481C353" w14:textId="77777777" w:rsidR="000F7F6A" w:rsidRDefault="00952983">
            <w:pPr>
              <w:spacing w:before="40" w:after="40"/>
              <w:ind w:left="100" w:right="100"/>
              <w:jc w:val="center"/>
            </w:pPr>
            <w:r>
              <w:rPr>
                <w:rFonts w:ascii="Arial" w:eastAsia="Arial" w:hAnsi="Arial" w:cs="Arial"/>
                <w:color w:val="111111"/>
                <w:sz w:val="22"/>
                <w:szCs w:val="22"/>
              </w:rPr>
              <w:t>2.26</w:t>
            </w:r>
          </w:p>
        </w:tc>
      </w:tr>
      <w:tr w:rsidR="000F7F6A" w14:paraId="599A595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49B80EEF"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3521C83B"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6C0B5E5E" w14:textId="77777777" w:rsidR="000F7F6A" w:rsidRDefault="00952983">
            <w:pPr>
              <w:spacing w:before="40" w:after="40"/>
              <w:ind w:left="100" w:right="100"/>
              <w:jc w:val="center"/>
            </w:pPr>
            <w:r>
              <w:rPr>
                <w:rFonts w:ascii="Arial" w:eastAsia="Arial" w:hAnsi="Arial" w:cs="Arial"/>
                <w:color w:val="111111"/>
                <w:sz w:val="22"/>
                <w:szCs w:val="22"/>
              </w:rPr>
              <w:t xml:space="preserve"> 1.39</w:t>
            </w:r>
          </w:p>
        </w:tc>
        <w:tc>
          <w:tcPr>
            <w:tcW w:w="1080" w:type="dxa"/>
            <w:tcBorders>
              <w:top w:val="single" w:sz="16" w:space="0" w:color="000000"/>
              <w:bottom w:val="single" w:sz="16" w:space="0" w:color="000000"/>
            </w:tcBorders>
            <w:shd w:val="clear" w:color="auto" w:fill="FFFFFF"/>
            <w:vAlign w:val="center"/>
          </w:tcPr>
          <w:p w14:paraId="0B301B50" w14:textId="77777777" w:rsidR="000F7F6A" w:rsidRDefault="00952983">
            <w:pPr>
              <w:spacing w:before="40" w:after="40"/>
              <w:ind w:left="100" w:right="100"/>
              <w:jc w:val="center"/>
            </w:pPr>
            <w:r>
              <w:rPr>
                <w:rFonts w:ascii="Arial" w:eastAsia="Arial" w:hAnsi="Arial" w:cs="Arial"/>
                <w:color w:val="111111"/>
                <w:sz w:val="22"/>
                <w:szCs w:val="22"/>
              </w:rPr>
              <w:t xml:space="preserve"> 2.55</w:t>
            </w:r>
          </w:p>
        </w:tc>
        <w:tc>
          <w:tcPr>
            <w:tcW w:w="1080" w:type="dxa"/>
            <w:tcBorders>
              <w:top w:val="single" w:sz="16" w:space="0" w:color="000000"/>
              <w:bottom w:val="single" w:sz="16" w:space="0" w:color="000000"/>
            </w:tcBorders>
            <w:shd w:val="clear" w:color="auto" w:fill="FFFFFF"/>
            <w:vAlign w:val="center"/>
          </w:tcPr>
          <w:p w14:paraId="4F94738D" w14:textId="77777777" w:rsidR="000F7F6A" w:rsidRDefault="00952983">
            <w:pPr>
              <w:spacing w:before="40" w:after="40"/>
              <w:ind w:left="100" w:right="100"/>
              <w:jc w:val="center"/>
            </w:pPr>
            <w:r>
              <w:rPr>
                <w:rFonts w:ascii="Arial" w:eastAsia="Arial" w:hAnsi="Arial" w:cs="Arial"/>
                <w:color w:val="111111"/>
                <w:sz w:val="22"/>
                <w:szCs w:val="22"/>
              </w:rPr>
              <w:t xml:space="preserve"> 3.05</w:t>
            </w:r>
          </w:p>
        </w:tc>
        <w:tc>
          <w:tcPr>
            <w:tcW w:w="1080" w:type="dxa"/>
            <w:tcBorders>
              <w:top w:val="single" w:sz="16" w:space="0" w:color="000000"/>
              <w:bottom w:val="single" w:sz="16" w:space="0" w:color="000000"/>
            </w:tcBorders>
            <w:shd w:val="clear" w:color="auto" w:fill="FFFFFF"/>
            <w:vAlign w:val="center"/>
          </w:tcPr>
          <w:p w14:paraId="0D21B780" w14:textId="77777777" w:rsidR="000F7F6A" w:rsidRDefault="00952983">
            <w:pPr>
              <w:spacing w:before="40" w:after="40"/>
              <w:ind w:left="100" w:right="100"/>
              <w:jc w:val="center"/>
            </w:pPr>
            <w:r>
              <w:rPr>
                <w:rFonts w:ascii="Arial" w:eastAsia="Arial" w:hAnsi="Arial" w:cs="Arial"/>
                <w:color w:val="111111"/>
                <w:sz w:val="22"/>
                <w:szCs w:val="22"/>
              </w:rPr>
              <w:t>3.68</w:t>
            </w:r>
          </w:p>
        </w:tc>
        <w:tc>
          <w:tcPr>
            <w:tcW w:w="1080" w:type="dxa"/>
            <w:tcBorders>
              <w:top w:val="single" w:sz="16" w:space="0" w:color="000000"/>
              <w:bottom w:val="single" w:sz="16" w:space="0" w:color="000000"/>
            </w:tcBorders>
            <w:shd w:val="clear" w:color="auto" w:fill="FFFFFF"/>
            <w:vAlign w:val="center"/>
          </w:tcPr>
          <w:p w14:paraId="618963B8" w14:textId="77777777" w:rsidR="000F7F6A" w:rsidRDefault="00952983">
            <w:pPr>
              <w:spacing w:before="40" w:after="40"/>
              <w:ind w:left="100" w:right="100"/>
              <w:jc w:val="center"/>
            </w:pPr>
            <w:r>
              <w:rPr>
                <w:rFonts w:ascii="Arial" w:eastAsia="Arial" w:hAnsi="Arial" w:cs="Arial"/>
                <w:color w:val="111111"/>
                <w:sz w:val="22"/>
                <w:szCs w:val="22"/>
              </w:rPr>
              <w:t>2.90</w:t>
            </w:r>
          </w:p>
        </w:tc>
        <w:tc>
          <w:tcPr>
            <w:tcW w:w="1079" w:type="dxa"/>
            <w:tcBorders>
              <w:top w:val="single" w:sz="16" w:space="0" w:color="000000"/>
              <w:bottom w:val="single" w:sz="16" w:space="0" w:color="000000"/>
            </w:tcBorders>
            <w:shd w:val="clear" w:color="auto" w:fill="FFFFFF"/>
            <w:vAlign w:val="center"/>
          </w:tcPr>
          <w:p w14:paraId="6EC368DA" w14:textId="77777777" w:rsidR="000F7F6A" w:rsidRDefault="00952983">
            <w:pPr>
              <w:spacing w:before="40" w:after="40"/>
              <w:ind w:left="100" w:right="100"/>
              <w:jc w:val="center"/>
            </w:pPr>
            <w:r>
              <w:rPr>
                <w:rFonts w:ascii="Arial" w:eastAsia="Arial" w:hAnsi="Arial" w:cs="Arial"/>
                <w:color w:val="111111"/>
                <w:sz w:val="22"/>
                <w:szCs w:val="22"/>
              </w:rPr>
              <w:t>2.22</w:t>
            </w:r>
          </w:p>
        </w:tc>
      </w:tr>
      <w:tr w:rsidR="000F7F6A" w14:paraId="34822DD6"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1618ECF"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66B063E1"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17F48FEC" w14:textId="77777777" w:rsidR="000F7F6A" w:rsidRDefault="00952983">
            <w:pPr>
              <w:spacing w:before="40" w:after="40"/>
              <w:ind w:left="100" w:right="100"/>
              <w:jc w:val="center"/>
            </w:pPr>
            <w:r>
              <w:rPr>
                <w:rFonts w:ascii="Arial" w:eastAsia="Arial" w:hAnsi="Arial" w:cs="Arial"/>
                <w:color w:val="111111"/>
                <w:sz w:val="22"/>
                <w:szCs w:val="22"/>
              </w:rPr>
              <w:t xml:space="preserve"> 0.22</w:t>
            </w:r>
          </w:p>
        </w:tc>
        <w:tc>
          <w:tcPr>
            <w:tcW w:w="1080" w:type="dxa"/>
            <w:tcBorders>
              <w:top w:val="single" w:sz="16" w:space="0" w:color="000000"/>
              <w:bottom w:val="single" w:sz="16" w:space="0" w:color="000000"/>
            </w:tcBorders>
            <w:shd w:val="clear" w:color="auto" w:fill="FFFFFF"/>
            <w:vAlign w:val="center"/>
          </w:tcPr>
          <w:p w14:paraId="1C421AC4" w14:textId="77777777" w:rsidR="000F7F6A" w:rsidRDefault="00952983">
            <w:pPr>
              <w:spacing w:before="40" w:after="40"/>
              <w:ind w:left="100" w:right="100"/>
              <w:jc w:val="center"/>
            </w:pPr>
            <w:r>
              <w:rPr>
                <w:rFonts w:ascii="Arial" w:eastAsia="Arial" w:hAnsi="Arial" w:cs="Arial"/>
                <w:color w:val="111111"/>
                <w:sz w:val="22"/>
                <w:szCs w:val="22"/>
              </w:rPr>
              <w:t xml:space="preserve"> 0.67</w:t>
            </w:r>
          </w:p>
        </w:tc>
        <w:tc>
          <w:tcPr>
            <w:tcW w:w="1080" w:type="dxa"/>
            <w:tcBorders>
              <w:top w:val="single" w:sz="16" w:space="0" w:color="000000"/>
              <w:bottom w:val="single" w:sz="16" w:space="0" w:color="000000"/>
            </w:tcBorders>
            <w:shd w:val="clear" w:color="auto" w:fill="FFFFFF"/>
            <w:vAlign w:val="center"/>
          </w:tcPr>
          <w:p w14:paraId="2F09965D" w14:textId="77777777" w:rsidR="000F7F6A" w:rsidRDefault="00952983">
            <w:pPr>
              <w:spacing w:before="40" w:after="40"/>
              <w:ind w:left="100" w:right="100"/>
              <w:jc w:val="center"/>
            </w:pPr>
            <w:r>
              <w:rPr>
                <w:rFonts w:ascii="Arial" w:eastAsia="Arial" w:hAnsi="Arial" w:cs="Arial"/>
                <w:color w:val="111111"/>
                <w:sz w:val="22"/>
                <w:szCs w:val="22"/>
              </w:rPr>
              <w:t xml:space="preserve"> 1.09</w:t>
            </w:r>
          </w:p>
        </w:tc>
        <w:tc>
          <w:tcPr>
            <w:tcW w:w="1080" w:type="dxa"/>
            <w:tcBorders>
              <w:top w:val="single" w:sz="16" w:space="0" w:color="000000"/>
              <w:bottom w:val="single" w:sz="16" w:space="0" w:color="000000"/>
            </w:tcBorders>
            <w:shd w:val="clear" w:color="auto" w:fill="FFFFFF"/>
            <w:vAlign w:val="center"/>
          </w:tcPr>
          <w:p w14:paraId="1DDA3A5D" w14:textId="77777777" w:rsidR="000F7F6A" w:rsidRDefault="00952983">
            <w:pPr>
              <w:spacing w:before="40" w:after="40"/>
              <w:ind w:left="100" w:right="100"/>
              <w:jc w:val="center"/>
            </w:pPr>
            <w:r>
              <w:rPr>
                <w:rFonts w:ascii="Arial" w:eastAsia="Arial" w:hAnsi="Arial" w:cs="Arial"/>
                <w:color w:val="111111"/>
                <w:sz w:val="22"/>
                <w:szCs w:val="22"/>
              </w:rPr>
              <w:t>3.87</w:t>
            </w:r>
          </w:p>
        </w:tc>
        <w:tc>
          <w:tcPr>
            <w:tcW w:w="1080" w:type="dxa"/>
            <w:tcBorders>
              <w:top w:val="single" w:sz="16" w:space="0" w:color="000000"/>
              <w:bottom w:val="single" w:sz="16" w:space="0" w:color="000000"/>
            </w:tcBorders>
            <w:shd w:val="clear" w:color="auto" w:fill="FFFFFF"/>
            <w:vAlign w:val="center"/>
          </w:tcPr>
          <w:p w14:paraId="57FDCDB0" w14:textId="77777777" w:rsidR="000F7F6A" w:rsidRDefault="00952983">
            <w:pPr>
              <w:spacing w:before="40" w:after="40"/>
              <w:ind w:left="100" w:right="100"/>
              <w:jc w:val="center"/>
            </w:pPr>
            <w:r>
              <w:rPr>
                <w:rFonts w:ascii="Arial" w:eastAsia="Arial" w:hAnsi="Arial" w:cs="Arial"/>
                <w:color w:val="111111"/>
                <w:sz w:val="22"/>
                <w:szCs w:val="22"/>
              </w:rPr>
              <w:t>2.88</w:t>
            </w:r>
          </w:p>
        </w:tc>
        <w:tc>
          <w:tcPr>
            <w:tcW w:w="1079" w:type="dxa"/>
            <w:tcBorders>
              <w:top w:val="single" w:sz="16" w:space="0" w:color="000000"/>
              <w:bottom w:val="single" w:sz="16" w:space="0" w:color="000000"/>
            </w:tcBorders>
            <w:shd w:val="clear" w:color="auto" w:fill="FFFFFF"/>
            <w:vAlign w:val="center"/>
          </w:tcPr>
          <w:p w14:paraId="3EC8B2DA" w14:textId="77777777" w:rsidR="000F7F6A" w:rsidRDefault="00952983">
            <w:pPr>
              <w:spacing w:before="40" w:after="40"/>
              <w:ind w:left="100" w:right="100"/>
              <w:jc w:val="center"/>
            </w:pPr>
            <w:r>
              <w:rPr>
                <w:rFonts w:ascii="Arial" w:eastAsia="Arial" w:hAnsi="Arial" w:cs="Arial"/>
                <w:color w:val="111111"/>
                <w:sz w:val="22"/>
                <w:szCs w:val="22"/>
              </w:rPr>
              <w:t>2.32</w:t>
            </w:r>
          </w:p>
        </w:tc>
      </w:tr>
      <w:tr w:rsidR="000F7F6A" w14:paraId="4D772F8C"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1254004"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0D1581B1"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0D1D2B89" w14:textId="77777777" w:rsidR="000F7F6A" w:rsidRDefault="00952983">
            <w:pPr>
              <w:spacing w:before="40" w:after="40"/>
              <w:ind w:left="100" w:right="100"/>
              <w:jc w:val="center"/>
            </w:pPr>
            <w:r>
              <w:rPr>
                <w:rFonts w:ascii="Arial" w:eastAsia="Arial" w:hAnsi="Arial" w:cs="Arial"/>
                <w:color w:val="111111"/>
                <w:sz w:val="22"/>
                <w:szCs w:val="22"/>
              </w:rPr>
              <w:t xml:space="preserve"> 0.21</w:t>
            </w:r>
          </w:p>
        </w:tc>
        <w:tc>
          <w:tcPr>
            <w:tcW w:w="1080" w:type="dxa"/>
            <w:tcBorders>
              <w:top w:val="single" w:sz="16" w:space="0" w:color="000000"/>
              <w:bottom w:val="single" w:sz="16" w:space="0" w:color="000000"/>
            </w:tcBorders>
            <w:shd w:val="clear" w:color="auto" w:fill="FFFFFF"/>
            <w:vAlign w:val="center"/>
          </w:tcPr>
          <w:p w14:paraId="331BE9A5" w14:textId="77777777" w:rsidR="000F7F6A" w:rsidRDefault="00952983">
            <w:pPr>
              <w:spacing w:before="40" w:after="40"/>
              <w:ind w:left="100" w:right="100"/>
              <w:jc w:val="center"/>
            </w:pPr>
            <w:r>
              <w:rPr>
                <w:rFonts w:ascii="Arial" w:eastAsia="Arial" w:hAnsi="Arial" w:cs="Arial"/>
                <w:color w:val="111111"/>
                <w:sz w:val="22"/>
                <w:szCs w:val="22"/>
              </w:rPr>
              <w:t xml:space="preserve"> 0.79</w:t>
            </w:r>
          </w:p>
        </w:tc>
        <w:tc>
          <w:tcPr>
            <w:tcW w:w="1080" w:type="dxa"/>
            <w:tcBorders>
              <w:top w:val="single" w:sz="16" w:space="0" w:color="000000"/>
              <w:bottom w:val="single" w:sz="16" w:space="0" w:color="000000"/>
            </w:tcBorders>
            <w:shd w:val="clear" w:color="auto" w:fill="FFFFFF"/>
            <w:vAlign w:val="center"/>
          </w:tcPr>
          <w:p w14:paraId="50DF29FB" w14:textId="77777777" w:rsidR="000F7F6A" w:rsidRDefault="00952983">
            <w:pPr>
              <w:spacing w:before="40" w:after="40"/>
              <w:ind w:left="100" w:right="100"/>
              <w:jc w:val="center"/>
            </w:pPr>
            <w:r>
              <w:rPr>
                <w:rFonts w:ascii="Arial" w:eastAsia="Arial" w:hAnsi="Arial" w:cs="Arial"/>
                <w:color w:val="111111"/>
                <w:sz w:val="22"/>
                <w:szCs w:val="22"/>
              </w:rPr>
              <w:t xml:space="preserve"> 1.63</w:t>
            </w:r>
          </w:p>
        </w:tc>
        <w:tc>
          <w:tcPr>
            <w:tcW w:w="1080" w:type="dxa"/>
            <w:tcBorders>
              <w:top w:val="single" w:sz="16" w:space="0" w:color="000000"/>
              <w:bottom w:val="single" w:sz="16" w:space="0" w:color="000000"/>
            </w:tcBorders>
            <w:shd w:val="clear" w:color="auto" w:fill="FFFFFF"/>
            <w:vAlign w:val="center"/>
          </w:tcPr>
          <w:p w14:paraId="1C5A6BDF" w14:textId="77777777" w:rsidR="000F7F6A" w:rsidRDefault="00952983">
            <w:pPr>
              <w:spacing w:before="40" w:after="40"/>
              <w:ind w:left="100" w:right="100"/>
              <w:jc w:val="center"/>
            </w:pPr>
            <w:r>
              <w:rPr>
                <w:rFonts w:ascii="Arial" w:eastAsia="Arial" w:hAnsi="Arial" w:cs="Arial"/>
                <w:color w:val="111111"/>
                <w:sz w:val="22"/>
                <w:szCs w:val="22"/>
              </w:rPr>
              <w:t>2.86</w:t>
            </w:r>
          </w:p>
        </w:tc>
        <w:tc>
          <w:tcPr>
            <w:tcW w:w="1080" w:type="dxa"/>
            <w:tcBorders>
              <w:top w:val="single" w:sz="16" w:space="0" w:color="000000"/>
              <w:bottom w:val="single" w:sz="16" w:space="0" w:color="000000"/>
            </w:tcBorders>
            <w:shd w:val="clear" w:color="auto" w:fill="FFFFFF"/>
            <w:vAlign w:val="center"/>
          </w:tcPr>
          <w:p w14:paraId="53E91889" w14:textId="77777777" w:rsidR="000F7F6A" w:rsidRDefault="00952983">
            <w:pPr>
              <w:spacing w:before="40" w:after="40"/>
              <w:ind w:left="100" w:right="100"/>
              <w:jc w:val="center"/>
            </w:pPr>
            <w:r>
              <w:rPr>
                <w:rFonts w:ascii="Arial" w:eastAsia="Arial" w:hAnsi="Arial" w:cs="Arial"/>
                <w:color w:val="111111"/>
                <w:sz w:val="22"/>
                <w:szCs w:val="22"/>
              </w:rPr>
              <w:t>2.68</w:t>
            </w:r>
          </w:p>
        </w:tc>
        <w:tc>
          <w:tcPr>
            <w:tcW w:w="1079" w:type="dxa"/>
            <w:tcBorders>
              <w:top w:val="single" w:sz="16" w:space="0" w:color="000000"/>
              <w:bottom w:val="single" w:sz="16" w:space="0" w:color="000000"/>
            </w:tcBorders>
            <w:shd w:val="clear" w:color="auto" w:fill="FFFFFF"/>
            <w:vAlign w:val="center"/>
          </w:tcPr>
          <w:p w14:paraId="305F2766" w14:textId="77777777" w:rsidR="000F7F6A" w:rsidRDefault="00952983">
            <w:pPr>
              <w:spacing w:before="40" w:after="40"/>
              <w:ind w:left="100" w:right="100"/>
              <w:jc w:val="center"/>
            </w:pPr>
            <w:r>
              <w:rPr>
                <w:rFonts w:ascii="Arial" w:eastAsia="Arial" w:hAnsi="Arial" w:cs="Arial"/>
                <w:color w:val="111111"/>
                <w:sz w:val="22"/>
                <w:szCs w:val="22"/>
              </w:rPr>
              <w:t>2.19</w:t>
            </w:r>
          </w:p>
        </w:tc>
      </w:tr>
      <w:tr w:rsidR="000F7F6A" w14:paraId="5E7BD8F3"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067F03D"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5E7840F4"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4660C6F4" w14:textId="77777777" w:rsidR="000F7F6A" w:rsidRDefault="00952983">
            <w:pPr>
              <w:spacing w:before="40" w:after="40"/>
              <w:ind w:left="100" w:right="100"/>
              <w:jc w:val="center"/>
            </w:pPr>
            <w:r>
              <w:rPr>
                <w:rFonts w:ascii="Arial" w:eastAsia="Arial" w:hAnsi="Arial" w:cs="Arial"/>
                <w:color w:val="111111"/>
                <w:sz w:val="22"/>
                <w:szCs w:val="22"/>
              </w:rPr>
              <w:t xml:space="preserve"> 0.32</w:t>
            </w:r>
          </w:p>
        </w:tc>
        <w:tc>
          <w:tcPr>
            <w:tcW w:w="1080" w:type="dxa"/>
            <w:tcBorders>
              <w:top w:val="single" w:sz="16" w:space="0" w:color="000000"/>
              <w:bottom w:val="single" w:sz="16" w:space="0" w:color="000000"/>
            </w:tcBorders>
            <w:shd w:val="clear" w:color="auto" w:fill="FFFFFF"/>
            <w:vAlign w:val="center"/>
          </w:tcPr>
          <w:p w14:paraId="09BD5137" w14:textId="77777777" w:rsidR="000F7F6A" w:rsidRDefault="00952983">
            <w:pPr>
              <w:spacing w:before="40" w:after="40"/>
              <w:ind w:left="100" w:right="100"/>
              <w:jc w:val="center"/>
            </w:pPr>
            <w:r>
              <w:rPr>
                <w:rFonts w:ascii="Arial" w:eastAsia="Arial" w:hAnsi="Arial" w:cs="Arial"/>
                <w:color w:val="111111"/>
                <w:sz w:val="22"/>
                <w:szCs w:val="22"/>
              </w:rPr>
              <w:t xml:space="preserve"> 1.65</w:t>
            </w:r>
          </w:p>
        </w:tc>
        <w:tc>
          <w:tcPr>
            <w:tcW w:w="1080" w:type="dxa"/>
            <w:tcBorders>
              <w:top w:val="single" w:sz="16" w:space="0" w:color="000000"/>
              <w:bottom w:val="single" w:sz="16" w:space="0" w:color="000000"/>
            </w:tcBorders>
            <w:shd w:val="clear" w:color="auto" w:fill="FFFFFF"/>
            <w:vAlign w:val="center"/>
          </w:tcPr>
          <w:p w14:paraId="3EE164E7" w14:textId="77777777" w:rsidR="000F7F6A" w:rsidRDefault="00952983">
            <w:pPr>
              <w:spacing w:before="40" w:after="40"/>
              <w:ind w:left="100" w:right="100"/>
              <w:jc w:val="center"/>
            </w:pPr>
            <w:r>
              <w:rPr>
                <w:rFonts w:ascii="Arial" w:eastAsia="Arial" w:hAnsi="Arial" w:cs="Arial"/>
                <w:color w:val="111111"/>
                <w:sz w:val="22"/>
                <w:szCs w:val="22"/>
              </w:rPr>
              <w:t xml:space="preserve"> 3.57</w:t>
            </w:r>
          </w:p>
        </w:tc>
        <w:tc>
          <w:tcPr>
            <w:tcW w:w="1080" w:type="dxa"/>
            <w:tcBorders>
              <w:top w:val="single" w:sz="16" w:space="0" w:color="000000"/>
              <w:bottom w:val="single" w:sz="16" w:space="0" w:color="000000"/>
            </w:tcBorders>
            <w:shd w:val="clear" w:color="auto" w:fill="FFFFFF"/>
            <w:vAlign w:val="center"/>
          </w:tcPr>
          <w:p w14:paraId="67E8B50D" w14:textId="77777777" w:rsidR="000F7F6A" w:rsidRDefault="00952983">
            <w:pPr>
              <w:spacing w:before="40" w:after="40"/>
              <w:ind w:left="100" w:right="100"/>
              <w:jc w:val="center"/>
            </w:pPr>
            <w:r>
              <w:rPr>
                <w:rFonts w:ascii="Arial" w:eastAsia="Arial" w:hAnsi="Arial" w:cs="Arial"/>
                <w:color w:val="111111"/>
                <w:sz w:val="22"/>
                <w:szCs w:val="22"/>
              </w:rPr>
              <w:t>3.72</w:t>
            </w:r>
          </w:p>
        </w:tc>
        <w:tc>
          <w:tcPr>
            <w:tcW w:w="1080" w:type="dxa"/>
            <w:tcBorders>
              <w:top w:val="single" w:sz="16" w:space="0" w:color="000000"/>
              <w:bottom w:val="single" w:sz="16" w:space="0" w:color="000000"/>
            </w:tcBorders>
            <w:shd w:val="clear" w:color="auto" w:fill="FFFFFF"/>
            <w:vAlign w:val="center"/>
          </w:tcPr>
          <w:p w14:paraId="6576AA55" w14:textId="77777777" w:rsidR="000F7F6A" w:rsidRDefault="00952983">
            <w:pPr>
              <w:spacing w:before="40" w:after="40"/>
              <w:ind w:left="100" w:right="100"/>
              <w:jc w:val="center"/>
            </w:pPr>
            <w:r>
              <w:rPr>
                <w:rFonts w:ascii="Arial" w:eastAsia="Arial" w:hAnsi="Arial" w:cs="Arial"/>
                <w:color w:val="111111"/>
                <w:sz w:val="22"/>
                <w:szCs w:val="22"/>
              </w:rPr>
              <w:t>2.58</w:t>
            </w:r>
          </w:p>
        </w:tc>
        <w:tc>
          <w:tcPr>
            <w:tcW w:w="1079" w:type="dxa"/>
            <w:tcBorders>
              <w:top w:val="single" w:sz="16" w:space="0" w:color="000000"/>
              <w:bottom w:val="single" w:sz="16" w:space="0" w:color="000000"/>
            </w:tcBorders>
            <w:shd w:val="clear" w:color="auto" w:fill="FFFFFF"/>
            <w:vAlign w:val="center"/>
          </w:tcPr>
          <w:p w14:paraId="14716D54" w14:textId="77777777" w:rsidR="000F7F6A" w:rsidRDefault="00952983">
            <w:pPr>
              <w:spacing w:before="40" w:after="40"/>
              <w:ind w:left="100" w:right="100"/>
              <w:jc w:val="center"/>
            </w:pPr>
            <w:r>
              <w:rPr>
                <w:rFonts w:ascii="Arial" w:eastAsia="Arial" w:hAnsi="Arial" w:cs="Arial"/>
                <w:color w:val="111111"/>
                <w:sz w:val="22"/>
                <w:szCs w:val="22"/>
              </w:rPr>
              <w:t>2.06</w:t>
            </w:r>
          </w:p>
        </w:tc>
      </w:tr>
      <w:tr w:rsidR="000F7F6A" w14:paraId="27C5B2BD"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03ECD46"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1455DEF5"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3D571F64" w14:textId="77777777" w:rsidR="000F7F6A" w:rsidRDefault="00952983">
            <w:pPr>
              <w:spacing w:before="40" w:after="40"/>
              <w:ind w:left="100" w:right="100"/>
              <w:jc w:val="center"/>
            </w:pPr>
            <w:r>
              <w:rPr>
                <w:rFonts w:ascii="Arial" w:eastAsia="Arial" w:hAnsi="Arial" w:cs="Arial"/>
                <w:color w:val="111111"/>
                <w:sz w:val="22"/>
                <w:szCs w:val="22"/>
              </w:rPr>
              <w:t xml:space="preserve"> 1.02</w:t>
            </w:r>
          </w:p>
        </w:tc>
        <w:tc>
          <w:tcPr>
            <w:tcW w:w="1080" w:type="dxa"/>
            <w:tcBorders>
              <w:top w:val="single" w:sz="16" w:space="0" w:color="000000"/>
              <w:bottom w:val="single" w:sz="16" w:space="0" w:color="000000"/>
            </w:tcBorders>
            <w:shd w:val="clear" w:color="auto" w:fill="FFFFFF"/>
            <w:vAlign w:val="center"/>
          </w:tcPr>
          <w:p w14:paraId="525C169E" w14:textId="77777777" w:rsidR="000F7F6A" w:rsidRDefault="00952983">
            <w:pPr>
              <w:spacing w:before="40" w:after="40"/>
              <w:ind w:left="100" w:right="100"/>
              <w:jc w:val="center"/>
            </w:pPr>
            <w:r>
              <w:rPr>
                <w:rFonts w:ascii="Arial" w:eastAsia="Arial" w:hAnsi="Arial" w:cs="Arial"/>
                <w:color w:val="111111"/>
                <w:sz w:val="22"/>
                <w:szCs w:val="22"/>
              </w:rPr>
              <w:t xml:space="preserve"> 3.82</w:t>
            </w:r>
          </w:p>
        </w:tc>
        <w:tc>
          <w:tcPr>
            <w:tcW w:w="1080" w:type="dxa"/>
            <w:tcBorders>
              <w:top w:val="single" w:sz="16" w:space="0" w:color="000000"/>
              <w:bottom w:val="single" w:sz="16" w:space="0" w:color="000000"/>
            </w:tcBorders>
            <w:shd w:val="clear" w:color="auto" w:fill="FFFFFF"/>
            <w:vAlign w:val="center"/>
          </w:tcPr>
          <w:p w14:paraId="31DC9CB1" w14:textId="77777777" w:rsidR="000F7F6A" w:rsidRDefault="00952983">
            <w:pPr>
              <w:spacing w:before="40" w:after="40"/>
              <w:ind w:left="100" w:right="100"/>
              <w:jc w:val="center"/>
            </w:pPr>
            <w:r>
              <w:rPr>
                <w:rFonts w:ascii="Arial" w:eastAsia="Arial" w:hAnsi="Arial" w:cs="Arial"/>
                <w:color w:val="111111"/>
                <w:sz w:val="22"/>
                <w:szCs w:val="22"/>
              </w:rPr>
              <w:t xml:space="preserve"> 6.17</w:t>
            </w:r>
          </w:p>
        </w:tc>
        <w:tc>
          <w:tcPr>
            <w:tcW w:w="1080" w:type="dxa"/>
            <w:tcBorders>
              <w:top w:val="single" w:sz="16" w:space="0" w:color="000000"/>
              <w:bottom w:val="single" w:sz="16" w:space="0" w:color="000000"/>
            </w:tcBorders>
            <w:shd w:val="clear" w:color="auto" w:fill="FFFFFF"/>
            <w:vAlign w:val="center"/>
          </w:tcPr>
          <w:p w14:paraId="7773FE5A" w14:textId="77777777" w:rsidR="000F7F6A" w:rsidRDefault="00952983">
            <w:pPr>
              <w:spacing w:before="40" w:after="40"/>
              <w:ind w:left="100" w:right="100"/>
              <w:jc w:val="center"/>
            </w:pPr>
            <w:r>
              <w:rPr>
                <w:rFonts w:ascii="Arial" w:eastAsia="Arial" w:hAnsi="Arial" w:cs="Arial"/>
                <w:color w:val="111111"/>
                <w:sz w:val="22"/>
                <w:szCs w:val="22"/>
              </w:rPr>
              <w:t>3.35</w:t>
            </w:r>
          </w:p>
        </w:tc>
        <w:tc>
          <w:tcPr>
            <w:tcW w:w="1080" w:type="dxa"/>
            <w:tcBorders>
              <w:top w:val="single" w:sz="16" w:space="0" w:color="000000"/>
              <w:bottom w:val="single" w:sz="16" w:space="0" w:color="000000"/>
            </w:tcBorders>
            <w:shd w:val="clear" w:color="auto" w:fill="FFFFFF"/>
            <w:vAlign w:val="center"/>
          </w:tcPr>
          <w:p w14:paraId="37F1AA8C" w14:textId="77777777" w:rsidR="000F7F6A" w:rsidRDefault="00952983">
            <w:pPr>
              <w:spacing w:before="40" w:after="40"/>
              <w:ind w:left="100" w:right="100"/>
              <w:jc w:val="center"/>
            </w:pPr>
            <w:r>
              <w:rPr>
                <w:rFonts w:ascii="Arial" w:eastAsia="Arial" w:hAnsi="Arial" w:cs="Arial"/>
                <w:color w:val="111111"/>
                <w:sz w:val="22"/>
                <w:szCs w:val="22"/>
              </w:rPr>
              <w:t>2.63</w:t>
            </w:r>
          </w:p>
        </w:tc>
        <w:tc>
          <w:tcPr>
            <w:tcW w:w="1079" w:type="dxa"/>
            <w:tcBorders>
              <w:top w:val="single" w:sz="16" w:space="0" w:color="000000"/>
              <w:bottom w:val="single" w:sz="16" w:space="0" w:color="000000"/>
            </w:tcBorders>
            <w:shd w:val="clear" w:color="auto" w:fill="FFFFFF"/>
            <w:vAlign w:val="center"/>
          </w:tcPr>
          <w:p w14:paraId="4D288D68" w14:textId="77777777" w:rsidR="000F7F6A" w:rsidRDefault="00952983">
            <w:pPr>
              <w:spacing w:before="40" w:after="40"/>
              <w:ind w:left="100" w:right="100"/>
              <w:jc w:val="center"/>
            </w:pPr>
            <w:r>
              <w:rPr>
                <w:rFonts w:ascii="Arial" w:eastAsia="Arial" w:hAnsi="Arial" w:cs="Arial"/>
                <w:color w:val="111111"/>
                <w:sz w:val="22"/>
                <w:szCs w:val="22"/>
              </w:rPr>
              <w:t>2.08</w:t>
            </w:r>
          </w:p>
        </w:tc>
      </w:tr>
    </w:tbl>
    <w:p w14:paraId="6666BBF9" w14:textId="77777777" w:rsidR="000F7F6A" w:rsidRDefault="00952983">
      <w:pPr>
        <w:pStyle w:val="Corpodetexto"/>
      </w:pPr>
      <w:r>
        <w:rPr>
          <w:i/>
          <w:iCs/>
        </w:rPr>
        <w:t>Source:</w:t>
      </w:r>
      <w:r>
        <w:t xml:space="preserve"> Brazilian national censuses, 1970, 1980, 1991, 2000, 2010.</w:t>
      </w:r>
    </w:p>
    <w:p w14:paraId="0E462BF5" w14:textId="77777777" w:rsidR="000F7F6A" w:rsidRDefault="000F7F6A">
      <w:pPr>
        <w:pStyle w:val="Corpodetexto"/>
      </w:pPr>
    </w:p>
    <w:p w14:paraId="35110A14" w14:textId="77777777" w:rsidR="000F7F6A" w:rsidRDefault="000F7F6A">
      <w:pPr>
        <w:pStyle w:val="Corpodetexto"/>
      </w:pPr>
    </w:p>
    <w:p w14:paraId="69BC8452" w14:textId="77777777" w:rsidR="000F7F6A" w:rsidRDefault="000F7F6A">
      <w:pPr>
        <w:pStyle w:val="Corpodetexto"/>
      </w:pPr>
    </w:p>
    <w:p w14:paraId="002D1C94" w14:textId="77777777" w:rsidR="000F7F6A" w:rsidRDefault="000F7F6A">
      <w:pPr>
        <w:pStyle w:val="Corpodetexto"/>
      </w:pPr>
    </w:p>
    <w:p w14:paraId="5DAE04A0" w14:textId="77777777" w:rsidR="000F7F6A" w:rsidRDefault="00952983">
      <w:pPr>
        <w:pStyle w:val="Corpodetexto"/>
      </w:pPr>
      <w:r>
        <w:lastRenderedPageBreak/>
        <w:t xml:space="preserve">Table 3: Educational pairings prevalence rates and cohort fertility rates for female cohorts born in 1925-39, 1940-54 and 1955-69 - North-Northeast regions. </w:t>
      </w:r>
    </w:p>
    <w:tbl>
      <w:tblPr>
        <w:tblStyle w:val="Table"/>
        <w:tblW w:w="8640" w:type="dxa"/>
        <w:jc w:val="center"/>
        <w:tblBorders>
          <w:top w:val="single" w:sz="16" w:space="0" w:color="000000"/>
          <w:bottom w:val="single" w:sz="16" w:space="0" w:color="000000"/>
          <w:insideH w:val="single" w:sz="16" w:space="0" w:color="000000"/>
        </w:tblBorders>
        <w:tblCellMar>
          <w:left w:w="0" w:type="dxa"/>
          <w:right w:w="0" w:type="dxa"/>
        </w:tblCellMar>
        <w:tblLook w:val="0420" w:firstRow="1" w:lastRow="0" w:firstColumn="0" w:lastColumn="0" w:noHBand="0" w:noVBand="1"/>
      </w:tblPr>
      <w:tblGrid>
        <w:gridCol w:w="1081"/>
        <w:gridCol w:w="1080"/>
        <w:gridCol w:w="1080"/>
        <w:gridCol w:w="1080"/>
        <w:gridCol w:w="1080"/>
        <w:gridCol w:w="1080"/>
        <w:gridCol w:w="1080"/>
        <w:gridCol w:w="1079"/>
      </w:tblGrid>
      <w:tr w:rsidR="000F7F6A" w14:paraId="74157BB4" w14:textId="77777777">
        <w:trPr>
          <w:cantSplit/>
          <w:trHeight w:val="360"/>
          <w:tblHeader/>
          <w:jc w:val="center"/>
        </w:trPr>
        <w:tc>
          <w:tcPr>
            <w:tcW w:w="2160" w:type="dxa"/>
            <w:gridSpan w:val="2"/>
            <w:tcBorders>
              <w:top w:val="single" w:sz="16" w:space="0" w:color="000000"/>
              <w:bottom w:val="single" w:sz="16" w:space="0" w:color="000000"/>
            </w:tcBorders>
            <w:shd w:val="clear" w:color="auto" w:fill="FFFFFF"/>
            <w:vAlign w:val="center"/>
          </w:tcPr>
          <w:p w14:paraId="77F44411" w14:textId="77777777" w:rsidR="000F7F6A" w:rsidRDefault="00952983">
            <w:pPr>
              <w:spacing w:before="40" w:after="40"/>
              <w:ind w:left="100" w:right="100"/>
              <w:jc w:val="center"/>
            </w:pPr>
            <w:r>
              <w:rPr>
                <w:rFonts w:ascii="Arial" w:eastAsia="Arial" w:hAnsi="Arial" w:cs="Arial"/>
                <w:color w:val="111111"/>
                <w:sz w:val="22"/>
                <w:szCs w:val="22"/>
              </w:rPr>
              <w:t>Education</w:t>
            </w:r>
          </w:p>
        </w:tc>
        <w:tc>
          <w:tcPr>
            <w:tcW w:w="3240" w:type="dxa"/>
            <w:gridSpan w:val="3"/>
            <w:tcBorders>
              <w:top w:val="single" w:sz="16" w:space="0" w:color="000000"/>
              <w:bottom w:val="single" w:sz="16" w:space="0" w:color="000000"/>
            </w:tcBorders>
            <w:shd w:val="clear" w:color="auto" w:fill="FFFFFF"/>
            <w:vAlign w:val="center"/>
          </w:tcPr>
          <w:p w14:paraId="70E43583" w14:textId="77777777" w:rsidR="000F7F6A" w:rsidRDefault="00952983">
            <w:pPr>
              <w:spacing w:before="40" w:after="40"/>
              <w:ind w:left="100" w:right="100"/>
              <w:jc w:val="center"/>
            </w:pPr>
            <w:r>
              <w:rPr>
                <w:rFonts w:ascii="Arial" w:eastAsia="Arial" w:hAnsi="Arial" w:cs="Arial"/>
                <w:color w:val="111111"/>
                <w:sz w:val="22"/>
                <w:szCs w:val="22"/>
              </w:rPr>
              <w:t>Prevalence (%)</w:t>
            </w:r>
          </w:p>
        </w:tc>
        <w:tc>
          <w:tcPr>
            <w:tcW w:w="3239" w:type="dxa"/>
            <w:gridSpan w:val="3"/>
            <w:tcBorders>
              <w:top w:val="single" w:sz="16" w:space="0" w:color="000000"/>
              <w:bottom w:val="single" w:sz="16" w:space="0" w:color="000000"/>
            </w:tcBorders>
            <w:shd w:val="clear" w:color="auto" w:fill="FFFFFF"/>
            <w:vAlign w:val="center"/>
          </w:tcPr>
          <w:p w14:paraId="7DE5CDCF" w14:textId="77777777" w:rsidR="000F7F6A" w:rsidRDefault="00952983">
            <w:pPr>
              <w:spacing w:before="40" w:after="40"/>
              <w:ind w:left="100" w:right="100"/>
              <w:jc w:val="center"/>
            </w:pPr>
            <w:r>
              <w:rPr>
                <w:rFonts w:ascii="Arial" w:eastAsia="Arial" w:hAnsi="Arial" w:cs="Arial"/>
                <w:color w:val="111111"/>
                <w:sz w:val="22"/>
                <w:szCs w:val="22"/>
              </w:rPr>
              <w:t>CFR</w:t>
            </w:r>
          </w:p>
        </w:tc>
      </w:tr>
      <w:tr w:rsidR="000F7F6A" w14:paraId="1DEFC6E2" w14:textId="77777777">
        <w:trPr>
          <w:cantSplit/>
          <w:trHeight w:val="360"/>
          <w:tblHeader/>
          <w:jc w:val="center"/>
        </w:trPr>
        <w:tc>
          <w:tcPr>
            <w:tcW w:w="1080" w:type="dxa"/>
            <w:tcBorders>
              <w:top w:val="single" w:sz="8" w:space="0" w:color="000000"/>
              <w:bottom w:val="single" w:sz="8" w:space="0" w:color="000000"/>
            </w:tcBorders>
            <w:shd w:val="clear" w:color="auto" w:fill="FFFFFF"/>
            <w:vAlign w:val="center"/>
          </w:tcPr>
          <w:p w14:paraId="77378BD1" w14:textId="77777777" w:rsidR="000F7F6A" w:rsidRDefault="00952983">
            <w:pPr>
              <w:spacing w:after="0"/>
              <w:jc w:val="center"/>
            </w:pPr>
            <w:r>
              <w:rPr>
                <w:rFonts w:ascii="Arial" w:eastAsia="Arial" w:hAnsi="Arial" w:cs="Arial"/>
                <w:color w:val="000000"/>
                <w:sz w:val="20"/>
                <w:szCs w:val="20"/>
              </w:rPr>
              <w:t>Female</w:t>
            </w:r>
          </w:p>
        </w:tc>
        <w:tc>
          <w:tcPr>
            <w:tcW w:w="1080" w:type="dxa"/>
            <w:tcBorders>
              <w:top w:val="single" w:sz="8" w:space="0" w:color="000000"/>
              <w:bottom w:val="single" w:sz="8" w:space="0" w:color="000000"/>
            </w:tcBorders>
            <w:shd w:val="clear" w:color="auto" w:fill="FFFFFF"/>
            <w:vAlign w:val="center"/>
          </w:tcPr>
          <w:p w14:paraId="28FBD2A1" w14:textId="77777777" w:rsidR="000F7F6A" w:rsidRDefault="00952983">
            <w:pPr>
              <w:spacing w:after="0"/>
              <w:jc w:val="center"/>
            </w:pPr>
            <w:r>
              <w:rPr>
                <w:rFonts w:ascii="Arial" w:eastAsia="Arial" w:hAnsi="Arial" w:cs="Arial"/>
                <w:color w:val="000000"/>
                <w:sz w:val="20"/>
                <w:szCs w:val="20"/>
              </w:rPr>
              <w:t>Male</w:t>
            </w:r>
          </w:p>
        </w:tc>
        <w:tc>
          <w:tcPr>
            <w:tcW w:w="1080" w:type="dxa"/>
            <w:tcBorders>
              <w:top w:val="single" w:sz="8" w:space="0" w:color="000000"/>
              <w:bottom w:val="single" w:sz="8" w:space="0" w:color="000000"/>
            </w:tcBorders>
            <w:shd w:val="clear" w:color="auto" w:fill="FFFFFF"/>
            <w:vAlign w:val="center"/>
          </w:tcPr>
          <w:p w14:paraId="5FCC2E26" w14:textId="77777777" w:rsidR="000F7F6A" w:rsidRDefault="00952983">
            <w:pPr>
              <w:spacing w:after="0"/>
              <w:jc w:val="center"/>
            </w:pPr>
            <w:r>
              <w:rPr>
                <w:rFonts w:ascii="Arial" w:eastAsia="Arial" w:hAnsi="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37134278" w14:textId="77777777" w:rsidR="000F7F6A" w:rsidRDefault="00952983">
            <w:pPr>
              <w:spacing w:after="0"/>
              <w:jc w:val="center"/>
            </w:pPr>
            <w:r>
              <w:rPr>
                <w:rFonts w:ascii="Arial" w:eastAsia="Arial" w:hAnsi="Arial" w:cs="Arial"/>
                <w:color w:val="000000"/>
                <w:sz w:val="20"/>
                <w:szCs w:val="20"/>
              </w:rPr>
              <w:t>1940-1954</w:t>
            </w:r>
          </w:p>
        </w:tc>
        <w:tc>
          <w:tcPr>
            <w:tcW w:w="1080" w:type="dxa"/>
            <w:tcBorders>
              <w:top w:val="single" w:sz="8" w:space="0" w:color="000000"/>
              <w:bottom w:val="single" w:sz="8" w:space="0" w:color="000000"/>
            </w:tcBorders>
            <w:shd w:val="clear" w:color="auto" w:fill="FFFFFF"/>
            <w:vAlign w:val="center"/>
          </w:tcPr>
          <w:p w14:paraId="78E9C730" w14:textId="77777777" w:rsidR="000F7F6A" w:rsidRDefault="00952983">
            <w:pPr>
              <w:spacing w:after="0"/>
              <w:jc w:val="center"/>
            </w:pPr>
            <w:r>
              <w:rPr>
                <w:rFonts w:ascii="Arial" w:eastAsia="Arial" w:hAnsi="Arial" w:cs="Arial"/>
                <w:color w:val="000000"/>
                <w:sz w:val="20"/>
                <w:szCs w:val="20"/>
              </w:rPr>
              <w:t>1955-1969</w:t>
            </w:r>
          </w:p>
        </w:tc>
        <w:tc>
          <w:tcPr>
            <w:tcW w:w="1080" w:type="dxa"/>
            <w:tcBorders>
              <w:top w:val="single" w:sz="8" w:space="0" w:color="000000"/>
              <w:bottom w:val="single" w:sz="8" w:space="0" w:color="000000"/>
            </w:tcBorders>
            <w:shd w:val="clear" w:color="auto" w:fill="FFFFFF"/>
            <w:vAlign w:val="center"/>
          </w:tcPr>
          <w:p w14:paraId="3B8B7539" w14:textId="77777777" w:rsidR="000F7F6A" w:rsidRDefault="00952983">
            <w:pPr>
              <w:spacing w:after="0"/>
              <w:jc w:val="center"/>
            </w:pPr>
            <w:r>
              <w:rPr>
                <w:rFonts w:ascii="Arial" w:eastAsia="Arial" w:hAnsi="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701CDE0D" w14:textId="77777777" w:rsidR="000F7F6A" w:rsidRDefault="00952983">
            <w:pPr>
              <w:spacing w:after="0"/>
              <w:jc w:val="center"/>
            </w:pPr>
            <w:r>
              <w:rPr>
                <w:rFonts w:ascii="Arial" w:eastAsia="Arial" w:hAnsi="Arial" w:cs="Arial"/>
                <w:color w:val="000000"/>
                <w:sz w:val="20"/>
                <w:szCs w:val="20"/>
              </w:rPr>
              <w:t>1940-1954</w:t>
            </w:r>
          </w:p>
        </w:tc>
        <w:tc>
          <w:tcPr>
            <w:tcW w:w="1079" w:type="dxa"/>
            <w:tcBorders>
              <w:top w:val="single" w:sz="8" w:space="0" w:color="000000"/>
              <w:bottom w:val="single" w:sz="8" w:space="0" w:color="000000"/>
            </w:tcBorders>
            <w:shd w:val="clear" w:color="auto" w:fill="FFFFFF"/>
            <w:vAlign w:val="center"/>
          </w:tcPr>
          <w:p w14:paraId="1E7F8A77" w14:textId="77777777" w:rsidR="000F7F6A" w:rsidRDefault="00952983">
            <w:pPr>
              <w:spacing w:after="0"/>
              <w:jc w:val="center"/>
            </w:pPr>
            <w:r>
              <w:rPr>
                <w:rFonts w:ascii="Arial" w:eastAsia="Arial" w:hAnsi="Arial" w:cs="Arial"/>
                <w:color w:val="000000"/>
                <w:sz w:val="20"/>
                <w:szCs w:val="20"/>
              </w:rPr>
              <w:t>1955-1969</w:t>
            </w:r>
          </w:p>
        </w:tc>
      </w:tr>
      <w:tr w:rsidR="000F7F6A" w14:paraId="6EDB79CE"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2AD82CD"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257FBCE1"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307DC560" w14:textId="77777777" w:rsidR="000F7F6A" w:rsidRDefault="00952983">
            <w:pPr>
              <w:spacing w:before="40" w:after="40"/>
              <w:ind w:left="100" w:right="100"/>
              <w:jc w:val="center"/>
            </w:pPr>
            <w:r>
              <w:rPr>
                <w:rFonts w:ascii="Arial" w:eastAsia="Arial" w:hAnsi="Arial" w:cs="Arial"/>
                <w:color w:val="111111"/>
                <w:sz w:val="22"/>
                <w:szCs w:val="22"/>
              </w:rPr>
              <w:t>89.30</w:t>
            </w:r>
          </w:p>
        </w:tc>
        <w:tc>
          <w:tcPr>
            <w:tcW w:w="1080" w:type="dxa"/>
            <w:tcBorders>
              <w:top w:val="single" w:sz="16" w:space="0" w:color="000000"/>
              <w:bottom w:val="single" w:sz="16" w:space="0" w:color="000000"/>
            </w:tcBorders>
            <w:shd w:val="clear" w:color="auto" w:fill="FFFFFF"/>
            <w:vAlign w:val="center"/>
          </w:tcPr>
          <w:p w14:paraId="6409D235" w14:textId="77777777" w:rsidR="000F7F6A" w:rsidRDefault="00952983">
            <w:pPr>
              <w:spacing w:before="40" w:after="40"/>
              <w:ind w:left="100" w:right="100"/>
              <w:jc w:val="center"/>
            </w:pPr>
            <w:r>
              <w:rPr>
                <w:rFonts w:ascii="Arial" w:eastAsia="Arial" w:hAnsi="Arial" w:cs="Arial"/>
                <w:color w:val="111111"/>
                <w:sz w:val="22"/>
                <w:szCs w:val="22"/>
              </w:rPr>
              <w:t>73.99</w:t>
            </w:r>
          </w:p>
        </w:tc>
        <w:tc>
          <w:tcPr>
            <w:tcW w:w="1080" w:type="dxa"/>
            <w:tcBorders>
              <w:top w:val="single" w:sz="16" w:space="0" w:color="000000"/>
              <w:bottom w:val="single" w:sz="16" w:space="0" w:color="000000"/>
            </w:tcBorders>
            <w:shd w:val="clear" w:color="auto" w:fill="FFFFFF"/>
            <w:vAlign w:val="center"/>
          </w:tcPr>
          <w:p w14:paraId="67D22F64" w14:textId="77777777" w:rsidR="000F7F6A" w:rsidRDefault="00952983">
            <w:pPr>
              <w:spacing w:before="40" w:after="40"/>
              <w:ind w:left="100" w:right="100"/>
              <w:jc w:val="center"/>
            </w:pPr>
            <w:r>
              <w:rPr>
                <w:rFonts w:ascii="Arial" w:eastAsia="Arial" w:hAnsi="Arial" w:cs="Arial"/>
                <w:color w:val="111111"/>
                <w:sz w:val="22"/>
                <w:szCs w:val="22"/>
              </w:rPr>
              <w:t>48.47</w:t>
            </w:r>
          </w:p>
        </w:tc>
        <w:tc>
          <w:tcPr>
            <w:tcW w:w="1080" w:type="dxa"/>
            <w:tcBorders>
              <w:top w:val="single" w:sz="16" w:space="0" w:color="000000"/>
              <w:bottom w:val="single" w:sz="16" w:space="0" w:color="000000"/>
            </w:tcBorders>
            <w:shd w:val="clear" w:color="auto" w:fill="FFFFFF"/>
            <w:vAlign w:val="center"/>
          </w:tcPr>
          <w:p w14:paraId="0570FE00" w14:textId="77777777" w:rsidR="000F7F6A" w:rsidRDefault="00952983">
            <w:pPr>
              <w:spacing w:before="40" w:after="40"/>
              <w:ind w:left="100" w:right="100"/>
              <w:jc w:val="center"/>
            </w:pPr>
            <w:r>
              <w:rPr>
                <w:rFonts w:ascii="Arial" w:eastAsia="Arial" w:hAnsi="Arial" w:cs="Arial"/>
                <w:color w:val="111111"/>
                <w:sz w:val="22"/>
                <w:szCs w:val="22"/>
              </w:rPr>
              <w:t>8.36</w:t>
            </w:r>
          </w:p>
        </w:tc>
        <w:tc>
          <w:tcPr>
            <w:tcW w:w="1080" w:type="dxa"/>
            <w:tcBorders>
              <w:top w:val="single" w:sz="16" w:space="0" w:color="000000"/>
              <w:bottom w:val="single" w:sz="16" w:space="0" w:color="000000"/>
            </w:tcBorders>
            <w:shd w:val="clear" w:color="auto" w:fill="FFFFFF"/>
            <w:vAlign w:val="center"/>
          </w:tcPr>
          <w:p w14:paraId="5ACD0457" w14:textId="77777777" w:rsidR="000F7F6A" w:rsidRDefault="00952983">
            <w:pPr>
              <w:spacing w:before="40" w:after="40"/>
              <w:ind w:left="100" w:right="100"/>
              <w:jc w:val="center"/>
            </w:pPr>
            <w:r>
              <w:rPr>
                <w:rFonts w:ascii="Arial" w:eastAsia="Arial" w:hAnsi="Arial" w:cs="Arial"/>
                <w:color w:val="111111"/>
                <w:sz w:val="22"/>
                <w:szCs w:val="22"/>
              </w:rPr>
              <w:t>7.07</w:t>
            </w:r>
          </w:p>
        </w:tc>
        <w:tc>
          <w:tcPr>
            <w:tcW w:w="1079" w:type="dxa"/>
            <w:tcBorders>
              <w:top w:val="single" w:sz="16" w:space="0" w:color="000000"/>
              <w:bottom w:val="single" w:sz="16" w:space="0" w:color="000000"/>
            </w:tcBorders>
            <w:shd w:val="clear" w:color="auto" w:fill="FFFFFF"/>
            <w:vAlign w:val="center"/>
          </w:tcPr>
          <w:p w14:paraId="062C5C3E" w14:textId="77777777" w:rsidR="000F7F6A" w:rsidRDefault="00952983">
            <w:pPr>
              <w:spacing w:before="40" w:after="40"/>
              <w:ind w:left="100" w:right="100"/>
              <w:jc w:val="center"/>
            </w:pPr>
            <w:r>
              <w:rPr>
                <w:rFonts w:ascii="Arial" w:eastAsia="Arial" w:hAnsi="Arial" w:cs="Arial"/>
                <w:color w:val="111111"/>
                <w:sz w:val="22"/>
                <w:szCs w:val="22"/>
              </w:rPr>
              <w:t>4.85</w:t>
            </w:r>
          </w:p>
        </w:tc>
      </w:tr>
      <w:tr w:rsidR="000F7F6A" w14:paraId="7B9DEE3E"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4DCD862"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57660DE1"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012F4855" w14:textId="77777777" w:rsidR="000F7F6A" w:rsidRDefault="00952983">
            <w:pPr>
              <w:spacing w:before="40" w:after="40"/>
              <w:ind w:left="100" w:right="100"/>
              <w:jc w:val="center"/>
            </w:pPr>
            <w:r>
              <w:rPr>
                <w:rFonts w:ascii="Arial" w:eastAsia="Arial" w:hAnsi="Arial" w:cs="Arial"/>
                <w:color w:val="111111"/>
                <w:sz w:val="22"/>
                <w:szCs w:val="22"/>
              </w:rPr>
              <w:t xml:space="preserve"> 2.02</w:t>
            </w:r>
          </w:p>
        </w:tc>
        <w:tc>
          <w:tcPr>
            <w:tcW w:w="1080" w:type="dxa"/>
            <w:tcBorders>
              <w:top w:val="single" w:sz="16" w:space="0" w:color="000000"/>
              <w:bottom w:val="single" w:sz="16" w:space="0" w:color="000000"/>
            </w:tcBorders>
            <w:shd w:val="clear" w:color="auto" w:fill="FFFFFF"/>
            <w:vAlign w:val="center"/>
          </w:tcPr>
          <w:p w14:paraId="0DF6A552" w14:textId="77777777" w:rsidR="000F7F6A" w:rsidRDefault="00952983">
            <w:pPr>
              <w:spacing w:before="40" w:after="40"/>
              <w:ind w:left="100" w:right="100"/>
              <w:jc w:val="center"/>
            </w:pPr>
            <w:r>
              <w:rPr>
                <w:rFonts w:ascii="Arial" w:eastAsia="Arial" w:hAnsi="Arial" w:cs="Arial"/>
                <w:color w:val="111111"/>
                <w:sz w:val="22"/>
                <w:szCs w:val="22"/>
              </w:rPr>
              <w:t xml:space="preserve"> 3.38</w:t>
            </w:r>
          </w:p>
        </w:tc>
        <w:tc>
          <w:tcPr>
            <w:tcW w:w="1080" w:type="dxa"/>
            <w:tcBorders>
              <w:top w:val="single" w:sz="16" w:space="0" w:color="000000"/>
              <w:bottom w:val="single" w:sz="16" w:space="0" w:color="000000"/>
            </w:tcBorders>
            <w:shd w:val="clear" w:color="auto" w:fill="FFFFFF"/>
            <w:vAlign w:val="center"/>
          </w:tcPr>
          <w:p w14:paraId="4A30F65C" w14:textId="77777777" w:rsidR="000F7F6A" w:rsidRDefault="00952983">
            <w:pPr>
              <w:spacing w:before="40" w:after="40"/>
              <w:ind w:left="100" w:right="100"/>
              <w:jc w:val="center"/>
            </w:pPr>
            <w:r>
              <w:rPr>
                <w:rFonts w:ascii="Arial" w:eastAsia="Arial" w:hAnsi="Arial" w:cs="Arial"/>
                <w:color w:val="111111"/>
                <w:sz w:val="22"/>
                <w:szCs w:val="22"/>
              </w:rPr>
              <w:t xml:space="preserve"> 5.10</w:t>
            </w:r>
          </w:p>
        </w:tc>
        <w:tc>
          <w:tcPr>
            <w:tcW w:w="1080" w:type="dxa"/>
            <w:tcBorders>
              <w:top w:val="single" w:sz="16" w:space="0" w:color="000000"/>
              <w:bottom w:val="single" w:sz="16" w:space="0" w:color="000000"/>
            </w:tcBorders>
            <w:shd w:val="clear" w:color="auto" w:fill="FFFFFF"/>
            <w:vAlign w:val="center"/>
          </w:tcPr>
          <w:p w14:paraId="5367F5E9" w14:textId="77777777" w:rsidR="000F7F6A" w:rsidRDefault="00952983">
            <w:pPr>
              <w:spacing w:before="40" w:after="40"/>
              <w:ind w:left="100" w:right="100"/>
              <w:jc w:val="center"/>
            </w:pPr>
            <w:r>
              <w:rPr>
                <w:rFonts w:ascii="Arial" w:eastAsia="Arial" w:hAnsi="Arial" w:cs="Arial"/>
                <w:color w:val="111111"/>
                <w:sz w:val="22"/>
                <w:szCs w:val="22"/>
              </w:rPr>
              <w:t>6.59</w:t>
            </w:r>
          </w:p>
        </w:tc>
        <w:tc>
          <w:tcPr>
            <w:tcW w:w="1080" w:type="dxa"/>
            <w:tcBorders>
              <w:top w:val="single" w:sz="16" w:space="0" w:color="000000"/>
              <w:bottom w:val="single" w:sz="16" w:space="0" w:color="000000"/>
            </w:tcBorders>
            <w:shd w:val="clear" w:color="auto" w:fill="FFFFFF"/>
            <w:vAlign w:val="center"/>
          </w:tcPr>
          <w:p w14:paraId="5651BC91" w14:textId="77777777" w:rsidR="000F7F6A" w:rsidRDefault="00952983">
            <w:pPr>
              <w:spacing w:before="40" w:after="40"/>
              <w:ind w:left="100" w:right="100"/>
              <w:jc w:val="center"/>
            </w:pPr>
            <w:r>
              <w:rPr>
                <w:rFonts w:ascii="Arial" w:eastAsia="Arial" w:hAnsi="Arial" w:cs="Arial"/>
                <w:color w:val="111111"/>
                <w:sz w:val="22"/>
                <w:szCs w:val="22"/>
              </w:rPr>
              <w:t>5.18</w:t>
            </w:r>
          </w:p>
        </w:tc>
        <w:tc>
          <w:tcPr>
            <w:tcW w:w="1079" w:type="dxa"/>
            <w:tcBorders>
              <w:top w:val="single" w:sz="16" w:space="0" w:color="000000"/>
              <w:bottom w:val="single" w:sz="16" w:space="0" w:color="000000"/>
            </w:tcBorders>
            <w:shd w:val="clear" w:color="auto" w:fill="FFFFFF"/>
            <w:vAlign w:val="center"/>
          </w:tcPr>
          <w:p w14:paraId="18BBE71C" w14:textId="77777777" w:rsidR="000F7F6A" w:rsidRDefault="00952983">
            <w:pPr>
              <w:spacing w:before="40" w:after="40"/>
              <w:ind w:left="100" w:right="100"/>
              <w:jc w:val="center"/>
            </w:pPr>
            <w:r>
              <w:rPr>
                <w:rFonts w:ascii="Arial" w:eastAsia="Arial" w:hAnsi="Arial" w:cs="Arial"/>
                <w:color w:val="111111"/>
                <w:sz w:val="22"/>
                <w:szCs w:val="22"/>
              </w:rPr>
              <w:t>3.68</w:t>
            </w:r>
          </w:p>
        </w:tc>
      </w:tr>
      <w:tr w:rsidR="000F7F6A" w14:paraId="0A60F581"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4C9AEE4"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78475018"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62D89EE1" w14:textId="77777777" w:rsidR="000F7F6A" w:rsidRDefault="00952983">
            <w:pPr>
              <w:spacing w:before="40" w:after="40"/>
              <w:ind w:left="100" w:right="100"/>
              <w:jc w:val="center"/>
            </w:pPr>
            <w:r>
              <w:rPr>
                <w:rFonts w:ascii="Arial" w:eastAsia="Arial" w:hAnsi="Arial" w:cs="Arial"/>
                <w:color w:val="111111"/>
                <w:sz w:val="22"/>
                <w:szCs w:val="22"/>
              </w:rPr>
              <w:t xml:space="preserve"> 0.78</w:t>
            </w:r>
          </w:p>
        </w:tc>
        <w:tc>
          <w:tcPr>
            <w:tcW w:w="1080" w:type="dxa"/>
            <w:tcBorders>
              <w:top w:val="single" w:sz="16" w:space="0" w:color="000000"/>
              <w:bottom w:val="single" w:sz="16" w:space="0" w:color="000000"/>
            </w:tcBorders>
            <w:shd w:val="clear" w:color="auto" w:fill="FFFFFF"/>
            <w:vAlign w:val="center"/>
          </w:tcPr>
          <w:p w14:paraId="2B5408D0" w14:textId="77777777" w:rsidR="000F7F6A" w:rsidRDefault="00952983">
            <w:pPr>
              <w:spacing w:before="40" w:after="40"/>
              <w:ind w:left="100" w:right="100"/>
              <w:jc w:val="center"/>
            </w:pPr>
            <w:r>
              <w:rPr>
                <w:rFonts w:ascii="Arial" w:eastAsia="Arial" w:hAnsi="Arial" w:cs="Arial"/>
                <w:color w:val="111111"/>
                <w:sz w:val="22"/>
                <w:szCs w:val="22"/>
              </w:rPr>
              <w:t xml:space="preserve"> 1.27</w:t>
            </w:r>
          </w:p>
        </w:tc>
        <w:tc>
          <w:tcPr>
            <w:tcW w:w="1080" w:type="dxa"/>
            <w:tcBorders>
              <w:top w:val="single" w:sz="16" w:space="0" w:color="000000"/>
              <w:bottom w:val="single" w:sz="16" w:space="0" w:color="000000"/>
            </w:tcBorders>
            <w:shd w:val="clear" w:color="auto" w:fill="FFFFFF"/>
            <w:vAlign w:val="center"/>
          </w:tcPr>
          <w:p w14:paraId="51E2DCB1" w14:textId="77777777" w:rsidR="000F7F6A" w:rsidRDefault="00952983">
            <w:pPr>
              <w:spacing w:before="40" w:after="40"/>
              <w:ind w:left="100" w:right="100"/>
              <w:jc w:val="center"/>
            </w:pPr>
            <w:r>
              <w:rPr>
                <w:rFonts w:ascii="Arial" w:eastAsia="Arial" w:hAnsi="Arial" w:cs="Arial"/>
                <w:color w:val="111111"/>
                <w:sz w:val="22"/>
                <w:szCs w:val="22"/>
              </w:rPr>
              <w:t xml:space="preserve"> 1.67</w:t>
            </w:r>
          </w:p>
        </w:tc>
        <w:tc>
          <w:tcPr>
            <w:tcW w:w="1080" w:type="dxa"/>
            <w:tcBorders>
              <w:top w:val="single" w:sz="16" w:space="0" w:color="000000"/>
              <w:bottom w:val="single" w:sz="16" w:space="0" w:color="000000"/>
            </w:tcBorders>
            <w:shd w:val="clear" w:color="auto" w:fill="FFFFFF"/>
            <w:vAlign w:val="center"/>
          </w:tcPr>
          <w:p w14:paraId="073956EF" w14:textId="77777777" w:rsidR="000F7F6A" w:rsidRDefault="00952983">
            <w:pPr>
              <w:spacing w:before="40" w:after="40"/>
              <w:ind w:left="100" w:right="100"/>
              <w:jc w:val="center"/>
            </w:pPr>
            <w:r>
              <w:rPr>
                <w:rFonts w:ascii="Arial" w:eastAsia="Arial" w:hAnsi="Arial" w:cs="Arial"/>
                <w:color w:val="111111"/>
                <w:sz w:val="22"/>
                <w:szCs w:val="22"/>
              </w:rPr>
              <w:t>5.91</w:t>
            </w:r>
          </w:p>
        </w:tc>
        <w:tc>
          <w:tcPr>
            <w:tcW w:w="1080" w:type="dxa"/>
            <w:tcBorders>
              <w:top w:val="single" w:sz="16" w:space="0" w:color="000000"/>
              <w:bottom w:val="single" w:sz="16" w:space="0" w:color="000000"/>
            </w:tcBorders>
            <w:shd w:val="clear" w:color="auto" w:fill="FFFFFF"/>
            <w:vAlign w:val="center"/>
          </w:tcPr>
          <w:p w14:paraId="3DC8C021" w14:textId="77777777" w:rsidR="000F7F6A" w:rsidRDefault="00952983">
            <w:pPr>
              <w:spacing w:before="40" w:after="40"/>
              <w:ind w:left="100" w:right="100"/>
              <w:jc w:val="center"/>
            </w:pPr>
            <w:r>
              <w:rPr>
                <w:rFonts w:ascii="Arial" w:eastAsia="Arial" w:hAnsi="Arial" w:cs="Arial"/>
                <w:color w:val="111111"/>
                <w:sz w:val="22"/>
                <w:szCs w:val="22"/>
              </w:rPr>
              <w:t>4.56</w:t>
            </w:r>
          </w:p>
        </w:tc>
        <w:tc>
          <w:tcPr>
            <w:tcW w:w="1079" w:type="dxa"/>
            <w:tcBorders>
              <w:top w:val="single" w:sz="16" w:space="0" w:color="000000"/>
              <w:bottom w:val="single" w:sz="16" w:space="0" w:color="000000"/>
            </w:tcBorders>
            <w:shd w:val="clear" w:color="auto" w:fill="FFFFFF"/>
            <w:vAlign w:val="center"/>
          </w:tcPr>
          <w:p w14:paraId="597F7965" w14:textId="77777777" w:rsidR="000F7F6A" w:rsidRDefault="00952983">
            <w:pPr>
              <w:spacing w:before="40" w:after="40"/>
              <w:ind w:left="100" w:right="100"/>
              <w:jc w:val="center"/>
            </w:pPr>
            <w:r>
              <w:rPr>
                <w:rFonts w:ascii="Arial" w:eastAsia="Arial" w:hAnsi="Arial" w:cs="Arial"/>
                <w:color w:val="111111"/>
                <w:sz w:val="22"/>
                <w:szCs w:val="22"/>
              </w:rPr>
              <w:t>3.22</w:t>
            </w:r>
          </w:p>
        </w:tc>
      </w:tr>
      <w:tr w:rsidR="000F7F6A" w14:paraId="0A365948"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44B71939"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3F4F84DC"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68A8CE00" w14:textId="77777777" w:rsidR="000F7F6A" w:rsidRDefault="00952983">
            <w:pPr>
              <w:spacing w:before="40" w:after="40"/>
              <w:ind w:left="100" w:right="100"/>
              <w:jc w:val="center"/>
            </w:pPr>
            <w:r>
              <w:rPr>
                <w:rFonts w:ascii="Arial" w:eastAsia="Arial" w:hAnsi="Arial" w:cs="Arial"/>
                <w:color w:val="111111"/>
                <w:sz w:val="22"/>
                <w:szCs w:val="22"/>
              </w:rPr>
              <w:t xml:space="preserve"> 0.22</w:t>
            </w:r>
          </w:p>
        </w:tc>
        <w:tc>
          <w:tcPr>
            <w:tcW w:w="1080" w:type="dxa"/>
            <w:tcBorders>
              <w:top w:val="single" w:sz="16" w:space="0" w:color="000000"/>
              <w:bottom w:val="single" w:sz="16" w:space="0" w:color="000000"/>
            </w:tcBorders>
            <w:shd w:val="clear" w:color="auto" w:fill="FFFFFF"/>
            <w:vAlign w:val="center"/>
          </w:tcPr>
          <w:p w14:paraId="2EF3CD4A" w14:textId="77777777" w:rsidR="000F7F6A" w:rsidRDefault="00952983">
            <w:pPr>
              <w:spacing w:before="40" w:after="40"/>
              <w:ind w:left="100" w:right="100"/>
              <w:jc w:val="center"/>
            </w:pPr>
            <w:r>
              <w:rPr>
                <w:rFonts w:ascii="Arial" w:eastAsia="Arial" w:hAnsi="Arial" w:cs="Arial"/>
                <w:color w:val="111111"/>
                <w:sz w:val="22"/>
                <w:szCs w:val="22"/>
              </w:rPr>
              <w:t xml:space="preserve"> 0.18</w:t>
            </w:r>
          </w:p>
        </w:tc>
        <w:tc>
          <w:tcPr>
            <w:tcW w:w="1080" w:type="dxa"/>
            <w:tcBorders>
              <w:top w:val="single" w:sz="16" w:space="0" w:color="000000"/>
              <w:bottom w:val="single" w:sz="16" w:space="0" w:color="000000"/>
            </w:tcBorders>
            <w:shd w:val="clear" w:color="auto" w:fill="FFFFFF"/>
            <w:vAlign w:val="center"/>
          </w:tcPr>
          <w:p w14:paraId="5A1749F3" w14:textId="77777777" w:rsidR="000F7F6A" w:rsidRDefault="00952983">
            <w:pPr>
              <w:spacing w:before="40" w:after="40"/>
              <w:ind w:left="100" w:right="100"/>
              <w:jc w:val="center"/>
            </w:pPr>
            <w:r>
              <w:rPr>
                <w:rFonts w:ascii="Arial" w:eastAsia="Arial" w:hAnsi="Arial" w:cs="Arial"/>
                <w:color w:val="111111"/>
                <w:sz w:val="22"/>
                <w:szCs w:val="22"/>
              </w:rPr>
              <w:t xml:space="preserve"> 0.15</w:t>
            </w:r>
          </w:p>
        </w:tc>
        <w:tc>
          <w:tcPr>
            <w:tcW w:w="1080" w:type="dxa"/>
            <w:tcBorders>
              <w:top w:val="single" w:sz="16" w:space="0" w:color="000000"/>
              <w:bottom w:val="single" w:sz="16" w:space="0" w:color="000000"/>
            </w:tcBorders>
            <w:shd w:val="clear" w:color="auto" w:fill="FFFFFF"/>
            <w:vAlign w:val="center"/>
          </w:tcPr>
          <w:p w14:paraId="4A7CE6B6" w14:textId="77777777" w:rsidR="000F7F6A" w:rsidRDefault="00952983">
            <w:pPr>
              <w:spacing w:before="40" w:after="40"/>
              <w:ind w:left="100" w:right="100"/>
              <w:jc w:val="center"/>
            </w:pPr>
            <w:r>
              <w:rPr>
                <w:rFonts w:ascii="Arial" w:eastAsia="Arial" w:hAnsi="Arial" w:cs="Arial"/>
                <w:color w:val="111111"/>
                <w:sz w:val="22"/>
                <w:szCs w:val="22"/>
              </w:rPr>
              <w:t>5.22</w:t>
            </w:r>
          </w:p>
        </w:tc>
        <w:tc>
          <w:tcPr>
            <w:tcW w:w="1080" w:type="dxa"/>
            <w:tcBorders>
              <w:top w:val="single" w:sz="16" w:space="0" w:color="000000"/>
              <w:bottom w:val="single" w:sz="16" w:space="0" w:color="000000"/>
            </w:tcBorders>
            <w:shd w:val="clear" w:color="auto" w:fill="FFFFFF"/>
            <w:vAlign w:val="center"/>
          </w:tcPr>
          <w:p w14:paraId="34ABC27D" w14:textId="77777777" w:rsidR="000F7F6A" w:rsidRDefault="00952983">
            <w:pPr>
              <w:spacing w:before="40" w:after="40"/>
              <w:ind w:left="100" w:right="100"/>
              <w:jc w:val="center"/>
            </w:pPr>
            <w:r>
              <w:rPr>
                <w:rFonts w:ascii="Arial" w:eastAsia="Arial" w:hAnsi="Arial" w:cs="Arial"/>
                <w:color w:val="111111"/>
                <w:sz w:val="22"/>
                <w:szCs w:val="22"/>
              </w:rPr>
              <w:t>4.39</w:t>
            </w:r>
          </w:p>
        </w:tc>
        <w:tc>
          <w:tcPr>
            <w:tcW w:w="1079" w:type="dxa"/>
            <w:tcBorders>
              <w:top w:val="single" w:sz="16" w:space="0" w:color="000000"/>
              <w:bottom w:val="single" w:sz="16" w:space="0" w:color="000000"/>
            </w:tcBorders>
            <w:shd w:val="clear" w:color="auto" w:fill="FFFFFF"/>
            <w:vAlign w:val="center"/>
          </w:tcPr>
          <w:p w14:paraId="3C50FE3E" w14:textId="77777777" w:rsidR="000F7F6A" w:rsidRDefault="00952983">
            <w:pPr>
              <w:spacing w:before="40" w:after="40"/>
              <w:ind w:left="100" w:right="100"/>
              <w:jc w:val="center"/>
            </w:pPr>
            <w:r>
              <w:rPr>
                <w:rFonts w:ascii="Arial" w:eastAsia="Arial" w:hAnsi="Arial" w:cs="Arial"/>
                <w:color w:val="111111"/>
                <w:sz w:val="22"/>
                <w:szCs w:val="22"/>
              </w:rPr>
              <w:t>2.88</w:t>
            </w:r>
          </w:p>
        </w:tc>
      </w:tr>
      <w:tr w:rsidR="000F7F6A" w14:paraId="16D45FB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620BE0F1"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7CC169D2"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23058930" w14:textId="77777777" w:rsidR="000F7F6A" w:rsidRDefault="00952983">
            <w:pPr>
              <w:spacing w:before="40" w:after="40"/>
              <w:ind w:left="100" w:right="100"/>
              <w:jc w:val="center"/>
            </w:pPr>
            <w:r>
              <w:rPr>
                <w:rFonts w:ascii="Arial" w:eastAsia="Arial" w:hAnsi="Arial" w:cs="Arial"/>
                <w:color w:val="111111"/>
                <w:sz w:val="22"/>
                <w:szCs w:val="22"/>
              </w:rPr>
              <w:t xml:space="preserve"> 1.78</w:t>
            </w:r>
          </w:p>
        </w:tc>
        <w:tc>
          <w:tcPr>
            <w:tcW w:w="1080" w:type="dxa"/>
            <w:tcBorders>
              <w:top w:val="single" w:sz="16" w:space="0" w:color="000000"/>
              <w:bottom w:val="single" w:sz="16" w:space="0" w:color="000000"/>
            </w:tcBorders>
            <w:shd w:val="clear" w:color="auto" w:fill="FFFFFF"/>
            <w:vAlign w:val="center"/>
          </w:tcPr>
          <w:p w14:paraId="266CBF7F" w14:textId="77777777" w:rsidR="000F7F6A" w:rsidRDefault="00952983">
            <w:pPr>
              <w:spacing w:before="40" w:after="40"/>
              <w:ind w:left="100" w:right="100"/>
              <w:jc w:val="center"/>
            </w:pPr>
            <w:r>
              <w:rPr>
                <w:rFonts w:ascii="Arial" w:eastAsia="Arial" w:hAnsi="Arial" w:cs="Arial"/>
                <w:color w:val="111111"/>
                <w:sz w:val="22"/>
                <w:szCs w:val="22"/>
              </w:rPr>
              <w:t xml:space="preserve"> 4.43</w:t>
            </w:r>
          </w:p>
        </w:tc>
        <w:tc>
          <w:tcPr>
            <w:tcW w:w="1080" w:type="dxa"/>
            <w:tcBorders>
              <w:top w:val="single" w:sz="16" w:space="0" w:color="000000"/>
              <w:bottom w:val="single" w:sz="16" w:space="0" w:color="000000"/>
            </w:tcBorders>
            <w:shd w:val="clear" w:color="auto" w:fill="FFFFFF"/>
            <w:vAlign w:val="center"/>
          </w:tcPr>
          <w:p w14:paraId="34FB226F" w14:textId="77777777" w:rsidR="000F7F6A" w:rsidRDefault="00952983">
            <w:pPr>
              <w:spacing w:before="40" w:after="40"/>
              <w:ind w:left="100" w:right="100"/>
              <w:jc w:val="center"/>
            </w:pPr>
            <w:r>
              <w:rPr>
                <w:rFonts w:ascii="Arial" w:eastAsia="Arial" w:hAnsi="Arial" w:cs="Arial"/>
                <w:color w:val="111111"/>
                <w:sz w:val="22"/>
                <w:szCs w:val="22"/>
              </w:rPr>
              <w:t xml:space="preserve"> 8.76</w:t>
            </w:r>
          </w:p>
        </w:tc>
        <w:tc>
          <w:tcPr>
            <w:tcW w:w="1080" w:type="dxa"/>
            <w:tcBorders>
              <w:top w:val="single" w:sz="16" w:space="0" w:color="000000"/>
              <w:bottom w:val="single" w:sz="16" w:space="0" w:color="000000"/>
            </w:tcBorders>
            <w:shd w:val="clear" w:color="auto" w:fill="FFFFFF"/>
            <w:vAlign w:val="center"/>
          </w:tcPr>
          <w:p w14:paraId="2164D81D" w14:textId="77777777" w:rsidR="000F7F6A" w:rsidRDefault="00952983">
            <w:pPr>
              <w:spacing w:before="40" w:after="40"/>
              <w:ind w:left="100" w:right="100"/>
              <w:jc w:val="center"/>
            </w:pPr>
            <w:r>
              <w:rPr>
                <w:rFonts w:ascii="Arial" w:eastAsia="Arial" w:hAnsi="Arial" w:cs="Arial"/>
                <w:color w:val="111111"/>
                <w:sz w:val="22"/>
                <w:szCs w:val="22"/>
              </w:rPr>
              <w:t>6.34</w:t>
            </w:r>
          </w:p>
        </w:tc>
        <w:tc>
          <w:tcPr>
            <w:tcW w:w="1080" w:type="dxa"/>
            <w:tcBorders>
              <w:top w:val="single" w:sz="16" w:space="0" w:color="000000"/>
              <w:bottom w:val="single" w:sz="16" w:space="0" w:color="000000"/>
            </w:tcBorders>
            <w:shd w:val="clear" w:color="auto" w:fill="FFFFFF"/>
            <w:vAlign w:val="center"/>
          </w:tcPr>
          <w:p w14:paraId="34C39791" w14:textId="77777777" w:rsidR="000F7F6A" w:rsidRDefault="00952983">
            <w:pPr>
              <w:spacing w:before="40" w:after="40"/>
              <w:ind w:left="100" w:right="100"/>
              <w:jc w:val="center"/>
            </w:pPr>
            <w:r>
              <w:rPr>
                <w:rFonts w:ascii="Arial" w:eastAsia="Arial" w:hAnsi="Arial" w:cs="Arial"/>
                <w:color w:val="111111"/>
                <w:sz w:val="22"/>
                <w:szCs w:val="22"/>
              </w:rPr>
              <w:t>4.93</w:t>
            </w:r>
          </w:p>
        </w:tc>
        <w:tc>
          <w:tcPr>
            <w:tcW w:w="1079" w:type="dxa"/>
            <w:tcBorders>
              <w:top w:val="single" w:sz="16" w:space="0" w:color="000000"/>
              <w:bottom w:val="single" w:sz="16" w:space="0" w:color="000000"/>
            </w:tcBorders>
            <w:shd w:val="clear" w:color="auto" w:fill="FFFFFF"/>
            <w:vAlign w:val="center"/>
          </w:tcPr>
          <w:p w14:paraId="4E9A7702" w14:textId="77777777" w:rsidR="000F7F6A" w:rsidRDefault="00952983">
            <w:pPr>
              <w:spacing w:before="40" w:after="40"/>
              <w:ind w:left="100" w:right="100"/>
              <w:jc w:val="center"/>
            </w:pPr>
            <w:r>
              <w:rPr>
                <w:rFonts w:ascii="Arial" w:eastAsia="Arial" w:hAnsi="Arial" w:cs="Arial"/>
                <w:color w:val="111111"/>
                <w:sz w:val="22"/>
                <w:szCs w:val="22"/>
              </w:rPr>
              <w:t>3.48</w:t>
            </w:r>
          </w:p>
        </w:tc>
      </w:tr>
      <w:tr w:rsidR="000F7F6A" w14:paraId="144418BF"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6C67EC94"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69EBDD74"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189B965E" w14:textId="77777777" w:rsidR="000F7F6A" w:rsidRDefault="00952983">
            <w:pPr>
              <w:spacing w:before="40" w:after="40"/>
              <w:ind w:left="100" w:right="100"/>
              <w:jc w:val="center"/>
            </w:pPr>
            <w:r>
              <w:rPr>
                <w:rFonts w:ascii="Arial" w:eastAsia="Arial" w:hAnsi="Arial" w:cs="Arial"/>
                <w:color w:val="111111"/>
                <w:sz w:val="22"/>
                <w:szCs w:val="22"/>
              </w:rPr>
              <w:t xml:space="preserve"> 1.02</w:t>
            </w:r>
          </w:p>
        </w:tc>
        <w:tc>
          <w:tcPr>
            <w:tcW w:w="1080" w:type="dxa"/>
            <w:tcBorders>
              <w:top w:val="single" w:sz="16" w:space="0" w:color="000000"/>
              <w:bottom w:val="single" w:sz="16" w:space="0" w:color="000000"/>
            </w:tcBorders>
            <w:shd w:val="clear" w:color="auto" w:fill="FFFFFF"/>
            <w:vAlign w:val="center"/>
          </w:tcPr>
          <w:p w14:paraId="23E444DB" w14:textId="77777777" w:rsidR="000F7F6A" w:rsidRDefault="00952983">
            <w:pPr>
              <w:spacing w:before="40" w:after="40"/>
              <w:ind w:left="100" w:right="100"/>
              <w:jc w:val="center"/>
            </w:pPr>
            <w:r>
              <w:rPr>
                <w:rFonts w:ascii="Arial" w:eastAsia="Arial" w:hAnsi="Arial" w:cs="Arial"/>
                <w:color w:val="111111"/>
                <w:sz w:val="22"/>
                <w:szCs w:val="22"/>
              </w:rPr>
              <w:t xml:space="preserve"> 2.40</w:t>
            </w:r>
          </w:p>
        </w:tc>
        <w:tc>
          <w:tcPr>
            <w:tcW w:w="1080" w:type="dxa"/>
            <w:tcBorders>
              <w:top w:val="single" w:sz="16" w:space="0" w:color="000000"/>
              <w:bottom w:val="single" w:sz="16" w:space="0" w:color="000000"/>
            </w:tcBorders>
            <w:shd w:val="clear" w:color="auto" w:fill="FFFFFF"/>
            <w:vAlign w:val="center"/>
          </w:tcPr>
          <w:p w14:paraId="07323B96" w14:textId="77777777" w:rsidR="000F7F6A" w:rsidRDefault="00952983">
            <w:pPr>
              <w:spacing w:before="40" w:after="40"/>
              <w:ind w:left="100" w:right="100"/>
              <w:jc w:val="center"/>
            </w:pPr>
            <w:r>
              <w:rPr>
                <w:rFonts w:ascii="Arial" w:eastAsia="Arial" w:hAnsi="Arial" w:cs="Arial"/>
                <w:color w:val="111111"/>
                <w:sz w:val="22"/>
                <w:szCs w:val="22"/>
              </w:rPr>
              <w:t xml:space="preserve"> 6.61</w:t>
            </w:r>
          </w:p>
        </w:tc>
        <w:tc>
          <w:tcPr>
            <w:tcW w:w="1080" w:type="dxa"/>
            <w:tcBorders>
              <w:top w:val="single" w:sz="16" w:space="0" w:color="000000"/>
              <w:bottom w:val="single" w:sz="16" w:space="0" w:color="000000"/>
            </w:tcBorders>
            <w:shd w:val="clear" w:color="auto" w:fill="FFFFFF"/>
            <w:vAlign w:val="center"/>
          </w:tcPr>
          <w:p w14:paraId="2D249B8C" w14:textId="77777777" w:rsidR="000F7F6A" w:rsidRDefault="00952983">
            <w:pPr>
              <w:spacing w:before="40" w:after="40"/>
              <w:ind w:left="100" w:right="100"/>
              <w:jc w:val="center"/>
            </w:pPr>
            <w:r>
              <w:rPr>
                <w:rFonts w:ascii="Arial" w:eastAsia="Arial" w:hAnsi="Arial" w:cs="Arial"/>
                <w:color w:val="111111"/>
                <w:sz w:val="22"/>
                <w:szCs w:val="22"/>
              </w:rPr>
              <w:t>5.63</w:t>
            </w:r>
          </w:p>
        </w:tc>
        <w:tc>
          <w:tcPr>
            <w:tcW w:w="1080" w:type="dxa"/>
            <w:tcBorders>
              <w:top w:val="single" w:sz="16" w:space="0" w:color="000000"/>
              <w:bottom w:val="single" w:sz="16" w:space="0" w:color="000000"/>
            </w:tcBorders>
            <w:shd w:val="clear" w:color="auto" w:fill="FFFFFF"/>
            <w:vAlign w:val="center"/>
          </w:tcPr>
          <w:p w14:paraId="70700A38" w14:textId="77777777" w:rsidR="000F7F6A" w:rsidRDefault="00952983">
            <w:pPr>
              <w:spacing w:before="40" w:after="40"/>
              <w:ind w:left="100" w:right="100"/>
              <w:jc w:val="center"/>
            </w:pPr>
            <w:r>
              <w:rPr>
                <w:rFonts w:ascii="Arial" w:eastAsia="Arial" w:hAnsi="Arial" w:cs="Arial"/>
                <w:color w:val="111111"/>
                <w:sz w:val="22"/>
                <w:szCs w:val="22"/>
              </w:rPr>
              <w:t>4.11</w:t>
            </w:r>
          </w:p>
        </w:tc>
        <w:tc>
          <w:tcPr>
            <w:tcW w:w="1079" w:type="dxa"/>
            <w:tcBorders>
              <w:top w:val="single" w:sz="16" w:space="0" w:color="000000"/>
              <w:bottom w:val="single" w:sz="16" w:space="0" w:color="000000"/>
            </w:tcBorders>
            <w:shd w:val="clear" w:color="auto" w:fill="FFFFFF"/>
            <w:vAlign w:val="center"/>
          </w:tcPr>
          <w:p w14:paraId="154507AC" w14:textId="77777777" w:rsidR="000F7F6A" w:rsidRDefault="00952983">
            <w:pPr>
              <w:spacing w:before="40" w:after="40"/>
              <w:ind w:left="100" w:right="100"/>
              <w:jc w:val="center"/>
            </w:pPr>
            <w:r>
              <w:rPr>
                <w:rFonts w:ascii="Arial" w:eastAsia="Arial" w:hAnsi="Arial" w:cs="Arial"/>
                <w:color w:val="111111"/>
                <w:sz w:val="22"/>
                <w:szCs w:val="22"/>
              </w:rPr>
              <w:t>2.89</w:t>
            </w:r>
          </w:p>
        </w:tc>
      </w:tr>
      <w:tr w:rsidR="000F7F6A" w14:paraId="2603AE4E"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37600E6"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310D4329"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64D639EF" w14:textId="77777777" w:rsidR="000F7F6A" w:rsidRDefault="00952983">
            <w:pPr>
              <w:spacing w:before="40" w:after="40"/>
              <w:ind w:left="100" w:right="100"/>
              <w:jc w:val="center"/>
            </w:pPr>
            <w:r>
              <w:rPr>
                <w:rFonts w:ascii="Arial" w:eastAsia="Arial" w:hAnsi="Arial" w:cs="Arial"/>
                <w:color w:val="111111"/>
                <w:sz w:val="22"/>
                <w:szCs w:val="22"/>
              </w:rPr>
              <w:t xml:space="preserve"> 0.62</w:t>
            </w:r>
          </w:p>
        </w:tc>
        <w:tc>
          <w:tcPr>
            <w:tcW w:w="1080" w:type="dxa"/>
            <w:tcBorders>
              <w:top w:val="single" w:sz="16" w:space="0" w:color="000000"/>
              <w:bottom w:val="single" w:sz="16" w:space="0" w:color="000000"/>
            </w:tcBorders>
            <w:shd w:val="clear" w:color="auto" w:fill="FFFFFF"/>
            <w:vAlign w:val="center"/>
          </w:tcPr>
          <w:p w14:paraId="09796EF4" w14:textId="77777777" w:rsidR="000F7F6A" w:rsidRDefault="00952983">
            <w:pPr>
              <w:spacing w:before="40" w:after="40"/>
              <w:ind w:left="100" w:right="100"/>
              <w:jc w:val="center"/>
            </w:pPr>
            <w:r>
              <w:rPr>
                <w:rFonts w:ascii="Arial" w:eastAsia="Arial" w:hAnsi="Arial" w:cs="Arial"/>
                <w:color w:val="111111"/>
                <w:sz w:val="22"/>
                <w:szCs w:val="22"/>
              </w:rPr>
              <w:t xml:space="preserve"> 1.26</w:t>
            </w:r>
          </w:p>
        </w:tc>
        <w:tc>
          <w:tcPr>
            <w:tcW w:w="1080" w:type="dxa"/>
            <w:tcBorders>
              <w:top w:val="single" w:sz="16" w:space="0" w:color="000000"/>
              <w:bottom w:val="single" w:sz="16" w:space="0" w:color="000000"/>
            </w:tcBorders>
            <w:shd w:val="clear" w:color="auto" w:fill="FFFFFF"/>
            <w:vAlign w:val="center"/>
          </w:tcPr>
          <w:p w14:paraId="12A2340D" w14:textId="77777777" w:rsidR="000F7F6A" w:rsidRDefault="00952983">
            <w:pPr>
              <w:spacing w:before="40" w:after="40"/>
              <w:ind w:left="100" w:right="100"/>
              <w:jc w:val="center"/>
            </w:pPr>
            <w:r>
              <w:rPr>
                <w:rFonts w:ascii="Arial" w:eastAsia="Arial" w:hAnsi="Arial" w:cs="Arial"/>
                <w:color w:val="111111"/>
                <w:sz w:val="22"/>
                <w:szCs w:val="22"/>
              </w:rPr>
              <w:t xml:space="preserve"> 2.79</w:t>
            </w:r>
          </w:p>
        </w:tc>
        <w:tc>
          <w:tcPr>
            <w:tcW w:w="1080" w:type="dxa"/>
            <w:tcBorders>
              <w:top w:val="single" w:sz="16" w:space="0" w:color="000000"/>
              <w:bottom w:val="single" w:sz="16" w:space="0" w:color="000000"/>
            </w:tcBorders>
            <w:shd w:val="clear" w:color="auto" w:fill="FFFFFF"/>
            <w:vAlign w:val="center"/>
          </w:tcPr>
          <w:p w14:paraId="73B38D0B" w14:textId="77777777" w:rsidR="000F7F6A" w:rsidRDefault="00952983">
            <w:pPr>
              <w:spacing w:before="40" w:after="40"/>
              <w:ind w:left="100" w:right="100"/>
              <w:jc w:val="center"/>
            </w:pPr>
            <w:r>
              <w:rPr>
                <w:rFonts w:ascii="Arial" w:eastAsia="Arial" w:hAnsi="Arial" w:cs="Arial"/>
                <w:color w:val="111111"/>
                <w:sz w:val="22"/>
                <w:szCs w:val="22"/>
              </w:rPr>
              <w:t>4.80</w:t>
            </w:r>
          </w:p>
        </w:tc>
        <w:tc>
          <w:tcPr>
            <w:tcW w:w="1080" w:type="dxa"/>
            <w:tcBorders>
              <w:top w:val="single" w:sz="16" w:space="0" w:color="000000"/>
              <w:bottom w:val="single" w:sz="16" w:space="0" w:color="000000"/>
            </w:tcBorders>
            <w:shd w:val="clear" w:color="auto" w:fill="FFFFFF"/>
            <w:vAlign w:val="center"/>
          </w:tcPr>
          <w:p w14:paraId="4A36D349" w14:textId="77777777" w:rsidR="000F7F6A" w:rsidRDefault="00952983">
            <w:pPr>
              <w:spacing w:before="40" w:after="40"/>
              <w:ind w:left="100" w:right="100"/>
              <w:jc w:val="center"/>
            </w:pPr>
            <w:r>
              <w:rPr>
                <w:rFonts w:ascii="Arial" w:eastAsia="Arial" w:hAnsi="Arial" w:cs="Arial"/>
                <w:color w:val="111111"/>
                <w:sz w:val="22"/>
                <w:szCs w:val="22"/>
              </w:rPr>
              <w:t>3.68</w:t>
            </w:r>
          </w:p>
        </w:tc>
        <w:tc>
          <w:tcPr>
            <w:tcW w:w="1079" w:type="dxa"/>
            <w:tcBorders>
              <w:top w:val="single" w:sz="16" w:space="0" w:color="000000"/>
              <w:bottom w:val="single" w:sz="16" w:space="0" w:color="000000"/>
            </w:tcBorders>
            <w:shd w:val="clear" w:color="auto" w:fill="FFFFFF"/>
            <w:vAlign w:val="center"/>
          </w:tcPr>
          <w:p w14:paraId="34546DC3" w14:textId="77777777" w:rsidR="000F7F6A" w:rsidRDefault="00952983">
            <w:pPr>
              <w:spacing w:before="40" w:after="40"/>
              <w:ind w:left="100" w:right="100"/>
              <w:jc w:val="center"/>
            </w:pPr>
            <w:r>
              <w:rPr>
                <w:rFonts w:ascii="Arial" w:eastAsia="Arial" w:hAnsi="Arial" w:cs="Arial"/>
                <w:color w:val="111111"/>
                <w:sz w:val="22"/>
                <w:szCs w:val="22"/>
              </w:rPr>
              <w:t>2.70</w:t>
            </w:r>
          </w:p>
        </w:tc>
      </w:tr>
      <w:tr w:rsidR="000F7F6A" w14:paraId="7C45B02E"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6429F5A"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74E848A9"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0E387D19" w14:textId="77777777" w:rsidR="000F7F6A" w:rsidRDefault="00952983">
            <w:pPr>
              <w:spacing w:before="40" w:after="40"/>
              <w:ind w:left="100" w:right="100"/>
              <w:jc w:val="center"/>
            </w:pPr>
            <w:r>
              <w:rPr>
                <w:rFonts w:ascii="Arial" w:eastAsia="Arial" w:hAnsi="Arial" w:cs="Arial"/>
                <w:color w:val="111111"/>
                <w:sz w:val="22"/>
                <w:szCs w:val="22"/>
              </w:rPr>
              <w:t xml:space="preserve"> 0.33</w:t>
            </w:r>
          </w:p>
        </w:tc>
        <w:tc>
          <w:tcPr>
            <w:tcW w:w="1080" w:type="dxa"/>
            <w:tcBorders>
              <w:top w:val="single" w:sz="16" w:space="0" w:color="000000"/>
              <w:bottom w:val="single" w:sz="16" w:space="0" w:color="000000"/>
            </w:tcBorders>
            <w:shd w:val="clear" w:color="auto" w:fill="FFFFFF"/>
            <w:vAlign w:val="center"/>
          </w:tcPr>
          <w:p w14:paraId="2823EBBE" w14:textId="77777777" w:rsidR="000F7F6A" w:rsidRDefault="00952983">
            <w:pPr>
              <w:spacing w:before="40" w:after="40"/>
              <w:ind w:left="100" w:right="100"/>
              <w:jc w:val="center"/>
            </w:pPr>
            <w:r>
              <w:rPr>
                <w:rFonts w:ascii="Arial" w:eastAsia="Arial" w:hAnsi="Arial" w:cs="Arial"/>
                <w:color w:val="111111"/>
                <w:sz w:val="22"/>
                <w:szCs w:val="22"/>
              </w:rPr>
              <w:t xml:space="preserve"> 0.31</w:t>
            </w:r>
          </w:p>
        </w:tc>
        <w:tc>
          <w:tcPr>
            <w:tcW w:w="1080" w:type="dxa"/>
            <w:tcBorders>
              <w:top w:val="single" w:sz="16" w:space="0" w:color="000000"/>
              <w:bottom w:val="single" w:sz="16" w:space="0" w:color="000000"/>
            </w:tcBorders>
            <w:shd w:val="clear" w:color="auto" w:fill="FFFFFF"/>
            <w:vAlign w:val="center"/>
          </w:tcPr>
          <w:p w14:paraId="0517B2B1" w14:textId="77777777" w:rsidR="000F7F6A" w:rsidRDefault="00952983">
            <w:pPr>
              <w:spacing w:before="40" w:after="40"/>
              <w:ind w:left="100" w:right="100"/>
              <w:jc w:val="center"/>
            </w:pPr>
            <w:r>
              <w:rPr>
                <w:rFonts w:ascii="Arial" w:eastAsia="Arial" w:hAnsi="Arial" w:cs="Arial"/>
                <w:color w:val="111111"/>
                <w:sz w:val="22"/>
                <w:szCs w:val="22"/>
              </w:rPr>
              <w:t xml:space="preserve"> 0.40</w:t>
            </w:r>
          </w:p>
        </w:tc>
        <w:tc>
          <w:tcPr>
            <w:tcW w:w="1080" w:type="dxa"/>
            <w:tcBorders>
              <w:top w:val="single" w:sz="16" w:space="0" w:color="000000"/>
              <w:bottom w:val="single" w:sz="16" w:space="0" w:color="000000"/>
            </w:tcBorders>
            <w:shd w:val="clear" w:color="auto" w:fill="FFFFFF"/>
            <w:vAlign w:val="center"/>
          </w:tcPr>
          <w:p w14:paraId="792EDB88" w14:textId="77777777" w:rsidR="000F7F6A" w:rsidRDefault="00952983">
            <w:pPr>
              <w:spacing w:before="40" w:after="40"/>
              <w:ind w:left="100" w:right="100"/>
              <w:jc w:val="center"/>
            </w:pPr>
            <w:r>
              <w:rPr>
                <w:rFonts w:ascii="Arial" w:eastAsia="Arial" w:hAnsi="Arial" w:cs="Arial"/>
                <w:color w:val="111111"/>
                <w:sz w:val="22"/>
                <w:szCs w:val="22"/>
              </w:rPr>
              <w:t>4.33</w:t>
            </w:r>
          </w:p>
        </w:tc>
        <w:tc>
          <w:tcPr>
            <w:tcW w:w="1080" w:type="dxa"/>
            <w:tcBorders>
              <w:top w:val="single" w:sz="16" w:space="0" w:color="000000"/>
              <w:bottom w:val="single" w:sz="16" w:space="0" w:color="000000"/>
            </w:tcBorders>
            <w:shd w:val="clear" w:color="auto" w:fill="FFFFFF"/>
            <w:vAlign w:val="center"/>
          </w:tcPr>
          <w:p w14:paraId="15A8E932" w14:textId="77777777" w:rsidR="000F7F6A" w:rsidRDefault="00952983">
            <w:pPr>
              <w:spacing w:before="40" w:after="40"/>
              <w:ind w:left="100" w:right="100"/>
              <w:jc w:val="center"/>
            </w:pPr>
            <w:r>
              <w:rPr>
                <w:rFonts w:ascii="Arial" w:eastAsia="Arial" w:hAnsi="Arial" w:cs="Arial"/>
                <w:color w:val="111111"/>
                <w:sz w:val="22"/>
                <w:szCs w:val="22"/>
              </w:rPr>
              <w:t>3.49</w:t>
            </w:r>
          </w:p>
        </w:tc>
        <w:tc>
          <w:tcPr>
            <w:tcW w:w="1079" w:type="dxa"/>
            <w:tcBorders>
              <w:top w:val="single" w:sz="16" w:space="0" w:color="000000"/>
              <w:bottom w:val="single" w:sz="16" w:space="0" w:color="000000"/>
            </w:tcBorders>
            <w:shd w:val="clear" w:color="auto" w:fill="FFFFFF"/>
            <w:vAlign w:val="center"/>
          </w:tcPr>
          <w:p w14:paraId="0C06CF27" w14:textId="77777777" w:rsidR="000F7F6A" w:rsidRDefault="00952983">
            <w:pPr>
              <w:spacing w:before="40" w:after="40"/>
              <w:ind w:left="100" w:right="100"/>
              <w:jc w:val="center"/>
            </w:pPr>
            <w:r>
              <w:rPr>
                <w:rFonts w:ascii="Arial" w:eastAsia="Arial" w:hAnsi="Arial" w:cs="Arial"/>
                <w:color w:val="111111"/>
                <w:sz w:val="22"/>
                <w:szCs w:val="22"/>
              </w:rPr>
              <w:t>2.42</w:t>
            </w:r>
          </w:p>
        </w:tc>
      </w:tr>
      <w:tr w:rsidR="000F7F6A" w14:paraId="718FE869"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884CA93"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395C389A"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21F44590" w14:textId="77777777" w:rsidR="000F7F6A" w:rsidRDefault="00952983">
            <w:pPr>
              <w:spacing w:before="40" w:after="40"/>
              <w:ind w:left="100" w:right="100"/>
              <w:jc w:val="center"/>
            </w:pPr>
            <w:r>
              <w:rPr>
                <w:rFonts w:ascii="Arial" w:eastAsia="Arial" w:hAnsi="Arial" w:cs="Arial"/>
                <w:color w:val="111111"/>
                <w:sz w:val="22"/>
                <w:szCs w:val="22"/>
              </w:rPr>
              <w:t xml:space="preserve"> 1.01</w:t>
            </w:r>
          </w:p>
        </w:tc>
        <w:tc>
          <w:tcPr>
            <w:tcW w:w="1080" w:type="dxa"/>
            <w:tcBorders>
              <w:top w:val="single" w:sz="16" w:space="0" w:color="000000"/>
              <w:bottom w:val="single" w:sz="16" w:space="0" w:color="000000"/>
            </w:tcBorders>
            <w:shd w:val="clear" w:color="auto" w:fill="FFFFFF"/>
            <w:vAlign w:val="center"/>
          </w:tcPr>
          <w:p w14:paraId="331D6215" w14:textId="77777777" w:rsidR="000F7F6A" w:rsidRDefault="00952983">
            <w:pPr>
              <w:spacing w:before="40" w:after="40"/>
              <w:ind w:left="100" w:right="100"/>
              <w:jc w:val="center"/>
            </w:pPr>
            <w:r>
              <w:rPr>
                <w:rFonts w:ascii="Arial" w:eastAsia="Arial" w:hAnsi="Arial" w:cs="Arial"/>
                <w:color w:val="111111"/>
                <w:sz w:val="22"/>
                <w:szCs w:val="22"/>
              </w:rPr>
              <w:t xml:space="preserve"> 2.79</w:t>
            </w:r>
          </w:p>
        </w:tc>
        <w:tc>
          <w:tcPr>
            <w:tcW w:w="1080" w:type="dxa"/>
            <w:tcBorders>
              <w:top w:val="single" w:sz="16" w:space="0" w:color="000000"/>
              <w:bottom w:val="single" w:sz="16" w:space="0" w:color="000000"/>
            </w:tcBorders>
            <w:shd w:val="clear" w:color="auto" w:fill="FFFFFF"/>
            <w:vAlign w:val="center"/>
          </w:tcPr>
          <w:p w14:paraId="09487F06" w14:textId="77777777" w:rsidR="000F7F6A" w:rsidRDefault="00952983">
            <w:pPr>
              <w:spacing w:before="40" w:after="40"/>
              <w:ind w:left="100" w:right="100"/>
              <w:jc w:val="center"/>
            </w:pPr>
            <w:r>
              <w:rPr>
                <w:rFonts w:ascii="Arial" w:eastAsia="Arial" w:hAnsi="Arial" w:cs="Arial"/>
                <w:color w:val="111111"/>
                <w:sz w:val="22"/>
                <w:szCs w:val="22"/>
              </w:rPr>
              <w:t xml:space="preserve"> 4.54</w:t>
            </w:r>
          </w:p>
        </w:tc>
        <w:tc>
          <w:tcPr>
            <w:tcW w:w="1080" w:type="dxa"/>
            <w:tcBorders>
              <w:top w:val="single" w:sz="16" w:space="0" w:color="000000"/>
              <w:bottom w:val="single" w:sz="16" w:space="0" w:color="000000"/>
            </w:tcBorders>
            <w:shd w:val="clear" w:color="auto" w:fill="FFFFFF"/>
            <w:vAlign w:val="center"/>
          </w:tcPr>
          <w:p w14:paraId="3D3DAFEB" w14:textId="77777777" w:rsidR="000F7F6A" w:rsidRDefault="00952983">
            <w:pPr>
              <w:spacing w:before="40" w:after="40"/>
              <w:ind w:left="100" w:right="100"/>
              <w:jc w:val="center"/>
            </w:pPr>
            <w:r>
              <w:rPr>
                <w:rFonts w:ascii="Arial" w:eastAsia="Arial" w:hAnsi="Arial" w:cs="Arial"/>
                <w:color w:val="111111"/>
                <w:sz w:val="22"/>
                <w:szCs w:val="22"/>
              </w:rPr>
              <w:t>5.51</w:t>
            </w:r>
          </w:p>
        </w:tc>
        <w:tc>
          <w:tcPr>
            <w:tcW w:w="1080" w:type="dxa"/>
            <w:tcBorders>
              <w:top w:val="single" w:sz="16" w:space="0" w:color="000000"/>
              <w:bottom w:val="single" w:sz="16" w:space="0" w:color="000000"/>
            </w:tcBorders>
            <w:shd w:val="clear" w:color="auto" w:fill="FFFFFF"/>
            <w:vAlign w:val="center"/>
          </w:tcPr>
          <w:p w14:paraId="0292A0B1" w14:textId="77777777" w:rsidR="000F7F6A" w:rsidRDefault="00952983">
            <w:pPr>
              <w:spacing w:before="40" w:after="40"/>
              <w:ind w:left="100" w:right="100"/>
              <w:jc w:val="center"/>
            </w:pPr>
            <w:r>
              <w:rPr>
                <w:rFonts w:ascii="Arial" w:eastAsia="Arial" w:hAnsi="Arial" w:cs="Arial"/>
                <w:color w:val="111111"/>
                <w:sz w:val="22"/>
                <w:szCs w:val="22"/>
              </w:rPr>
              <w:t>4.04</w:t>
            </w:r>
          </w:p>
        </w:tc>
        <w:tc>
          <w:tcPr>
            <w:tcW w:w="1079" w:type="dxa"/>
            <w:tcBorders>
              <w:top w:val="single" w:sz="16" w:space="0" w:color="000000"/>
              <w:bottom w:val="single" w:sz="16" w:space="0" w:color="000000"/>
            </w:tcBorders>
            <w:shd w:val="clear" w:color="auto" w:fill="FFFFFF"/>
            <w:vAlign w:val="center"/>
          </w:tcPr>
          <w:p w14:paraId="4E2B635E" w14:textId="77777777" w:rsidR="000F7F6A" w:rsidRDefault="00952983">
            <w:pPr>
              <w:spacing w:before="40" w:after="40"/>
              <w:ind w:left="100" w:right="100"/>
              <w:jc w:val="center"/>
            </w:pPr>
            <w:r>
              <w:rPr>
                <w:rFonts w:ascii="Arial" w:eastAsia="Arial" w:hAnsi="Arial" w:cs="Arial"/>
                <w:color w:val="111111"/>
                <w:sz w:val="22"/>
                <w:szCs w:val="22"/>
              </w:rPr>
              <w:t>2.86</w:t>
            </w:r>
          </w:p>
        </w:tc>
      </w:tr>
      <w:tr w:rsidR="000F7F6A" w14:paraId="72DF172D"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38D3FE21"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37C906BD"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361456D4" w14:textId="77777777" w:rsidR="000F7F6A" w:rsidRDefault="00952983">
            <w:pPr>
              <w:spacing w:before="40" w:after="40"/>
              <w:ind w:left="100" w:right="100"/>
              <w:jc w:val="center"/>
            </w:pPr>
            <w:r>
              <w:rPr>
                <w:rFonts w:ascii="Arial" w:eastAsia="Arial" w:hAnsi="Arial" w:cs="Arial"/>
                <w:color w:val="111111"/>
                <w:sz w:val="22"/>
                <w:szCs w:val="22"/>
              </w:rPr>
              <w:t xml:space="preserve"> 0.54</w:t>
            </w:r>
          </w:p>
        </w:tc>
        <w:tc>
          <w:tcPr>
            <w:tcW w:w="1080" w:type="dxa"/>
            <w:tcBorders>
              <w:top w:val="single" w:sz="16" w:space="0" w:color="000000"/>
              <w:bottom w:val="single" w:sz="16" w:space="0" w:color="000000"/>
            </w:tcBorders>
            <w:shd w:val="clear" w:color="auto" w:fill="FFFFFF"/>
            <w:vAlign w:val="center"/>
          </w:tcPr>
          <w:p w14:paraId="4553D882" w14:textId="77777777" w:rsidR="000F7F6A" w:rsidRDefault="00952983">
            <w:pPr>
              <w:spacing w:before="40" w:after="40"/>
              <w:ind w:left="100" w:right="100"/>
              <w:jc w:val="center"/>
            </w:pPr>
            <w:r>
              <w:rPr>
                <w:rFonts w:ascii="Arial" w:eastAsia="Arial" w:hAnsi="Arial" w:cs="Arial"/>
                <w:color w:val="111111"/>
                <w:sz w:val="22"/>
                <w:szCs w:val="22"/>
              </w:rPr>
              <w:t xml:space="preserve"> 1.58</w:t>
            </w:r>
          </w:p>
        </w:tc>
        <w:tc>
          <w:tcPr>
            <w:tcW w:w="1080" w:type="dxa"/>
            <w:tcBorders>
              <w:top w:val="single" w:sz="16" w:space="0" w:color="000000"/>
              <w:bottom w:val="single" w:sz="16" w:space="0" w:color="000000"/>
            </w:tcBorders>
            <w:shd w:val="clear" w:color="auto" w:fill="FFFFFF"/>
            <w:vAlign w:val="center"/>
          </w:tcPr>
          <w:p w14:paraId="3CA5D6BB" w14:textId="77777777" w:rsidR="000F7F6A" w:rsidRDefault="00952983">
            <w:pPr>
              <w:spacing w:before="40" w:after="40"/>
              <w:ind w:left="100" w:right="100"/>
              <w:jc w:val="center"/>
            </w:pPr>
            <w:r>
              <w:rPr>
                <w:rFonts w:ascii="Arial" w:eastAsia="Arial" w:hAnsi="Arial" w:cs="Arial"/>
                <w:color w:val="111111"/>
                <w:sz w:val="22"/>
                <w:szCs w:val="22"/>
              </w:rPr>
              <w:t xml:space="preserve"> 4.08</w:t>
            </w:r>
          </w:p>
        </w:tc>
        <w:tc>
          <w:tcPr>
            <w:tcW w:w="1080" w:type="dxa"/>
            <w:tcBorders>
              <w:top w:val="single" w:sz="16" w:space="0" w:color="000000"/>
              <w:bottom w:val="single" w:sz="16" w:space="0" w:color="000000"/>
            </w:tcBorders>
            <w:shd w:val="clear" w:color="auto" w:fill="FFFFFF"/>
            <w:vAlign w:val="center"/>
          </w:tcPr>
          <w:p w14:paraId="412BA62A" w14:textId="77777777" w:rsidR="000F7F6A" w:rsidRDefault="00952983">
            <w:pPr>
              <w:spacing w:before="40" w:after="40"/>
              <w:ind w:left="100" w:right="100"/>
              <w:jc w:val="center"/>
            </w:pPr>
            <w:r>
              <w:rPr>
                <w:rFonts w:ascii="Arial" w:eastAsia="Arial" w:hAnsi="Arial" w:cs="Arial"/>
                <w:color w:val="111111"/>
                <w:sz w:val="22"/>
                <w:szCs w:val="22"/>
              </w:rPr>
              <w:t>4.42</w:t>
            </w:r>
          </w:p>
        </w:tc>
        <w:tc>
          <w:tcPr>
            <w:tcW w:w="1080" w:type="dxa"/>
            <w:tcBorders>
              <w:top w:val="single" w:sz="16" w:space="0" w:color="000000"/>
              <w:bottom w:val="single" w:sz="16" w:space="0" w:color="000000"/>
            </w:tcBorders>
            <w:shd w:val="clear" w:color="auto" w:fill="FFFFFF"/>
            <w:vAlign w:val="center"/>
          </w:tcPr>
          <w:p w14:paraId="4292781E" w14:textId="77777777" w:rsidR="000F7F6A" w:rsidRDefault="00952983">
            <w:pPr>
              <w:spacing w:before="40" w:after="40"/>
              <w:ind w:left="100" w:right="100"/>
              <w:jc w:val="center"/>
            </w:pPr>
            <w:r>
              <w:rPr>
                <w:rFonts w:ascii="Arial" w:eastAsia="Arial" w:hAnsi="Arial" w:cs="Arial"/>
                <w:color w:val="111111"/>
                <w:sz w:val="22"/>
                <w:szCs w:val="22"/>
              </w:rPr>
              <w:t>3.23</w:t>
            </w:r>
          </w:p>
        </w:tc>
        <w:tc>
          <w:tcPr>
            <w:tcW w:w="1079" w:type="dxa"/>
            <w:tcBorders>
              <w:top w:val="single" w:sz="16" w:space="0" w:color="000000"/>
              <w:bottom w:val="single" w:sz="16" w:space="0" w:color="000000"/>
            </w:tcBorders>
            <w:shd w:val="clear" w:color="auto" w:fill="FFFFFF"/>
            <w:vAlign w:val="center"/>
          </w:tcPr>
          <w:p w14:paraId="0816EF18" w14:textId="77777777" w:rsidR="000F7F6A" w:rsidRDefault="00952983">
            <w:pPr>
              <w:spacing w:before="40" w:after="40"/>
              <w:ind w:left="100" w:right="100"/>
              <w:jc w:val="center"/>
            </w:pPr>
            <w:r>
              <w:rPr>
                <w:rFonts w:ascii="Arial" w:eastAsia="Arial" w:hAnsi="Arial" w:cs="Arial"/>
                <w:color w:val="111111"/>
                <w:sz w:val="22"/>
                <w:szCs w:val="22"/>
              </w:rPr>
              <w:t>2.40</w:t>
            </w:r>
          </w:p>
        </w:tc>
      </w:tr>
      <w:tr w:rsidR="000F7F6A" w14:paraId="6782364C"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38900AC"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69EBB2E7"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123B41D4" w14:textId="77777777" w:rsidR="000F7F6A" w:rsidRDefault="00952983">
            <w:pPr>
              <w:spacing w:before="40" w:after="40"/>
              <w:ind w:left="100" w:right="100"/>
              <w:jc w:val="center"/>
            </w:pPr>
            <w:r>
              <w:rPr>
                <w:rFonts w:ascii="Arial" w:eastAsia="Arial" w:hAnsi="Arial" w:cs="Arial"/>
                <w:color w:val="111111"/>
                <w:sz w:val="22"/>
                <w:szCs w:val="22"/>
              </w:rPr>
              <w:t xml:space="preserve"> 0.87</w:t>
            </w:r>
          </w:p>
        </w:tc>
        <w:tc>
          <w:tcPr>
            <w:tcW w:w="1080" w:type="dxa"/>
            <w:tcBorders>
              <w:top w:val="single" w:sz="16" w:space="0" w:color="000000"/>
              <w:bottom w:val="single" w:sz="16" w:space="0" w:color="000000"/>
            </w:tcBorders>
            <w:shd w:val="clear" w:color="auto" w:fill="FFFFFF"/>
            <w:vAlign w:val="center"/>
          </w:tcPr>
          <w:p w14:paraId="065929CD" w14:textId="77777777" w:rsidR="000F7F6A" w:rsidRDefault="00952983">
            <w:pPr>
              <w:spacing w:before="40" w:after="40"/>
              <w:ind w:left="100" w:right="100"/>
              <w:jc w:val="center"/>
            </w:pPr>
            <w:r>
              <w:rPr>
                <w:rFonts w:ascii="Arial" w:eastAsia="Arial" w:hAnsi="Arial" w:cs="Arial"/>
                <w:color w:val="111111"/>
                <w:sz w:val="22"/>
                <w:szCs w:val="22"/>
              </w:rPr>
              <w:t xml:space="preserve"> 3.17</w:t>
            </w:r>
          </w:p>
        </w:tc>
        <w:tc>
          <w:tcPr>
            <w:tcW w:w="1080" w:type="dxa"/>
            <w:tcBorders>
              <w:top w:val="single" w:sz="16" w:space="0" w:color="000000"/>
              <w:bottom w:val="single" w:sz="16" w:space="0" w:color="000000"/>
            </w:tcBorders>
            <w:shd w:val="clear" w:color="auto" w:fill="FFFFFF"/>
            <w:vAlign w:val="center"/>
          </w:tcPr>
          <w:p w14:paraId="25A55166" w14:textId="77777777" w:rsidR="000F7F6A" w:rsidRDefault="00952983">
            <w:pPr>
              <w:spacing w:before="40" w:after="40"/>
              <w:ind w:left="100" w:right="100"/>
              <w:jc w:val="center"/>
            </w:pPr>
            <w:r>
              <w:rPr>
                <w:rFonts w:ascii="Arial" w:eastAsia="Arial" w:hAnsi="Arial" w:cs="Arial"/>
                <w:color w:val="111111"/>
                <w:sz w:val="22"/>
                <w:szCs w:val="22"/>
              </w:rPr>
              <w:t xml:space="preserve"> 7.96</w:t>
            </w:r>
          </w:p>
        </w:tc>
        <w:tc>
          <w:tcPr>
            <w:tcW w:w="1080" w:type="dxa"/>
            <w:tcBorders>
              <w:top w:val="single" w:sz="16" w:space="0" w:color="000000"/>
              <w:bottom w:val="single" w:sz="16" w:space="0" w:color="000000"/>
            </w:tcBorders>
            <w:shd w:val="clear" w:color="auto" w:fill="FFFFFF"/>
            <w:vAlign w:val="center"/>
          </w:tcPr>
          <w:p w14:paraId="52308B2C" w14:textId="77777777" w:rsidR="000F7F6A" w:rsidRDefault="00952983">
            <w:pPr>
              <w:spacing w:before="40" w:after="40"/>
              <w:ind w:left="100" w:right="100"/>
              <w:jc w:val="center"/>
            </w:pPr>
            <w:r>
              <w:rPr>
                <w:rFonts w:ascii="Arial" w:eastAsia="Arial" w:hAnsi="Arial" w:cs="Arial"/>
                <w:color w:val="111111"/>
                <w:sz w:val="22"/>
                <w:szCs w:val="22"/>
              </w:rPr>
              <w:t>4.26</w:t>
            </w:r>
          </w:p>
        </w:tc>
        <w:tc>
          <w:tcPr>
            <w:tcW w:w="1080" w:type="dxa"/>
            <w:tcBorders>
              <w:top w:val="single" w:sz="16" w:space="0" w:color="000000"/>
              <w:bottom w:val="single" w:sz="16" w:space="0" w:color="000000"/>
            </w:tcBorders>
            <w:shd w:val="clear" w:color="auto" w:fill="FFFFFF"/>
            <w:vAlign w:val="center"/>
          </w:tcPr>
          <w:p w14:paraId="2B57FE03" w14:textId="77777777" w:rsidR="000F7F6A" w:rsidRDefault="00952983">
            <w:pPr>
              <w:spacing w:before="40" w:after="40"/>
              <w:ind w:left="100" w:right="100"/>
              <w:jc w:val="center"/>
            </w:pPr>
            <w:r>
              <w:rPr>
                <w:rFonts w:ascii="Arial" w:eastAsia="Arial" w:hAnsi="Arial" w:cs="Arial"/>
                <w:color w:val="111111"/>
                <w:sz w:val="22"/>
                <w:szCs w:val="22"/>
              </w:rPr>
              <w:t>3.01</w:t>
            </w:r>
          </w:p>
        </w:tc>
        <w:tc>
          <w:tcPr>
            <w:tcW w:w="1079" w:type="dxa"/>
            <w:tcBorders>
              <w:top w:val="single" w:sz="16" w:space="0" w:color="000000"/>
              <w:bottom w:val="single" w:sz="16" w:space="0" w:color="000000"/>
            </w:tcBorders>
            <w:shd w:val="clear" w:color="auto" w:fill="FFFFFF"/>
            <w:vAlign w:val="center"/>
          </w:tcPr>
          <w:p w14:paraId="69B88990" w14:textId="77777777" w:rsidR="000F7F6A" w:rsidRDefault="00952983">
            <w:pPr>
              <w:spacing w:before="40" w:after="40"/>
              <w:ind w:left="100" w:right="100"/>
              <w:jc w:val="center"/>
            </w:pPr>
            <w:r>
              <w:rPr>
                <w:rFonts w:ascii="Arial" w:eastAsia="Arial" w:hAnsi="Arial" w:cs="Arial"/>
                <w:color w:val="111111"/>
                <w:sz w:val="22"/>
                <w:szCs w:val="22"/>
              </w:rPr>
              <w:t>2.26</w:t>
            </w:r>
          </w:p>
        </w:tc>
      </w:tr>
      <w:tr w:rsidR="000F7F6A" w14:paraId="280D02B0"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969EB69"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3F78E0E7"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1B58DBE1" w14:textId="77777777" w:rsidR="000F7F6A" w:rsidRDefault="00952983">
            <w:pPr>
              <w:spacing w:before="40" w:after="40"/>
              <w:ind w:left="100" w:right="100"/>
              <w:jc w:val="center"/>
            </w:pPr>
            <w:r>
              <w:rPr>
                <w:rFonts w:ascii="Arial" w:eastAsia="Arial" w:hAnsi="Arial" w:cs="Arial"/>
                <w:color w:val="111111"/>
                <w:sz w:val="22"/>
                <w:szCs w:val="22"/>
              </w:rPr>
              <w:t xml:space="preserve"> 0.64</w:t>
            </w:r>
          </w:p>
        </w:tc>
        <w:tc>
          <w:tcPr>
            <w:tcW w:w="1080" w:type="dxa"/>
            <w:tcBorders>
              <w:top w:val="single" w:sz="16" w:space="0" w:color="000000"/>
              <w:bottom w:val="single" w:sz="16" w:space="0" w:color="000000"/>
            </w:tcBorders>
            <w:shd w:val="clear" w:color="auto" w:fill="FFFFFF"/>
            <w:vAlign w:val="center"/>
          </w:tcPr>
          <w:p w14:paraId="3AF81809" w14:textId="77777777" w:rsidR="000F7F6A" w:rsidRDefault="00952983">
            <w:pPr>
              <w:spacing w:before="40" w:after="40"/>
              <w:ind w:left="100" w:right="100"/>
              <w:jc w:val="center"/>
            </w:pPr>
            <w:r>
              <w:rPr>
                <w:rFonts w:ascii="Arial" w:eastAsia="Arial" w:hAnsi="Arial" w:cs="Arial"/>
                <w:color w:val="111111"/>
                <w:sz w:val="22"/>
                <w:szCs w:val="22"/>
              </w:rPr>
              <w:t xml:space="preserve"> 1.33</w:t>
            </w:r>
          </w:p>
        </w:tc>
        <w:tc>
          <w:tcPr>
            <w:tcW w:w="1080" w:type="dxa"/>
            <w:tcBorders>
              <w:top w:val="single" w:sz="16" w:space="0" w:color="000000"/>
              <w:bottom w:val="single" w:sz="16" w:space="0" w:color="000000"/>
            </w:tcBorders>
            <w:shd w:val="clear" w:color="auto" w:fill="FFFFFF"/>
            <w:vAlign w:val="center"/>
          </w:tcPr>
          <w:p w14:paraId="5ABEEE2E" w14:textId="77777777" w:rsidR="000F7F6A" w:rsidRDefault="00952983">
            <w:pPr>
              <w:spacing w:before="40" w:after="40"/>
              <w:ind w:left="100" w:right="100"/>
              <w:jc w:val="center"/>
            </w:pPr>
            <w:r>
              <w:rPr>
                <w:rFonts w:ascii="Arial" w:eastAsia="Arial" w:hAnsi="Arial" w:cs="Arial"/>
                <w:color w:val="111111"/>
                <w:sz w:val="22"/>
                <w:szCs w:val="22"/>
              </w:rPr>
              <w:t xml:space="preserve"> 1.84</w:t>
            </w:r>
          </w:p>
        </w:tc>
        <w:tc>
          <w:tcPr>
            <w:tcW w:w="1080" w:type="dxa"/>
            <w:tcBorders>
              <w:top w:val="single" w:sz="16" w:space="0" w:color="000000"/>
              <w:bottom w:val="single" w:sz="16" w:space="0" w:color="000000"/>
            </w:tcBorders>
            <w:shd w:val="clear" w:color="auto" w:fill="FFFFFF"/>
            <w:vAlign w:val="center"/>
          </w:tcPr>
          <w:p w14:paraId="69C43D8A" w14:textId="77777777" w:rsidR="000F7F6A" w:rsidRDefault="00952983">
            <w:pPr>
              <w:spacing w:before="40" w:after="40"/>
              <w:ind w:left="100" w:right="100"/>
              <w:jc w:val="center"/>
            </w:pPr>
            <w:r>
              <w:rPr>
                <w:rFonts w:ascii="Arial" w:eastAsia="Arial" w:hAnsi="Arial" w:cs="Arial"/>
                <w:color w:val="111111"/>
                <w:sz w:val="22"/>
                <w:szCs w:val="22"/>
              </w:rPr>
              <w:t>3.99</w:t>
            </w:r>
          </w:p>
        </w:tc>
        <w:tc>
          <w:tcPr>
            <w:tcW w:w="1080" w:type="dxa"/>
            <w:tcBorders>
              <w:top w:val="single" w:sz="16" w:space="0" w:color="000000"/>
              <w:bottom w:val="single" w:sz="16" w:space="0" w:color="000000"/>
            </w:tcBorders>
            <w:shd w:val="clear" w:color="auto" w:fill="FFFFFF"/>
            <w:vAlign w:val="center"/>
          </w:tcPr>
          <w:p w14:paraId="2879C761" w14:textId="77777777" w:rsidR="000F7F6A" w:rsidRDefault="00952983">
            <w:pPr>
              <w:spacing w:before="40" w:after="40"/>
              <w:ind w:left="100" w:right="100"/>
              <w:jc w:val="center"/>
            </w:pPr>
            <w:r>
              <w:rPr>
                <w:rFonts w:ascii="Arial" w:eastAsia="Arial" w:hAnsi="Arial" w:cs="Arial"/>
                <w:color w:val="111111"/>
                <w:sz w:val="22"/>
                <w:szCs w:val="22"/>
              </w:rPr>
              <w:t>3.07</w:t>
            </w:r>
          </w:p>
        </w:tc>
        <w:tc>
          <w:tcPr>
            <w:tcW w:w="1079" w:type="dxa"/>
            <w:tcBorders>
              <w:top w:val="single" w:sz="16" w:space="0" w:color="000000"/>
              <w:bottom w:val="single" w:sz="16" w:space="0" w:color="000000"/>
            </w:tcBorders>
            <w:shd w:val="clear" w:color="auto" w:fill="FFFFFF"/>
            <w:vAlign w:val="center"/>
          </w:tcPr>
          <w:p w14:paraId="62E28B75" w14:textId="77777777" w:rsidR="000F7F6A" w:rsidRDefault="00952983">
            <w:pPr>
              <w:spacing w:before="40" w:after="40"/>
              <w:ind w:left="100" w:right="100"/>
              <w:jc w:val="center"/>
            </w:pPr>
            <w:r>
              <w:rPr>
                <w:rFonts w:ascii="Arial" w:eastAsia="Arial" w:hAnsi="Arial" w:cs="Arial"/>
                <w:color w:val="111111"/>
                <w:sz w:val="22"/>
                <w:szCs w:val="22"/>
              </w:rPr>
              <w:t>2.28</w:t>
            </w:r>
          </w:p>
        </w:tc>
      </w:tr>
      <w:tr w:rsidR="000F7F6A" w14:paraId="000F0C35"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62CE518"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535D8450"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45A9CC8D" w14:textId="77777777" w:rsidR="000F7F6A" w:rsidRDefault="00952983">
            <w:pPr>
              <w:spacing w:before="40" w:after="40"/>
              <w:ind w:left="100" w:right="100"/>
              <w:jc w:val="center"/>
            </w:pPr>
            <w:r>
              <w:rPr>
                <w:rFonts w:ascii="Arial" w:eastAsia="Arial" w:hAnsi="Arial" w:cs="Arial"/>
                <w:color w:val="111111"/>
                <w:sz w:val="22"/>
                <w:szCs w:val="22"/>
              </w:rPr>
              <w:t xml:space="preserve"> 0.15</w:t>
            </w:r>
          </w:p>
        </w:tc>
        <w:tc>
          <w:tcPr>
            <w:tcW w:w="1080" w:type="dxa"/>
            <w:tcBorders>
              <w:top w:val="single" w:sz="16" w:space="0" w:color="000000"/>
              <w:bottom w:val="single" w:sz="16" w:space="0" w:color="000000"/>
            </w:tcBorders>
            <w:shd w:val="clear" w:color="auto" w:fill="FFFFFF"/>
            <w:vAlign w:val="center"/>
          </w:tcPr>
          <w:p w14:paraId="1E190EBF" w14:textId="77777777" w:rsidR="000F7F6A" w:rsidRDefault="00952983">
            <w:pPr>
              <w:spacing w:before="40" w:after="40"/>
              <w:ind w:left="100" w:right="100"/>
              <w:jc w:val="center"/>
            </w:pPr>
            <w:r>
              <w:rPr>
                <w:rFonts w:ascii="Arial" w:eastAsia="Arial" w:hAnsi="Arial" w:cs="Arial"/>
                <w:color w:val="111111"/>
                <w:sz w:val="22"/>
                <w:szCs w:val="22"/>
              </w:rPr>
              <w:t xml:space="preserve"> 0.48</w:t>
            </w:r>
          </w:p>
        </w:tc>
        <w:tc>
          <w:tcPr>
            <w:tcW w:w="1080" w:type="dxa"/>
            <w:tcBorders>
              <w:top w:val="single" w:sz="16" w:space="0" w:color="000000"/>
              <w:bottom w:val="single" w:sz="16" w:space="0" w:color="000000"/>
            </w:tcBorders>
            <w:shd w:val="clear" w:color="auto" w:fill="FFFFFF"/>
            <w:vAlign w:val="center"/>
          </w:tcPr>
          <w:p w14:paraId="425780D7" w14:textId="77777777" w:rsidR="000F7F6A" w:rsidRDefault="00952983">
            <w:pPr>
              <w:spacing w:before="40" w:after="40"/>
              <w:ind w:left="100" w:right="100"/>
              <w:jc w:val="center"/>
            </w:pPr>
            <w:r>
              <w:rPr>
                <w:rFonts w:ascii="Arial" w:eastAsia="Arial" w:hAnsi="Arial" w:cs="Arial"/>
                <w:color w:val="111111"/>
                <w:sz w:val="22"/>
                <w:szCs w:val="22"/>
              </w:rPr>
              <w:t xml:space="preserve"> 0.92</w:t>
            </w:r>
          </w:p>
        </w:tc>
        <w:tc>
          <w:tcPr>
            <w:tcW w:w="1080" w:type="dxa"/>
            <w:tcBorders>
              <w:top w:val="single" w:sz="16" w:space="0" w:color="000000"/>
              <w:bottom w:val="single" w:sz="16" w:space="0" w:color="000000"/>
            </w:tcBorders>
            <w:shd w:val="clear" w:color="auto" w:fill="FFFFFF"/>
            <w:vAlign w:val="center"/>
          </w:tcPr>
          <w:p w14:paraId="31F68E93" w14:textId="77777777" w:rsidR="000F7F6A" w:rsidRDefault="00952983">
            <w:pPr>
              <w:spacing w:before="40" w:after="40"/>
              <w:ind w:left="100" w:right="100"/>
              <w:jc w:val="center"/>
            </w:pPr>
            <w:r>
              <w:rPr>
                <w:rFonts w:ascii="Arial" w:eastAsia="Arial" w:hAnsi="Arial" w:cs="Arial"/>
                <w:color w:val="111111"/>
                <w:sz w:val="22"/>
                <w:szCs w:val="22"/>
              </w:rPr>
              <w:t>5.21</w:t>
            </w:r>
          </w:p>
        </w:tc>
        <w:tc>
          <w:tcPr>
            <w:tcW w:w="1080" w:type="dxa"/>
            <w:tcBorders>
              <w:top w:val="single" w:sz="16" w:space="0" w:color="000000"/>
              <w:bottom w:val="single" w:sz="16" w:space="0" w:color="000000"/>
            </w:tcBorders>
            <w:shd w:val="clear" w:color="auto" w:fill="FFFFFF"/>
            <w:vAlign w:val="center"/>
          </w:tcPr>
          <w:p w14:paraId="5AC86867" w14:textId="77777777" w:rsidR="000F7F6A" w:rsidRDefault="00952983">
            <w:pPr>
              <w:spacing w:before="40" w:after="40"/>
              <w:ind w:left="100" w:right="100"/>
              <w:jc w:val="center"/>
            </w:pPr>
            <w:r>
              <w:rPr>
                <w:rFonts w:ascii="Arial" w:eastAsia="Arial" w:hAnsi="Arial" w:cs="Arial"/>
                <w:color w:val="111111"/>
                <w:sz w:val="22"/>
                <w:szCs w:val="22"/>
              </w:rPr>
              <w:t>3.25</w:t>
            </w:r>
          </w:p>
        </w:tc>
        <w:tc>
          <w:tcPr>
            <w:tcW w:w="1079" w:type="dxa"/>
            <w:tcBorders>
              <w:top w:val="single" w:sz="16" w:space="0" w:color="000000"/>
              <w:bottom w:val="single" w:sz="16" w:space="0" w:color="000000"/>
            </w:tcBorders>
            <w:shd w:val="clear" w:color="auto" w:fill="FFFFFF"/>
            <w:vAlign w:val="center"/>
          </w:tcPr>
          <w:p w14:paraId="555A30CD" w14:textId="77777777" w:rsidR="000F7F6A" w:rsidRDefault="00952983">
            <w:pPr>
              <w:spacing w:before="40" w:after="40"/>
              <w:ind w:left="100" w:right="100"/>
              <w:jc w:val="center"/>
            </w:pPr>
            <w:r>
              <w:rPr>
                <w:rFonts w:ascii="Arial" w:eastAsia="Arial" w:hAnsi="Arial" w:cs="Arial"/>
                <w:color w:val="111111"/>
                <w:sz w:val="22"/>
                <w:szCs w:val="22"/>
              </w:rPr>
              <w:t>2.59</w:t>
            </w:r>
          </w:p>
        </w:tc>
      </w:tr>
      <w:tr w:rsidR="000F7F6A" w14:paraId="48F8D7F9"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C53F7A9"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1C510742"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6B902F90" w14:textId="77777777" w:rsidR="000F7F6A" w:rsidRDefault="00952983">
            <w:pPr>
              <w:spacing w:before="40" w:after="40"/>
              <w:ind w:left="100" w:right="100"/>
              <w:jc w:val="center"/>
            </w:pPr>
            <w:r>
              <w:rPr>
                <w:rFonts w:ascii="Arial" w:eastAsia="Arial" w:hAnsi="Arial" w:cs="Arial"/>
                <w:color w:val="111111"/>
                <w:sz w:val="22"/>
                <w:szCs w:val="22"/>
              </w:rPr>
              <w:t xml:space="preserve"> 0.11</w:t>
            </w:r>
          </w:p>
        </w:tc>
        <w:tc>
          <w:tcPr>
            <w:tcW w:w="1080" w:type="dxa"/>
            <w:tcBorders>
              <w:top w:val="single" w:sz="16" w:space="0" w:color="000000"/>
              <w:bottom w:val="single" w:sz="16" w:space="0" w:color="000000"/>
            </w:tcBorders>
            <w:shd w:val="clear" w:color="auto" w:fill="FFFFFF"/>
            <w:vAlign w:val="center"/>
          </w:tcPr>
          <w:p w14:paraId="157D972F" w14:textId="77777777" w:rsidR="000F7F6A" w:rsidRDefault="00952983">
            <w:pPr>
              <w:spacing w:before="40" w:after="40"/>
              <w:ind w:left="100" w:right="100"/>
              <w:jc w:val="center"/>
            </w:pPr>
            <w:r>
              <w:rPr>
                <w:rFonts w:ascii="Arial" w:eastAsia="Arial" w:hAnsi="Arial" w:cs="Arial"/>
                <w:color w:val="111111"/>
                <w:sz w:val="22"/>
                <w:szCs w:val="22"/>
              </w:rPr>
              <w:t xml:space="preserve"> 0.44</w:t>
            </w:r>
          </w:p>
        </w:tc>
        <w:tc>
          <w:tcPr>
            <w:tcW w:w="1080" w:type="dxa"/>
            <w:tcBorders>
              <w:top w:val="single" w:sz="16" w:space="0" w:color="000000"/>
              <w:bottom w:val="single" w:sz="16" w:space="0" w:color="000000"/>
            </w:tcBorders>
            <w:shd w:val="clear" w:color="auto" w:fill="FFFFFF"/>
            <w:vAlign w:val="center"/>
          </w:tcPr>
          <w:p w14:paraId="0E1DA0E5" w14:textId="77777777" w:rsidR="000F7F6A" w:rsidRDefault="00952983">
            <w:pPr>
              <w:spacing w:before="40" w:after="40"/>
              <w:ind w:left="100" w:right="100"/>
              <w:jc w:val="center"/>
            </w:pPr>
            <w:r>
              <w:rPr>
                <w:rFonts w:ascii="Arial" w:eastAsia="Arial" w:hAnsi="Arial" w:cs="Arial"/>
                <w:color w:val="111111"/>
                <w:sz w:val="22"/>
                <w:szCs w:val="22"/>
              </w:rPr>
              <w:t xml:space="preserve"> 1.07</w:t>
            </w:r>
          </w:p>
        </w:tc>
        <w:tc>
          <w:tcPr>
            <w:tcW w:w="1080" w:type="dxa"/>
            <w:tcBorders>
              <w:top w:val="single" w:sz="16" w:space="0" w:color="000000"/>
              <w:bottom w:val="single" w:sz="16" w:space="0" w:color="000000"/>
            </w:tcBorders>
            <w:shd w:val="clear" w:color="auto" w:fill="FFFFFF"/>
            <w:vAlign w:val="center"/>
          </w:tcPr>
          <w:p w14:paraId="21B23B39" w14:textId="77777777" w:rsidR="000F7F6A" w:rsidRDefault="00952983">
            <w:pPr>
              <w:spacing w:before="40" w:after="40"/>
              <w:ind w:left="100" w:right="100"/>
              <w:jc w:val="center"/>
            </w:pPr>
            <w:r>
              <w:rPr>
                <w:rFonts w:ascii="Arial" w:eastAsia="Arial" w:hAnsi="Arial" w:cs="Arial"/>
                <w:color w:val="111111"/>
                <w:sz w:val="22"/>
                <w:szCs w:val="22"/>
              </w:rPr>
              <w:t>3.78</w:t>
            </w:r>
          </w:p>
        </w:tc>
        <w:tc>
          <w:tcPr>
            <w:tcW w:w="1080" w:type="dxa"/>
            <w:tcBorders>
              <w:top w:val="single" w:sz="16" w:space="0" w:color="000000"/>
              <w:bottom w:val="single" w:sz="16" w:space="0" w:color="000000"/>
            </w:tcBorders>
            <w:shd w:val="clear" w:color="auto" w:fill="FFFFFF"/>
            <w:vAlign w:val="center"/>
          </w:tcPr>
          <w:p w14:paraId="4D96BEDE" w14:textId="77777777" w:rsidR="000F7F6A" w:rsidRDefault="00952983">
            <w:pPr>
              <w:spacing w:before="40" w:after="40"/>
              <w:ind w:left="100" w:right="100"/>
              <w:jc w:val="center"/>
            </w:pPr>
            <w:r>
              <w:rPr>
                <w:rFonts w:ascii="Arial" w:eastAsia="Arial" w:hAnsi="Arial" w:cs="Arial"/>
                <w:color w:val="111111"/>
                <w:sz w:val="22"/>
                <w:szCs w:val="22"/>
              </w:rPr>
              <w:t>2.73</w:t>
            </w:r>
          </w:p>
        </w:tc>
        <w:tc>
          <w:tcPr>
            <w:tcW w:w="1079" w:type="dxa"/>
            <w:tcBorders>
              <w:top w:val="single" w:sz="16" w:space="0" w:color="000000"/>
              <w:bottom w:val="single" w:sz="16" w:space="0" w:color="000000"/>
            </w:tcBorders>
            <w:shd w:val="clear" w:color="auto" w:fill="FFFFFF"/>
            <w:vAlign w:val="center"/>
          </w:tcPr>
          <w:p w14:paraId="2B25173A" w14:textId="77777777" w:rsidR="000F7F6A" w:rsidRDefault="00952983">
            <w:pPr>
              <w:spacing w:before="40" w:after="40"/>
              <w:ind w:left="100" w:right="100"/>
              <w:jc w:val="center"/>
            </w:pPr>
            <w:r>
              <w:rPr>
                <w:rFonts w:ascii="Arial" w:eastAsia="Arial" w:hAnsi="Arial" w:cs="Arial"/>
                <w:color w:val="111111"/>
                <w:sz w:val="22"/>
                <w:szCs w:val="22"/>
              </w:rPr>
              <w:t>2.24</w:t>
            </w:r>
          </w:p>
        </w:tc>
      </w:tr>
      <w:tr w:rsidR="000F7F6A" w14:paraId="3B395F05"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D824560"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59AC2627"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3C407B70" w14:textId="77777777" w:rsidR="000F7F6A" w:rsidRDefault="00952983">
            <w:pPr>
              <w:spacing w:before="40" w:after="40"/>
              <w:ind w:left="100" w:right="100"/>
              <w:jc w:val="center"/>
            </w:pPr>
            <w:r>
              <w:rPr>
                <w:rFonts w:ascii="Arial" w:eastAsia="Arial" w:hAnsi="Arial" w:cs="Arial"/>
                <w:color w:val="111111"/>
                <w:sz w:val="22"/>
                <w:szCs w:val="22"/>
              </w:rPr>
              <w:t xml:space="preserve"> 0.20</w:t>
            </w:r>
          </w:p>
        </w:tc>
        <w:tc>
          <w:tcPr>
            <w:tcW w:w="1080" w:type="dxa"/>
            <w:tcBorders>
              <w:top w:val="single" w:sz="16" w:space="0" w:color="000000"/>
              <w:bottom w:val="single" w:sz="16" w:space="0" w:color="000000"/>
            </w:tcBorders>
            <w:shd w:val="clear" w:color="auto" w:fill="FFFFFF"/>
            <w:vAlign w:val="center"/>
          </w:tcPr>
          <w:p w14:paraId="10CC464A" w14:textId="77777777" w:rsidR="000F7F6A" w:rsidRDefault="00952983">
            <w:pPr>
              <w:spacing w:before="40" w:after="40"/>
              <w:ind w:left="100" w:right="100"/>
              <w:jc w:val="center"/>
            </w:pPr>
            <w:r>
              <w:rPr>
                <w:rFonts w:ascii="Arial" w:eastAsia="Arial" w:hAnsi="Arial" w:cs="Arial"/>
                <w:color w:val="111111"/>
                <w:sz w:val="22"/>
                <w:szCs w:val="22"/>
              </w:rPr>
              <w:t xml:space="preserve"> 1.13</w:t>
            </w:r>
          </w:p>
        </w:tc>
        <w:tc>
          <w:tcPr>
            <w:tcW w:w="1080" w:type="dxa"/>
            <w:tcBorders>
              <w:top w:val="single" w:sz="16" w:space="0" w:color="000000"/>
              <w:bottom w:val="single" w:sz="16" w:space="0" w:color="000000"/>
            </w:tcBorders>
            <w:shd w:val="clear" w:color="auto" w:fill="FFFFFF"/>
            <w:vAlign w:val="center"/>
          </w:tcPr>
          <w:p w14:paraId="07B14D1E" w14:textId="77777777" w:rsidR="000F7F6A" w:rsidRDefault="00952983">
            <w:pPr>
              <w:spacing w:before="40" w:after="40"/>
              <w:ind w:left="100" w:right="100"/>
              <w:jc w:val="center"/>
            </w:pPr>
            <w:r>
              <w:rPr>
                <w:rFonts w:ascii="Arial" w:eastAsia="Arial" w:hAnsi="Arial" w:cs="Arial"/>
                <w:color w:val="111111"/>
                <w:sz w:val="22"/>
                <w:szCs w:val="22"/>
              </w:rPr>
              <w:t xml:space="preserve"> 2.42</w:t>
            </w:r>
          </w:p>
        </w:tc>
        <w:tc>
          <w:tcPr>
            <w:tcW w:w="1080" w:type="dxa"/>
            <w:tcBorders>
              <w:top w:val="single" w:sz="16" w:space="0" w:color="000000"/>
              <w:bottom w:val="single" w:sz="16" w:space="0" w:color="000000"/>
            </w:tcBorders>
            <w:shd w:val="clear" w:color="auto" w:fill="FFFFFF"/>
            <w:vAlign w:val="center"/>
          </w:tcPr>
          <w:p w14:paraId="37E82F45" w14:textId="77777777" w:rsidR="000F7F6A" w:rsidRDefault="00952983">
            <w:pPr>
              <w:spacing w:before="40" w:after="40"/>
              <w:ind w:left="100" w:right="100"/>
              <w:jc w:val="center"/>
            </w:pPr>
            <w:r>
              <w:rPr>
                <w:rFonts w:ascii="Arial" w:eastAsia="Arial" w:hAnsi="Arial" w:cs="Arial"/>
                <w:color w:val="111111"/>
                <w:sz w:val="22"/>
                <w:szCs w:val="22"/>
              </w:rPr>
              <w:t>3.62</w:t>
            </w:r>
          </w:p>
        </w:tc>
        <w:tc>
          <w:tcPr>
            <w:tcW w:w="1080" w:type="dxa"/>
            <w:tcBorders>
              <w:top w:val="single" w:sz="16" w:space="0" w:color="000000"/>
              <w:bottom w:val="single" w:sz="16" w:space="0" w:color="000000"/>
            </w:tcBorders>
            <w:shd w:val="clear" w:color="auto" w:fill="FFFFFF"/>
            <w:vAlign w:val="center"/>
          </w:tcPr>
          <w:p w14:paraId="616A4CD2" w14:textId="77777777" w:rsidR="000F7F6A" w:rsidRDefault="00952983">
            <w:pPr>
              <w:spacing w:before="40" w:after="40"/>
              <w:ind w:left="100" w:right="100"/>
              <w:jc w:val="center"/>
            </w:pPr>
            <w:r>
              <w:rPr>
                <w:rFonts w:ascii="Arial" w:eastAsia="Arial" w:hAnsi="Arial" w:cs="Arial"/>
                <w:color w:val="111111"/>
                <w:sz w:val="22"/>
                <w:szCs w:val="22"/>
              </w:rPr>
              <w:t>2.65</w:t>
            </w:r>
          </w:p>
        </w:tc>
        <w:tc>
          <w:tcPr>
            <w:tcW w:w="1079" w:type="dxa"/>
            <w:tcBorders>
              <w:top w:val="single" w:sz="16" w:space="0" w:color="000000"/>
              <w:bottom w:val="single" w:sz="16" w:space="0" w:color="000000"/>
            </w:tcBorders>
            <w:shd w:val="clear" w:color="auto" w:fill="FFFFFF"/>
            <w:vAlign w:val="center"/>
          </w:tcPr>
          <w:p w14:paraId="4611FD90" w14:textId="77777777" w:rsidR="000F7F6A" w:rsidRDefault="00952983">
            <w:pPr>
              <w:spacing w:before="40" w:after="40"/>
              <w:ind w:left="100" w:right="100"/>
              <w:jc w:val="center"/>
            </w:pPr>
            <w:r>
              <w:rPr>
                <w:rFonts w:ascii="Arial" w:eastAsia="Arial" w:hAnsi="Arial" w:cs="Arial"/>
                <w:color w:val="111111"/>
                <w:sz w:val="22"/>
                <w:szCs w:val="22"/>
              </w:rPr>
              <w:t>2.06</w:t>
            </w:r>
          </w:p>
        </w:tc>
      </w:tr>
      <w:tr w:rsidR="000F7F6A" w14:paraId="24F0E8A4"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22FF1743" w14:textId="77777777" w:rsidR="000F7F6A" w:rsidRDefault="00952983">
            <w:pPr>
              <w:spacing w:before="40" w:after="40"/>
              <w:ind w:left="100" w:right="100"/>
              <w:jc w:val="center"/>
            </w:pPr>
            <w:r>
              <w:rPr>
                <w:rFonts w:ascii="Arial" w:eastAsia="Arial" w:hAnsi="Arial" w:cs="Arial"/>
                <w:color w:val="111111"/>
                <w:sz w:val="22"/>
                <w:szCs w:val="22"/>
              </w:rPr>
              <w:lastRenderedPageBreak/>
              <w:t>T</w:t>
            </w:r>
          </w:p>
        </w:tc>
        <w:tc>
          <w:tcPr>
            <w:tcW w:w="1080" w:type="dxa"/>
            <w:tcBorders>
              <w:top w:val="single" w:sz="16" w:space="0" w:color="000000"/>
              <w:bottom w:val="single" w:sz="16" w:space="0" w:color="000000"/>
            </w:tcBorders>
            <w:shd w:val="clear" w:color="auto" w:fill="FFFFFF"/>
            <w:vAlign w:val="center"/>
          </w:tcPr>
          <w:p w14:paraId="2F2C3404"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4DD44CA7" w14:textId="77777777" w:rsidR="000F7F6A" w:rsidRDefault="00952983">
            <w:pPr>
              <w:spacing w:before="40" w:after="40"/>
              <w:ind w:left="100" w:right="100"/>
              <w:jc w:val="center"/>
            </w:pPr>
            <w:r>
              <w:rPr>
                <w:rFonts w:ascii="Arial" w:eastAsia="Arial" w:hAnsi="Arial" w:cs="Arial"/>
                <w:color w:val="111111"/>
                <w:sz w:val="22"/>
                <w:szCs w:val="22"/>
              </w:rPr>
              <w:t xml:space="preserve"> 0.40</w:t>
            </w:r>
          </w:p>
        </w:tc>
        <w:tc>
          <w:tcPr>
            <w:tcW w:w="1080" w:type="dxa"/>
            <w:tcBorders>
              <w:top w:val="single" w:sz="16" w:space="0" w:color="000000"/>
              <w:bottom w:val="single" w:sz="16" w:space="0" w:color="000000"/>
            </w:tcBorders>
            <w:shd w:val="clear" w:color="auto" w:fill="FFFFFF"/>
            <w:vAlign w:val="center"/>
          </w:tcPr>
          <w:p w14:paraId="648D7C48" w14:textId="77777777" w:rsidR="000F7F6A" w:rsidRDefault="00952983">
            <w:pPr>
              <w:spacing w:before="40" w:after="40"/>
              <w:ind w:left="100" w:right="100"/>
              <w:jc w:val="center"/>
            </w:pPr>
            <w:r>
              <w:rPr>
                <w:rFonts w:ascii="Arial" w:eastAsia="Arial" w:hAnsi="Arial" w:cs="Arial"/>
                <w:color w:val="111111"/>
                <w:sz w:val="22"/>
                <w:szCs w:val="22"/>
              </w:rPr>
              <w:t xml:space="preserve"> 1.85</w:t>
            </w:r>
          </w:p>
        </w:tc>
        <w:tc>
          <w:tcPr>
            <w:tcW w:w="1080" w:type="dxa"/>
            <w:tcBorders>
              <w:top w:val="single" w:sz="16" w:space="0" w:color="000000"/>
              <w:bottom w:val="single" w:sz="16" w:space="0" w:color="000000"/>
            </w:tcBorders>
            <w:shd w:val="clear" w:color="auto" w:fill="FFFFFF"/>
            <w:vAlign w:val="center"/>
          </w:tcPr>
          <w:p w14:paraId="22E5B94A" w14:textId="77777777" w:rsidR="000F7F6A" w:rsidRDefault="00952983">
            <w:pPr>
              <w:spacing w:before="40" w:after="40"/>
              <w:ind w:left="100" w:right="100"/>
              <w:jc w:val="center"/>
            </w:pPr>
            <w:r>
              <w:rPr>
                <w:rFonts w:ascii="Arial" w:eastAsia="Arial" w:hAnsi="Arial" w:cs="Arial"/>
                <w:color w:val="111111"/>
                <w:sz w:val="22"/>
                <w:szCs w:val="22"/>
              </w:rPr>
              <w:t xml:space="preserve"> 3.23</w:t>
            </w:r>
          </w:p>
        </w:tc>
        <w:tc>
          <w:tcPr>
            <w:tcW w:w="1080" w:type="dxa"/>
            <w:tcBorders>
              <w:top w:val="single" w:sz="16" w:space="0" w:color="000000"/>
              <w:bottom w:val="single" w:sz="16" w:space="0" w:color="000000"/>
            </w:tcBorders>
            <w:shd w:val="clear" w:color="auto" w:fill="FFFFFF"/>
            <w:vAlign w:val="center"/>
          </w:tcPr>
          <w:p w14:paraId="62020B45" w14:textId="77777777" w:rsidR="000F7F6A" w:rsidRDefault="00952983">
            <w:pPr>
              <w:spacing w:before="40" w:after="40"/>
              <w:ind w:left="100" w:right="100"/>
              <w:jc w:val="center"/>
            </w:pPr>
            <w:r>
              <w:rPr>
                <w:rFonts w:ascii="Arial" w:eastAsia="Arial" w:hAnsi="Arial" w:cs="Arial"/>
                <w:color w:val="111111"/>
                <w:sz w:val="22"/>
                <w:szCs w:val="22"/>
              </w:rPr>
              <w:t>3.54</w:t>
            </w:r>
          </w:p>
        </w:tc>
        <w:tc>
          <w:tcPr>
            <w:tcW w:w="1080" w:type="dxa"/>
            <w:tcBorders>
              <w:top w:val="single" w:sz="16" w:space="0" w:color="000000"/>
              <w:bottom w:val="single" w:sz="16" w:space="0" w:color="000000"/>
            </w:tcBorders>
            <w:shd w:val="clear" w:color="auto" w:fill="FFFFFF"/>
            <w:vAlign w:val="center"/>
          </w:tcPr>
          <w:p w14:paraId="03774989" w14:textId="77777777" w:rsidR="000F7F6A" w:rsidRDefault="00952983">
            <w:pPr>
              <w:spacing w:before="40" w:after="40"/>
              <w:ind w:left="100" w:right="100"/>
              <w:jc w:val="center"/>
            </w:pPr>
            <w:r>
              <w:rPr>
                <w:rFonts w:ascii="Arial" w:eastAsia="Arial" w:hAnsi="Arial" w:cs="Arial"/>
                <w:color w:val="111111"/>
                <w:sz w:val="22"/>
                <w:szCs w:val="22"/>
              </w:rPr>
              <w:t>2.78</w:t>
            </w:r>
          </w:p>
        </w:tc>
        <w:tc>
          <w:tcPr>
            <w:tcW w:w="1079" w:type="dxa"/>
            <w:tcBorders>
              <w:top w:val="single" w:sz="16" w:space="0" w:color="000000"/>
              <w:bottom w:val="single" w:sz="16" w:space="0" w:color="000000"/>
            </w:tcBorders>
            <w:shd w:val="clear" w:color="auto" w:fill="FFFFFF"/>
            <w:vAlign w:val="center"/>
          </w:tcPr>
          <w:p w14:paraId="124CBCBA" w14:textId="77777777" w:rsidR="000F7F6A" w:rsidRDefault="00952983">
            <w:pPr>
              <w:spacing w:before="40" w:after="40"/>
              <w:ind w:left="100" w:right="100"/>
              <w:jc w:val="center"/>
            </w:pPr>
            <w:r>
              <w:rPr>
                <w:rFonts w:ascii="Arial" w:eastAsia="Arial" w:hAnsi="Arial" w:cs="Arial"/>
                <w:color w:val="111111"/>
                <w:sz w:val="22"/>
                <w:szCs w:val="22"/>
              </w:rPr>
              <w:t>2.07</w:t>
            </w:r>
          </w:p>
        </w:tc>
      </w:tr>
    </w:tbl>
    <w:p w14:paraId="4919907A" w14:textId="77777777" w:rsidR="000F7F6A" w:rsidRDefault="00952983">
      <w:pPr>
        <w:pStyle w:val="Corpodetexto"/>
      </w:pPr>
      <w:r>
        <w:rPr>
          <w:i/>
          <w:iCs/>
        </w:rPr>
        <w:t>Source:</w:t>
      </w:r>
      <w:r>
        <w:t xml:space="preserve"> Brazilian national censuses, 1970, 1980, 1991, 2000, 2010.</w:t>
      </w:r>
    </w:p>
    <w:p w14:paraId="74C87B4C" w14:textId="77777777" w:rsidR="000F7F6A" w:rsidRDefault="000F7F6A">
      <w:pPr>
        <w:pStyle w:val="Corpodetexto"/>
      </w:pPr>
    </w:p>
    <w:p w14:paraId="4A2F10CA" w14:textId="77777777" w:rsidR="000F7F6A" w:rsidRDefault="000F7F6A">
      <w:pPr>
        <w:pStyle w:val="Corpodetexto"/>
      </w:pPr>
    </w:p>
    <w:p w14:paraId="0AA3EABB" w14:textId="77777777" w:rsidR="000F7F6A" w:rsidRDefault="000F7F6A">
      <w:pPr>
        <w:pStyle w:val="Corpodetexto"/>
      </w:pPr>
    </w:p>
    <w:p w14:paraId="4D70B723" w14:textId="77777777" w:rsidR="000F7F6A" w:rsidRDefault="000F7F6A">
      <w:pPr>
        <w:pStyle w:val="Corpodetexto"/>
      </w:pPr>
    </w:p>
    <w:p w14:paraId="782EA42F" w14:textId="77777777" w:rsidR="000F7F6A" w:rsidRDefault="00952983">
      <w:pPr>
        <w:pStyle w:val="Corpodetexto"/>
      </w:pPr>
      <w:r>
        <w:t xml:space="preserve">Table 4: Educational pairings prevalence rates and cohort fertility rates for female cohorts born in 1925-39, 1940-54 and 1955-69 - South-Southeast regions. </w:t>
      </w:r>
    </w:p>
    <w:tbl>
      <w:tblPr>
        <w:tblStyle w:val="Table"/>
        <w:tblW w:w="8640" w:type="dxa"/>
        <w:jc w:val="center"/>
        <w:tblBorders>
          <w:top w:val="single" w:sz="16" w:space="0" w:color="000000"/>
          <w:bottom w:val="single" w:sz="16" w:space="0" w:color="000000"/>
          <w:insideH w:val="single" w:sz="16" w:space="0" w:color="000000"/>
        </w:tblBorders>
        <w:tblCellMar>
          <w:left w:w="0" w:type="dxa"/>
          <w:right w:w="0" w:type="dxa"/>
        </w:tblCellMar>
        <w:tblLook w:val="0420" w:firstRow="1" w:lastRow="0" w:firstColumn="0" w:lastColumn="0" w:noHBand="0" w:noVBand="1"/>
      </w:tblPr>
      <w:tblGrid>
        <w:gridCol w:w="1081"/>
        <w:gridCol w:w="1080"/>
        <w:gridCol w:w="1080"/>
        <w:gridCol w:w="1080"/>
        <w:gridCol w:w="1080"/>
        <w:gridCol w:w="1080"/>
        <w:gridCol w:w="1080"/>
        <w:gridCol w:w="1079"/>
      </w:tblGrid>
      <w:tr w:rsidR="000F7F6A" w14:paraId="43F3AB8B" w14:textId="77777777">
        <w:trPr>
          <w:cantSplit/>
          <w:trHeight w:val="360"/>
          <w:tblHeader/>
          <w:jc w:val="center"/>
        </w:trPr>
        <w:tc>
          <w:tcPr>
            <w:tcW w:w="2160" w:type="dxa"/>
            <w:gridSpan w:val="2"/>
            <w:tcBorders>
              <w:top w:val="single" w:sz="16" w:space="0" w:color="000000"/>
              <w:bottom w:val="single" w:sz="16" w:space="0" w:color="000000"/>
            </w:tcBorders>
            <w:shd w:val="clear" w:color="auto" w:fill="FFFFFF"/>
            <w:vAlign w:val="center"/>
          </w:tcPr>
          <w:p w14:paraId="305DA38C" w14:textId="77777777" w:rsidR="000F7F6A" w:rsidRDefault="00952983">
            <w:pPr>
              <w:spacing w:before="40" w:after="40"/>
              <w:ind w:left="100" w:right="100"/>
              <w:jc w:val="center"/>
            </w:pPr>
            <w:r>
              <w:rPr>
                <w:rFonts w:ascii="Arial" w:eastAsia="Arial" w:hAnsi="Arial" w:cs="Arial"/>
                <w:color w:val="111111"/>
                <w:sz w:val="22"/>
                <w:szCs w:val="22"/>
              </w:rPr>
              <w:t>Education</w:t>
            </w:r>
          </w:p>
        </w:tc>
        <w:tc>
          <w:tcPr>
            <w:tcW w:w="3240" w:type="dxa"/>
            <w:gridSpan w:val="3"/>
            <w:tcBorders>
              <w:top w:val="single" w:sz="16" w:space="0" w:color="000000"/>
              <w:bottom w:val="single" w:sz="16" w:space="0" w:color="000000"/>
            </w:tcBorders>
            <w:shd w:val="clear" w:color="auto" w:fill="FFFFFF"/>
            <w:vAlign w:val="center"/>
          </w:tcPr>
          <w:p w14:paraId="13581119" w14:textId="77777777" w:rsidR="000F7F6A" w:rsidRDefault="00952983">
            <w:pPr>
              <w:spacing w:before="40" w:after="40"/>
              <w:ind w:left="100" w:right="100"/>
              <w:jc w:val="center"/>
            </w:pPr>
            <w:r>
              <w:rPr>
                <w:rFonts w:ascii="Arial" w:eastAsia="Arial" w:hAnsi="Arial" w:cs="Arial"/>
                <w:color w:val="111111"/>
                <w:sz w:val="22"/>
                <w:szCs w:val="22"/>
              </w:rPr>
              <w:t>Prevalence (%)</w:t>
            </w:r>
          </w:p>
        </w:tc>
        <w:tc>
          <w:tcPr>
            <w:tcW w:w="3239" w:type="dxa"/>
            <w:gridSpan w:val="3"/>
            <w:tcBorders>
              <w:top w:val="single" w:sz="16" w:space="0" w:color="000000"/>
              <w:bottom w:val="single" w:sz="16" w:space="0" w:color="000000"/>
            </w:tcBorders>
            <w:shd w:val="clear" w:color="auto" w:fill="FFFFFF"/>
            <w:vAlign w:val="center"/>
          </w:tcPr>
          <w:p w14:paraId="34949A64" w14:textId="77777777" w:rsidR="000F7F6A" w:rsidRDefault="00952983">
            <w:pPr>
              <w:spacing w:before="40" w:after="40"/>
              <w:ind w:left="100" w:right="100"/>
              <w:jc w:val="center"/>
            </w:pPr>
            <w:r>
              <w:rPr>
                <w:rFonts w:ascii="Arial" w:eastAsia="Arial" w:hAnsi="Arial" w:cs="Arial"/>
                <w:color w:val="111111"/>
                <w:sz w:val="22"/>
                <w:szCs w:val="22"/>
              </w:rPr>
              <w:t>CFR</w:t>
            </w:r>
          </w:p>
        </w:tc>
      </w:tr>
      <w:tr w:rsidR="000F7F6A" w14:paraId="647F8C6C" w14:textId="77777777">
        <w:trPr>
          <w:cantSplit/>
          <w:trHeight w:val="360"/>
          <w:tblHeader/>
          <w:jc w:val="center"/>
        </w:trPr>
        <w:tc>
          <w:tcPr>
            <w:tcW w:w="1080" w:type="dxa"/>
            <w:tcBorders>
              <w:top w:val="single" w:sz="8" w:space="0" w:color="000000"/>
              <w:bottom w:val="single" w:sz="8" w:space="0" w:color="000000"/>
            </w:tcBorders>
            <w:shd w:val="clear" w:color="auto" w:fill="FFFFFF"/>
            <w:vAlign w:val="center"/>
          </w:tcPr>
          <w:p w14:paraId="7608DCB1" w14:textId="77777777" w:rsidR="000F7F6A" w:rsidRDefault="00952983">
            <w:pPr>
              <w:spacing w:after="0"/>
              <w:jc w:val="center"/>
            </w:pPr>
            <w:r>
              <w:rPr>
                <w:rFonts w:ascii="Arial" w:eastAsia="Arial" w:hAnsi="Arial" w:cs="Arial"/>
                <w:color w:val="000000"/>
                <w:sz w:val="20"/>
                <w:szCs w:val="20"/>
              </w:rPr>
              <w:t>Female</w:t>
            </w:r>
          </w:p>
        </w:tc>
        <w:tc>
          <w:tcPr>
            <w:tcW w:w="1080" w:type="dxa"/>
            <w:tcBorders>
              <w:top w:val="single" w:sz="8" w:space="0" w:color="000000"/>
              <w:bottom w:val="single" w:sz="8" w:space="0" w:color="000000"/>
            </w:tcBorders>
            <w:shd w:val="clear" w:color="auto" w:fill="FFFFFF"/>
            <w:vAlign w:val="center"/>
          </w:tcPr>
          <w:p w14:paraId="4D077367" w14:textId="77777777" w:rsidR="000F7F6A" w:rsidRDefault="00952983">
            <w:pPr>
              <w:spacing w:after="0"/>
              <w:jc w:val="center"/>
            </w:pPr>
            <w:r>
              <w:rPr>
                <w:rFonts w:ascii="Arial" w:eastAsia="Arial" w:hAnsi="Arial" w:cs="Arial"/>
                <w:color w:val="000000"/>
                <w:sz w:val="20"/>
                <w:szCs w:val="20"/>
              </w:rPr>
              <w:t>Male</w:t>
            </w:r>
          </w:p>
        </w:tc>
        <w:tc>
          <w:tcPr>
            <w:tcW w:w="1080" w:type="dxa"/>
            <w:tcBorders>
              <w:top w:val="single" w:sz="8" w:space="0" w:color="000000"/>
              <w:bottom w:val="single" w:sz="8" w:space="0" w:color="000000"/>
            </w:tcBorders>
            <w:shd w:val="clear" w:color="auto" w:fill="FFFFFF"/>
            <w:vAlign w:val="center"/>
          </w:tcPr>
          <w:p w14:paraId="31E30F0F" w14:textId="77777777" w:rsidR="000F7F6A" w:rsidRDefault="00952983">
            <w:pPr>
              <w:spacing w:after="0"/>
              <w:jc w:val="center"/>
            </w:pPr>
            <w:r>
              <w:rPr>
                <w:rFonts w:ascii="Arial" w:eastAsia="Arial" w:hAnsi="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6EC587B7" w14:textId="77777777" w:rsidR="000F7F6A" w:rsidRDefault="00952983">
            <w:pPr>
              <w:spacing w:after="0"/>
              <w:jc w:val="center"/>
            </w:pPr>
            <w:r>
              <w:rPr>
                <w:rFonts w:ascii="Arial" w:eastAsia="Arial" w:hAnsi="Arial" w:cs="Arial"/>
                <w:color w:val="000000"/>
                <w:sz w:val="20"/>
                <w:szCs w:val="20"/>
              </w:rPr>
              <w:t>1940-1954</w:t>
            </w:r>
          </w:p>
        </w:tc>
        <w:tc>
          <w:tcPr>
            <w:tcW w:w="1080" w:type="dxa"/>
            <w:tcBorders>
              <w:top w:val="single" w:sz="8" w:space="0" w:color="000000"/>
              <w:bottom w:val="single" w:sz="8" w:space="0" w:color="000000"/>
            </w:tcBorders>
            <w:shd w:val="clear" w:color="auto" w:fill="FFFFFF"/>
            <w:vAlign w:val="center"/>
          </w:tcPr>
          <w:p w14:paraId="2AF46C72" w14:textId="77777777" w:rsidR="000F7F6A" w:rsidRDefault="00952983">
            <w:pPr>
              <w:spacing w:after="0"/>
              <w:jc w:val="center"/>
            </w:pPr>
            <w:r>
              <w:rPr>
                <w:rFonts w:ascii="Arial" w:eastAsia="Arial" w:hAnsi="Arial" w:cs="Arial"/>
                <w:color w:val="000000"/>
                <w:sz w:val="20"/>
                <w:szCs w:val="20"/>
              </w:rPr>
              <w:t>1955-1969</w:t>
            </w:r>
          </w:p>
        </w:tc>
        <w:tc>
          <w:tcPr>
            <w:tcW w:w="1080" w:type="dxa"/>
            <w:tcBorders>
              <w:top w:val="single" w:sz="8" w:space="0" w:color="000000"/>
              <w:bottom w:val="single" w:sz="8" w:space="0" w:color="000000"/>
            </w:tcBorders>
            <w:shd w:val="clear" w:color="auto" w:fill="FFFFFF"/>
            <w:vAlign w:val="center"/>
          </w:tcPr>
          <w:p w14:paraId="7DF119B7" w14:textId="77777777" w:rsidR="000F7F6A" w:rsidRDefault="00952983">
            <w:pPr>
              <w:spacing w:after="0"/>
              <w:jc w:val="center"/>
            </w:pPr>
            <w:r>
              <w:rPr>
                <w:rFonts w:ascii="Arial" w:eastAsia="Arial" w:hAnsi="Arial" w:cs="Arial"/>
                <w:color w:val="000000"/>
                <w:sz w:val="20"/>
                <w:szCs w:val="20"/>
              </w:rPr>
              <w:t>1925-1939</w:t>
            </w:r>
          </w:p>
        </w:tc>
        <w:tc>
          <w:tcPr>
            <w:tcW w:w="1080" w:type="dxa"/>
            <w:tcBorders>
              <w:top w:val="single" w:sz="8" w:space="0" w:color="000000"/>
              <w:bottom w:val="single" w:sz="8" w:space="0" w:color="000000"/>
            </w:tcBorders>
            <w:shd w:val="clear" w:color="auto" w:fill="FFFFFF"/>
            <w:vAlign w:val="center"/>
          </w:tcPr>
          <w:p w14:paraId="25748C8D" w14:textId="77777777" w:rsidR="000F7F6A" w:rsidRDefault="00952983">
            <w:pPr>
              <w:spacing w:after="0"/>
              <w:jc w:val="center"/>
            </w:pPr>
            <w:r>
              <w:rPr>
                <w:rFonts w:ascii="Arial" w:eastAsia="Arial" w:hAnsi="Arial" w:cs="Arial"/>
                <w:color w:val="000000"/>
                <w:sz w:val="20"/>
                <w:szCs w:val="20"/>
              </w:rPr>
              <w:t>1940-1954</w:t>
            </w:r>
          </w:p>
        </w:tc>
        <w:tc>
          <w:tcPr>
            <w:tcW w:w="1079" w:type="dxa"/>
            <w:tcBorders>
              <w:top w:val="single" w:sz="8" w:space="0" w:color="000000"/>
              <w:bottom w:val="single" w:sz="8" w:space="0" w:color="000000"/>
            </w:tcBorders>
            <w:shd w:val="clear" w:color="auto" w:fill="FFFFFF"/>
            <w:vAlign w:val="center"/>
          </w:tcPr>
          <w:p w14:paraId="0340B57F" w14:textId="77777777" w:rsidR="000F7F6A" w:rsidRDefault="00952983">
            <w:pPr>
              <w:spacing w:after="0"/>
              <w:jc w:val="center"/>
            </w:pPr>
            <w:r>
              <w:rPr>
                <w:rFonts w:ascii="Arial" w:eastAsia="Arial" w:hAnsi="Arial" w:cs="Arial"/>
                <w:color w:val="000000"/>
                <w:sz w:val="20"/>
                <w:szCs w:val="20"/>
              </w:rPr>
              <w:t>1955-1969</w:t>
            </w:r>
          </w:p>
        </w:tc>
      </w:tr>
      <w:tr w:rsidR="000F7F6A" w14:paraId="49D04D0A"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C3AE96D"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4B19AB13"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32C4E5C0" w14:textId="77777777" w:rsidR="000F7F6A" w:rsidRDefault="00952983">
            <w:pPr>
              <w:spacing w:before="40" w:after="40"/>
              <w:ind w:left="100" w:right="100"/>
              <w:jc w:val="center"/>
            </w:pPr>
            <w:r>
              <w:rPr>
                <w:rFonts w:ascii="Arial" w:eastAsia="Arial" w:hAnsi="Arial" w:cs="Arial"/>
                <w:color w:val="111111"/>
                <w:sz w:val="22"/>
                <w:szCs w:val="22"/>
              </w:rPr>
              <w:t>76.80</w:t>
            </w:r>
          </w:p>
        </w:tc>
        <w:tc>
          <w:tcPr>
            <w:tcW w:w="1080" w:type="dxa"/>
            <w:tcBorders>
              <w:top w:val="single" w:sz="16" w:space="0" w:color="000000"/>
              <w:bottom w:val="single" w:sz="16" w:space="0" w:color="000000"/>
            </w:tcBorders>
            <w:shd w:val="clear" w:color="auto" w:fill="FFFFFF"/>
            <w:vAlign w:val="center"/>
          </w:tcPr>
          <w:p w14:paraId="46AEB52A" w14:textId="77777777" w:rsidR="000F7F6A" w:rsidRDefault="00952983">
            <w:pPr>
              <w:spacing w:before="40" w:after="40"/>
              <w:ind w:left="100" w:right="100"/>
              <w:jc w:val="center"/>
            </w:pPr>
            <w:r>
              <w:rPr>
                <w:rFonts w:ascii="Arial" w:eastAsia="Arial" w:hAnsi="Arial" w:cs="Arial"/>
                <w:color w:val="111111"/>
                <w:sz w:val="22"/>
                <w:szCs w:val="22"/>
              </w:rPr>
              <w:t>56.61</w:t>
            </w:r>
          </w:p>
        </w:tc>
        <w:tc>
          <w:tcPr>
            <w:tcW w:w="1080" w:type="dxa"/>
            <w:tcBorders>
              <w:top w:val="single" w:sz="16" w:space="0" w:color="000000"/>
              <w:bottom w:val="single" w:sz="16" w:space="0" w:color="000000"/>
            </w:tcBorders>
            <w:shd w:val="clear" w:color="auto" w:fill="FFFFFF"/>
            <w:vAlign w:val="center"/>
          </w:tcPr>
          <w:p w14:paraId="3768F1DD" w14:textId="77777777" w:rsidR="000F7F6A" w:rsidRDefault="00952983">
            <w:pPr>
              <w:spacing w:before="40" w:after="40"/>
              <w:ind w:left="100" w:right="100"/>
              <w:jc w:val="center"/>
            </w:pPr>
            <w:r>
              <w:rPr>
                <w:rFonts w:ascii="Arial" w:eastAsia="Arial" w:hAnsi="Arial" w:cs="Arial"/>
                <w:color w:val="111111"/>
                <w:sz w:val="22"/>
                <w:szCs w:val="22"/>
              </w:rPr>
              <w:t>31.32</w:t>
            </w:r>
          </w:p>
        </w:tc>
        <w:tc>
          <w:tcPr>
            <w:tcW w:w="1080" w:type="dxa"/>
            <w:tcBorders>
              <w:top w:val="single" w:sz="16" w:space="0" w:color="000000"/>
              <w:bottom w:val="single" w:sz="16" w:space="0" w:color="000000"/>
            </w:tcBorders>
            <w:shd w:val="clear" w:color="auto" w:fill="FFFFFF"/>
            <w:vAlign w:val="center"/>
          </w:tcPr>
          <w:p w14:paraId="50136A73" w14:textId="77777777" w:rsidR="000F7F6A" w:rsidRDefault="00952983">
            <w:pPr>
              <w:spacing w:before="40" w:after="40"/>
              <w:ind w:left="100" w:right="100"/>
              <w:jc w:val="center"/>
            </w:pPr>
            <w:r>
              <w:rPr>
                <w:rFonts w:ascii="Arial" w:eastAsia="Arial" w:hAnsi="Arial" w:cs="Arial"/>
                <w:color w:val="111111"/>
                <w:sz w:val="22"/>
                <w:szCs w:val="22"/>
              </w:rPr>
              <w:t>6.01</w:t>
            </w:r>
          </w:p>
        </w:tc>
        <w:tc>
          <w:tcPr>
            <w:tcW w:w="1080" w:type="dxa"/>
            <w:tcBorders>
              <w:top w:val="single" w:sz="16" w:space="0" w:color="000000"/>
              <w:bottom w:val="single" w:sz="16" w:space="0" w:color="000000"/>
            </w:tcBorders>
            <w:shd w:val="clear" w:color="auto" w:fill="FFFFFF"/>
            <w:vAlign w:val="center"/>
          </w:tcPr>
          <w:p w14:paraId="13E79C57" w14:textId="77777777" w:rsidR="000F7F6A" w:rsidRDefault="00952983">
            <w:pPr>
              <w:spacing w:before="40" w:after="40"/>
              <w:ind w:left="100" w:right="100"/>
              <w:jc w:val="center"/>
            </w:pPr>
            <w:r>
              <w:rPr>
                <w:rFonts w:ascii="Arial" w:eastAsia="Arial" w:hAnsi="Arial" w:cs="Arial"/>
                <w:color w:val="111111"/>
                <w:sz w:val="22"/>
                <w:szCs w:val="22"/>
              </w:rPr>
              <w:t>4.59</w:t>
            </w:r>
          </w:p>
        </w:tc>
        <w:tc>
          <w:tcPr>
            <w:tcW w:w="1079" w:type="dxa"/>
            <w:tcBorders>
              <w:top w:val="single" w:sz="16" w:space="0" w:color="000000"/>
              <w:bottom w:val="single" w:sz="16" w:space="0" w:color="000000"/>
            </w:tcBorders>
            <w:shd w:val="clear" w:color="auto" w:fill="FFFFFF"/>
            <w:vAlign w:val="center"/>
          </w:tcPr>
          <w:p w14:paraId="376571EC" w14:textId="77777777" w:rsidR="000F7F6A" w:rsidRDefault="00952983">
            <w:pPr>
              <w:spacing w:before="40" w:after="40"/>
              <w:ind w:left="100" w:right="100"/>
              <w:jc w:val="center"/>
            </w:pPr>
            <w:r>
              <w:rPr>
                <w:rFonts w:ascii="Arial" w:eastAsia="Arial" w:hAnsi="Arial" w:cs="Arial"/>
                <w:color w:val="111111"/>
                <w:sz w:val="22"/>
                <w:szCs w:val="22"/>
              </w:rPr>
              <w:t>3.22</w:t>
            </w:r>
          </w:p>
        </w:tc>
      </w:tr>
      <w:tr w:rsidR="000F7F6A" w14:paraId="511D5A2C"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7285E76"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42BCA8F0"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5AA9D162" w14:textId="77777777" w:rsidR="000F7F6A" w:rsidRDefault="00952983">
            <w:pPr>
              <w:spacing w:before="40" w:after="40"/>
              <w:ind w:left="100" w:right="100"/>
              <w:jc w:val="center"/>
            </w:pPr>
            <w:r>
              <w:rPr>
                <w:rFonts w:ascii="Arial" w:eastAsia="Arial" w:hAnsi="Arial" w:cs="Arial"/>
                <w:color w:val="111111"/>
                <w:sz w:val="22"/>
                <w:szCs w:val="22"/>
              </w:rPr>
              <w:t xml:space="preserve"> 5.00</w:t>
            </w:r>
          </w:p>
        </w:tc>
        <w:tc>
          <w:tcPr>
            <w:tcW w:w="1080" w:type="dxa"/>
            <w:tcBorders>
              <w:top w:val="single" w:sz="16" w:space="0" w:color="000000"/>
              <w:bottom w:val="single" w:sz="16" w:space="0" w:color="000000"/>
            </w:tcBorders>
            <w:shd w:val="clear" w:color="auto" w:fill="FFFFFF"/>
            <w:vAlign w:val="center"/>
          </w:tcPr>
          <w:p w14:paraId="3FD28068" w14:textId="77777777" w:rsidR="000F7F6A" w:rsidRDefault="00952983">
            <w:pPr>
              <w:spacing w:before="40" w:after="40"/>
              <w:ind w:left="100" w:right="100"/>
              <w:jc w:val="center"/>
            </w:pPr>
            <w:r>
              <w:rPr>
                <w:rFonts w:ascii="Arial" w:eastAsia="Arial" w:hAnsi="Arial" w:cs="Arial"/>
                <w:color w:val="111111"/>
                <w:sz w:val="22"/>
                <w:szCs w:val="22"/>
              </w:rPr>
              <w:t xml:space="preserve"> 6.52</w:t>
            </w:r>
          </w:p>
        </w:tc>
        <w:tc>
          <w:tcPr>
            <w:tcW w:w="1080" w:type="dxa"/>
            <w:tcBorders>
              <w:top w:val="single" w:sz="16" w:space="0" w:color="000000"/>
              <w:bottom w:val="single" w:sz="16" w:space="0" w:color="000000"/>
            </w:tcBorders>
            <w:shd w:val="clear" w:color="auto" w:fill="FFFFFF"/>
            <w:vAlign w:val="center"/>
          </w:tcPr>
          <w:p w14:paraId="0994ED87" w14:textId="77777777" w:rsidR="000F7F6A" w:rsidRDefault="00952983">
            <w:pPr>
              <w:spacing w:before="40" w:after="40"/>
              <w:ind w:left="100" w:right="100"/>
              <w:jc w:val="center"/>
            </w:pPr>
            <w:r>
              <w:rPr>
                <w:rFonts w:ascii="Arial" w:eastAsia="Arial" w:hAnsi="Arial" w:cs="Arial"/>
                <w:color w:val="111111"/>
                <w:sz w:val="22"/>
                <w:szCs w:val="22"/>
              </w:rPr>
              <w:t xml:space="preserve"> 7.42</w:t>
            </w:r>
          </w:p>
        </w:tc>
        <w:tc>
          <w:tcPr>
            <w:tcW w:w="1080" w:type="dxa"/>
            <w:tcBorders>
              <w:top w:val="single" w:sz="16" w:space="0" w:color="000000"/>
              <w:bottom w:val="single" w:sz="16" w:space="0" w:color="000000"/>
            </w:tcBorders>
            <w:shd w:val="clear" w:color="auto" w:fill="FFFFFF"/>
            <w:vAlign w:val="center"/>
          </w:tcPr>
          <w:p w14:paraId="3168FC0E" w14:textId="77777777" w:rsidR="000F7F6A" w:rsidRDefault="00952983">
            <w:pPr>
              <w:spacing w:before="40" w:after="40"/>
              <w:ind w:left="100" w:right="100"/>
              <w:jc w:val="center"/>
            </w:pPr>
            <w:r>
              <w:rPr>
                <w:rFonts w:ascii="Arial" w:eastAsia="Arial" w:hAnsi="Arial" w:cs="Arial"/>
                <w:color w:val="111111"/>
                <w:sz w:val="22"/>
                <w:szCs w:val="22"/>
              </w:rPr>
              <w:t>4.20</w:t>
            </w:r>
          </w:p>
        </w:tc>
        <w:tc>
          <w:tcPr>
            <w:tcW w:w="1080" w:type="dxa"/>
            <w:tcBorders>
              <w:top w:val="single" w:sz="16" w:space="0" w:color="000000"/>
              <w:bottom w:val="single" w:sz="16" w:space="0" w:color="000000"/>
            </w:tcBorders>
            <w:shd w:val="clear" w:color="auto" w:fill="FFFFFF"/>
            <w:vAlign w:val="center"/>
          </w:tcPr>
          <w:p w14:paraId="239A7EC7" w14:textId="77777777" w:rsidR="000F7F6A" w:rsidRDefault="00952983">
            <w:pPr>
              <w:spacing w:before="40" w:after="40"/>
              <w:ind w:left="100" w:right="100"/>
              <w:jc w:val="center"/>
            </w:pPr>
            <w:r>
              <w:rPr>
                <w:rFonts w:ascii="Arial" w:eastAsia="Arial" w:hAnsi="Arial" w:cs="Arial"/>
                <w:color w:val="111111"/>
                <w:sz w:val="22"/>
                <w:szCs w:val="22"/>
              </w:rPr>
              <w:t>3.50</w:t>
            </w:r>
          </w:p>
        </w:tc>
        <w:tc>
          <w:tcPr>
            <w:tcW w:w="1079" w:type="dxa"/>
            <w:tcBorders>
              <w:top w:val="single" w:sz="16" w:space="0" w:color="000000"/>
              <w:bottom w:val="single" w:sz="16" w:space="0" w:color="000000"/>
            </w:tcBorders>
            <w:shd w:val="clear" w:color="auto" w:fill="FFFFFF"/>
            <w:vAlign w:val="center"/>
          </w:tcPr>
          <w:p w14:paraId="78FE5C06" w14:textId="77777777" w:rsidR="000F7F6A" w:rsidRDefault="00952983">
            <w:pPr>
              <w:spacing w:before="40" w:after="40"/>
              <w:ind w:left="100" w:right="100"/>
              <w:jc w:val="center"/>
            </w:pPr>
            <w:r>
              <w:rPr>
                <w:rFonts w:ascii="Arial" w:eastAsia="Arial" w:hAnsi="Arial" w:cs="Arial"/>
                <w:color w:val="111111"/>
                <w:sz w:val="22"/>
                <w:szCs w:val="22"/>
              </w:rPr>
              <w:t>2.77</w:t>
            </w:r>
          </w:p>
        </w:tc>
      </w:tr>
      <w:tr w:rsidR="000F7F6A" w14:paraId="77E13639"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6E193DE5"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59687A51"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182966A5" w14:textId="77777777" w:rsidR="000F7F6A" w:rsidRDefault="00952983">
            <w:pPr>
              <w:spacing w:before="40" w:after="40"/>
              <w:ind w:left="100" w:right="100"/>
              <w:jc w:val="center"/>
            </w:pPr>
            <w:r>
              <w:rPr>
                <w:rFonts w:ascii="Arial" w:eastAsia="Arial" w:hAnsi="Arial" w:cs="Arial"/>
                <w:color w:val="111111"/>
                <w:sz w:val="22"/>
                <w:szCs w:val="22"/>
              </w:rPr>
              <w:t xml:space="preserve"> 2.16</w:t>
            </w:r>
          </w:p>
        </w:tc>
        <w:tc>
          <w:tcPr>
            <w:tcW w:w="1080" w:type="dxa"/>
            <w:tcBorders>
              <w:top w:val="single" w:sz="16" w:space="0" w:color="000000"/>
              <w:bottom w:val="single" w:sz="16" w:space="0" w:color="000000"/>
            </w:tcBorders>
            <w:shd w:val="clear" w:color="auto" w:fill="FFFFFF"/>
            <w:vAlign w:val="center"/>
          </w:tcPr>
          <w:p w14:paraId="07538D07" w14:textId="77777777" w:rsidR="000F7F6A" w:rsidRDefault="00952983">
            <w:pPr>
              <w:spacing w:before="40" w:after="40"/>
              <w:ind w:left="100" w:right="100"/>
              <w:jc w:val="center"/>
            </w:pPr>
            <w:r>
              <w:rPr>
                <w:rFonts w:ascii="Arial" w:eastAsia="Arial" w:hAnsi="Arial" w:cs="Arial"/>
                <w:color w:val="111111"/>
                <w:sz w:val="22"/>
                <w:szCs w:val="22"/>
              </w:rPr>
              <w:t xml:space="preserve"> 2.71</w:t>
            </w:r>
          </w:p>
        </w:tc>
        <w:tc>
          <w:tcPr>
            <w:tcW w:w="1080" w:type="dxa"/>
            <w:tcBorders>
              <w:top w:val="single" w:sz="16" w:space="0" w:color="000000"/>
              <w:bottom w:val="single" w:sz="16" w:space="0" w:color="000000"/>
            </w:tcBorders>
            <w:shd w:val="clear" w:color="auto" w:fill="FFFFFF"/>
            <w:vAlign w:val="center"/>
          </w:tcPr>
          <w:p w14:paraId="2B560B27" w14:textId="77777777" w:rsidR="000F7F6A" w:rsidRDefault="00952983">
            <w:pPr>
              <w:spacing w:before="40" w:after="40"/>
              <w:ind w:left="100" w:right="100"/>
              <w:jc w:val="center"/>
            </w:pPr>
            <w:r>
              <w:rPr>
                <w:rFonts w:ascii="Arial" w:eastAsia="Arial" w:hAnsi="Arial" w:cs="Arial"/>
                <w:color w:val="111111"/>
                <w:sz w:val="22"/>
                <w:szCs w:val="22"/>
              </w:rPr>
              <w:t xml:space="preserve"> 2.61</w:t>
            </w:r>
          </w:p>
        </w:tc>
        <w:tc>
          <w:tcPr>
            <w:tcW w:w="1080" w:type="dxa"/>
            <w:tcBorders>
              <w:top w:val="single" w:sz="16" w:space="0" w:color="000000"/>
              <w:bottom w:val="single" w:sz="16" w:space="0" w:color="000000"/>
            </w:tcBorders>
            <w:shd w:val="clear" w:color="auto" w:fill="FFFFFF"/>
            <w:vAlign w:val="center"/>
          </w:tcPr>
          <w:p w14:paraId="1EF6A732" w14:textId="77777777" w:rsidR="000F7F6A" w:rsidRDefault="00952983">
            <w:pPr>
              <w:spacing w:before="40" w:after="40"/>
              <w:ind w:left="100" w:right="100"/>
              <w:jc w:val="center"/>
            </w:pPr>
            <w:r>
              <w:rPr>
                <w:rFonts w:ascii="Arial" w:eastAsia="Arial" w:hAnsi="Arial" w:cs="Arial"/>
                <w:color w:val="111111"/>
                <w:sz w:val="22"/>
                <w:szCs w:val="22"/>
              </w:rPr>
              <w:t>3.81</w:t>
            </w:r>
          </w:p>
        </w:tc>
        <w:tc>
          <w:tcPr>
            <w:tcW w:w="1080" w:type="dxa"/>
            <w:tcBorders>
              <w:top w:val="single" w:sz="16" w:space="0" w:color="000000"/>
              <w:bottom w:val="single" w:sz="16" w:space="0" w:color="000000"/>
            </w:tcBorders>
            <w:shd w:val="clear" w:color="auto" w:fill="FFFFFF"/>
            <w:vAlign w:val="center"/>
          </w:tcPr>
          <w:p w14:paraId="7778DC56" w14:textId="77777777" w:rsidR="000F7F6A" w:rsidRDefault="00952983">
            <w:pPr>
              <w:spacing w:before="40" w:after="40"/>
              <w:ind w:left="100" w:right="100"/>
              <w:jc w:val="center"/>
            </w:pPr>
            <w:r>
              <w:rPr>
                <w:rFonts w:ascii="Arial" w:eastAsia="Arial" w:hAnsi="Arial" w:cs="Arial"/>
                <w:color w:val="111111"/>
                <w:sz w:val="22"/>
                <w:szCs w:val="22"/>
              </w:rPr>
              <w:t>3.21</w:t>
            </w:r>
          </w:p>
        </w:tc>
        <w:tc>
          <w:tcPr>
            <w:tcW w:w="1079" w:type="dxa"/>
            <w:tcBorders>
              <w:top w:val="single" w:sz="16" w:space="0" w:color="000000"/>
              <w:bottom w:val="single" w:sz="16" w:space="0" w:color="000000"/>
            </w:tcBorders>
            <w:shd w:val="clear" w:color="auto" w:fill="FFFFFF"/>
            <w:vAlign w:val="center"/>
          </w:tcPr>
          <w:p w14:paraId="72A9D1C4" w14:textId="77777777" w:rsidR="000F7F6A" w:rsidRDefault="00952983">
            <w:pPr>
              <w:spacing w:before="40" w:after="40"/>
              <w:ind w:left="100" w:right="100"/>
              <w:jc w:val="center"/>
            </w:pPr>
            <w:r>
              <w:rPr>
                <w:rFonts w:ascii="Arial" w:eastAsia="Arial" w:hAnsi="Arial" w:cs="Arial"/>
                <w:color w:val="111111"/>
                <w:sz w:val="22"/>
                <w:szCs w:val="22"/>
              </w:rPr>
              <w:t>2.50</w:t>
            </w:r>
          </w:p>
        </w:tc>
      </w:tr>
      <w:tr w:rsidR="000F7F6A" w14:paraId="1687D338"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5EA29D0"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5352C2D7"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29098760" w14:textId="77777777" w:rsidR="000F7F6A" w:rsidRDefault="00952983">
            <w:pPr>
              <w:spacing w:before="40" w:after="40"/>
              <w:ind w:left="100" w:right="100"/>
              <w:jc w:val="center"/>
            </w:pPr>
            <w:r>
              <w:rPr>
                <w:rFonts w:ascii="Arial" w:eastAsia="Arial" w:hAnsi="Arial" w:cs="Arial"/>
                <w:color w:val="111111"/>
                <w:sz w:val="22"/>
                <w:szCs w:val="22"/>
              </w:rPr>
              <w:t xml:space="preserve"> 0.73</w:t>
            </w:r>
          </w:p>
        </w:tc>
        <w:tc>
          <w:tcPr>
            <w:tcW w:w="1080" w:type="dxa"/>
            <w:tcBorders>
              <w:top w:val="single" w:sz="16" w:space="0" w:color="000000"/>
              <w:bottom w:val="single" w:sz="16" w:space="0" w:color="000000"/>
            </w:tcBorders>
            <w:shd w:val="clear" w:color="auto" w:fill="FFFFFF"/>
            <w:vAlign w:val="center"/>
          </w:tcPr>
          <w:p w14:paraId="6D9B3C79" w14:textId="77777777" w:rsidR="000F7F6A" w:rsidRDefault="00952983">
            <w:pPr>
              <w:spacing w:before="40" w:after="40"/>
              <w:ind w:left="100" w:right="100"/>
              <w:jc w:val="center"/>
            </w:pPr>
            <w:r>
              <w:rPr>
                <w:rFonts w:ascii="Arial" w:eastAsia="Arial" w:hAnsi="Arial" w:cs="Arial"/>
                <w:color w:val="111111"/>
                <w:sz w:val="22"/>
                <w:szCs w:val="22"/>
              </w:rPr>
              <w:t xml:space="preserve"> 0.63</w:t>
            </w:r>
          </w:p>
        </w:tc>
        <w:tc>
          <w:tcPr>
            <w:tcW w:w="1080" w:type="dxa"/>
            <w:tcBorders>
              <w:top w:val="single" w:sz="16" w:space="0" w:color="000000"/>
              <w:bottom w:val="single" w:sz="16" w:space="0" w:color="000000"/>
            </w:tcBorders>
            <w:shd w:val="clear" w:color="auto" w:fill="FFFFFF"/>
            <w:vAlign w:val="center"/>
          </w:tcPr>
          <w:p w14:paraId="776BDC8C" w14:textId="77777777" w:rsidR="000F7F6A" w:rsidRDefault="00952983">
            <w:pPr>
              <w:spacing w:before="40" w:after="40"/>
              <w:ind w:left="100" w:right="100"/>
              <w:jc w:val="center"/>
            </w:pPr>
            <w:r>
              <w:rPr>
                <w:rFonts w:ascii="Arial" w:eastAsia="Arial" w:hAnsi="Arial" w:cs="Arial"/>
                <w:color w:val="111111"/>
                <w:sz w:val="22"/>
                <w:szCs w:val="22"/>
              </w:rPr>
              <w:t xml:space="preserve"> 0.32</w:t>
            </w:r>
          </w:p>
        </w:tc>
        <w:tc>
          <w:tcPr>
            <w:tcW w:w="1080" w:type="dxa"/>
            <w:tcBorders>
              <w:top w:val="single" w:sz="16" w:space="0" w:color="000000"/>
              <w:bottom w:val="single" w:sz="16" w:space="0" w:color="000000"/>
            </w:tcBorders>
            <w:shd w:val="clear" w:color="auto" w:fill="FFFFFF"/>
            <w:vAlign w:val="center"/>
          </w:tcPr>
          <w:p w14:paraId="7FF8EAF4" w14:textId="77777777" w:rsidR="000F7F6A" w:rsidRDefault="00952983">
            <w:pPr>
              <w:spacing w:before="40" w:after="40"/>
              <w:ind w:left="100" w:right="100"/>
              <w:jc w:val="center"/>
            </w:pPr>
            <w:r>
              <w:rPr>
                <w:rFonts w:ascii="Arial" w:eastAsia="Arial" w:hAnsi="Arial" w:cs="Arial"/>
                <w:color w:val="111111"/>
                <w:sz w:val="22"/>
                <w:szCs w:val="22"/>
              </w:rPr>
              <w:t>3.71</w:t>
            </w:r>
          </w:p>
        </w:tc>
        <w:tc>
          <w:tcPr>
            <w:tcW w:w="1080" w:type="dxa"/>
            <w:tcBorders>
              <w:top w:val="single" w:sz="16" w:space="0" w:color="000000"/>
              <w:bottom w:val="single" w:sz="16" w:space="0" w:color="000000"/>
            </w:tcBorders>
            <w:shd w:val="clear" w:color="auto" w:fill="FFFFFF"/>
            <w:vAlign w:val="center"/>
          </w:tcPr>
          <w:p w14:paraId="0B5A9BD6" w14:textId="77777777" w:rsidR="000F7F6A" w:rsidRDefault="00952983">
            <w:pPr>
              <w:spacing w:before="40" w:after="40"/>
              <w:ind w:left="100" w:right="100"/>
              <w:jc w:val="center"/>
            </w:pPr>
            <w:r>
              <w:rPr>
                <w:rFonts w:ascii="Arial" w:eastAsia="Arial" w:hAnsi="Arial" w:cs="Arial"/>
                <w:color w:val="111111"/>
                <w:sz w:val="22"/>
                <w:szCs w:val="22"/>
              </w:rPr>
              <w:t>3.09</w:t>
            </w:r>
          </w:p>
        </w:tc>
        <w:tc>
          <w:tcPr>
            <w:tcW w:w="1079" w:type="dxa"/>
            <w:tcBorders>
              <w:top w:val="single" w:sz="16" w:space="0" w:color="000000"/>
              <w:bottom w:val="single" w:sz="16" w:space="0" w:color="000000"/>
            </w:tcBorders>
            <w:shd w:val="clear" w:color="auto" w:fill="FFFFFF"/>
            <w:vAlign w:val="center"/>
          </w:tcPr>
          <w:p w14:paraId="2E192AB3" w14:textId="77777777" w:rsidR="000F7F6A" w:rsidRDefault="00952983">
            <w:pPr>
              <w:spacing w:before="40" w:after="40"/>
              <w:ind w:left="100" w:right="100"/>
              <w:jc w:val="center"/>
            </w:pPr>
            <w:r>
              <w:rPr>
                <w:rFonts w:ascii="Arial" w:eastAsia="Arial" w:hAnsi="Arial" w:cs="Arial"/>
                <w:color w:val="111111"/>
                <w:sz w:val="22"/>
                <w:szCs w:val="22"/>
              </w:rPr>
              <w:t>2.37</w:t>
            </w:r>
          </w:p>
        </w:tc>
      </w:tr>
      <w:tr w:rsidR="000F7F6A" w14:paraId="4D8C3D94"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73BEDC0A"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7C0C5D85"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016CBB1F" w14:textId="77777777" w:rsidR="000F7F6A" w:rsidRDefault="00952983">
            <w:pPr>
              <w:spacing w:before="40" w:after="40"/>
              <w:ind w:left="100" w:right="100"/>
              <w:jc w:val="center"/>
            </w:pPr>
            <w:r>
              <w:rPr>
                <w:rFonts w:ascii="Arial" w:eastAsia="Arial" w:hAnsi="Arial" w:cs="Arial"/>
                <w:color w:val="111111"/>
                <w:sz w:val="22"/>
                <w:szCs w:val="22"/>
              </w:rPr>
              <w:t xml:space="preserve"> 2.60</w:t>
            </w:r>
          </w:p>
        </w:tc>
        <w:tc>
          <w:tcPr>
            <w:tcW w:w="1080" w:type="dxa"/>
            <w:tcBorders>
              <w:top w:val="single" w:sz="16" w:space="0" w:color="000000"/>
              <w:bottom w:val="single" w:sz="16" w:space="0" w:color="000000"/>
            </w:tcBorders>
            <w:shd w:val="clear" w:color="auto" w:fill="FFFFFF"/>
            <w:vAlign w:val="center"/>
          </w:tcPr>
          <w:p w14:paraId="435334DB" w14:textId="77777777" w:rsidR="000F7F6A" w:rsidRDefault="00952983">
            <w:pPr>
              <w:spacing w:before="40" w:after="40"/>
              <w:ind w:left="100" w:right="100"/>
              <w:jc w:val="center"/>
            </w:pPr>
            <w:r>
              <w:rPr>
                <w:rFonts w:ascii="Arial" w:eastAsia="Arial" w:hAnsi="Arial" w:cs="Arial"/>
                <w:color w:val="111111"/>
                <w:sz w:val="22"/>
                <w:szCs w:val="22"/>
              </w:rPr>
              <w:t xml:space="preserve"> 5.33</w:t>
            </w:r>
          </w:p>
        </w:tc>
        <w:tc>
          <w:tcPr>
            <w:tcW w:w="1080" w:type="dxa"/>
            <w:tcBorders>
              <w:top w:val="single" w:sz="16" w:space="0" w:color="000000"/>
              <w:bottom w:val="single" w:sz="16" w:space="0" w:color="000000"/>
            </w:tcBorders>
            <w:shd w:val="clear" w:color="auto" w:fill="FFFFFF"/>
            <w:vAlign w:val="center"/>
          </w:tcPr>
          <w:p w14:paraId="6A1F8FEC" w14:textId="77777777" w:rsidR="000F7F6A" w:rsidRDefault="00952983">
            <w:pPr>
              <w:spacing w:before="40" w:after="40"/>
              <w:ind w:left="100" w:right="100"/>
              <w:jc w:val="center"/>
            </w:pPr>
            <w:r>
              <w:rPr>
                <w:rFonts w:ascii="Arial" w:eastAsia="Arial" w:hAnsi="Arial" w:cs="Arial"/>
                <w:color w:val="111111"/>
                <w:sz w:val="22"/>
                <w:szCs w:val="22"/>
              </w:rPr>
              <w:t xml:space="preserve"> 8.44</w:t>
            </w:r>
          </w:p>
        </w:tc>
        <w:tc>
          <w:tcPr>
            <w:tcW w:w="1080" w:type="dxa"/>
            <w:tcBorders>
              <w:top w:val="single" w:sz="16" w:space="0" w:color="000000"/>
              <w:bottom w:val="single" w:sz="16" w:space="0" w:color="000000"/>
            </w:tcBorders>
            <w:shd w:val="clear" w:color="auto" w:fill="FFFFFF"/>
            <w:vAlign w:val="center"/>
          </w:tcPr>
          <w:p w14:paraId="57E13849" w14:textId="77777777" w:rsidR="000F7F6A" w:rsidRDefault="00952983">
            <w:pPr>
              <w:spacing w:before="40" w:after="40"/>
              <w:ind w:left="100" w:right="100"/>
              <w:jc w:val="center"/>
            </w:pPr>
            <w:r>
              <w:rPr>
                <w:rFonts w:ascii="Arial" w:eastAsia="Arial" w:hAnsi="Arial" w:cs="Arial"/>
                <w:color w:val="111111"/>
                <w:sz w:val="22"/>
                <w:szCs w:val="22"/>
              </w:rPr>
              <w:t>4.16</w:t>
            </w:r>
          </w:p>
        </w:tc>
        <w:tc>
          <w:tcPr>
            <w:tcW w:w="1080" w:type="dxa"/>
            <w:tcBorders>
              <w:top w:val="single" w:sz="16" w:space="0" w:color="000000"/>
              <w:bottom w:val="single" w:sz="16" w:space="0" w:color="000000"/>
            </w:tcBorders>
            <w:shd w:val="clear" w:color="auto" w:fill="FFFFFF"/>
            <w:vAlign w:val="center"/>
          </w:tcPr>
          <w:p w14:paraId="76392368" w14:textId="77777777" w:rsidR="000F7F6A" w:rsidRDefault="00952983">
            <w:pPr>
              <w:spacing w:before="40" w:after="40"/>
              <w:ind w:left="100" w:right="100"/>
              <w:jc w:val="center"/>
            </w:pPr>
            <w:r>
              <w:rPr>
                <w:rFonts w:ascii="Arial" w:eastAsia="Arial" w:hAnsi="Arial" w:cs="Arial"/>
                <w:color w:val="111111"/>
                <w:sz w:val="22"/>
                <w:szCs w:val="22"/>
              </w:rPr>
              <w:t>3.29</w:t>
            </w:r>
          </w:p>
        </w:tc>
        <w:tc>
          <w:tcPr>
            <w:tcW w:w="1079" w:type="dxa"/>
            <w:tcBorders>
              <w:top w:val="single" w:sz="16" w:space="0" w:color="000000"/>
              <w:bottom w:val="single" w:sz="16" w:space="0" w:color="000000"/>
            </w:tcBorders>
            <w:shd w:val="clear" w:color="auto" w:fill="FFFFFF"/>
            <w:vAlign w:val="center"/>
          </w:tcPr>
          <w:p w14:paraId="09103349" w14:textId="77777777" w:rsidR="000F7F6A" w:rsidRDefault="00952983">
            <w:pPr>
              <w:spacing w:before="40" w:after="40"/>
              <w:ind w:left="100" w:right="100"/>
              <w:jc w:val="center"/>
            </w:pPr>
            <w:r>
              <w:rPr>
                <w:rFonts w:ascii="Arial" w:eastAsia="Arial" w:hAnsi="Arial" w:cs="Arial"/>
                <w:color w:val="111111"/>
                <w:sz w:val="22"/>
                <w:szCs w:val="22"/>
              </w:rPr>
              <w:t>2.65</w:t>
            </w:r>
          </w:p>
        </w:tc>
      </w:tr>
      <w:tr w:rsidR="000F7F6A" w14:paraId="67DAA875"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8232A3D"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181826FA"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719BFCDD" w14:textId="77777777" w:rsidR="000F7F6A" w:rsidRDefault="00952983">
            <w:pPr>
              <w:spacing w:before="40" w:after="40"/>
              <w:ind w:left="100" w:right="100"/>
              <w:jc w:val="center"/>
            </w:pPr>
            <w:r>
              <w:rPr>
                <w:rFonts w:ascii="Arial" w:eastAsia="Arial" w:hAnsi="Arial" w:cs="Arial"/>
                <w:color w:val="111111"/>
                <w:sz w:val="22"/>
                <w:szCs w:val="22"/>
              </w:rPr>
              <w:t xml:space="preserve"> 2.39</w:t>
            </w:r>
          </w:p>
        </w:tc>
        <w:tc>
          <w:tcPr>
            <w:tcW w:w="1080" w:type="dxa"/>
            <w:tcBorders>
              <w:top w:val="single" w:sz="16" w:space="0" w:color="000000"/>
              <w:bottom w:val="single" w:sz="16" w:space="0" w:color="000000"/>
            </w:tcBorders>
            <w:shd w:val="clear" w:color="auto" w:fill="FFFFFF"/>
            <w:vAlign w:val="center"/>
          </w:tcPr>
          <w:p w14:paraId="0840A565" w14:textId="77777777" w:rsidR="000F7F6A" w:rsidRDefault="00952983">
            <w:pPr>
              <w:spacing w:before="40" w:after="40"/>
              <w:ind w:left="100" w:right="100"/>
              <w:jc w:val="center"/>
            </w:pPr>
            <w:r>
              <w:rPr>
                <w:rFonts w:ascii="Arial" w:eastAsia="Arial" w:hAnsi="Arial" w:cs="Arial"/>
                <w:color w:val="111111"/>
                <w:sz w:val="22"/>
                <w:szCs w:val="22"/>
              </w:rPr>
              <w:t xml:space="preserve"> 5.10</w:t>
            </w:r>
          </w:p>
        </w:tc>
        <w:tc>
          <w:tcPr>
            <w:tcW w:w="1080" w:type="dxa"/>
            <w:tcBorders>
              <w:top w:val="single" w:sz="16" w:space="0" w:color="000000"/>
              <w:bottom w:val="single" w:sz="16" w:space="0" w:color="000000"/>
            </w:tcBorders>
            <w:shd w:val="clear" w:color="auto" w:fill="FFFFFF"/>
            <w:vAlign w:val="center"/>
          </w:tcPr>
          <w:p w14:paraId="3315D7F4" w14:textId="77777777" w:rsidR="000F7F6A" w:rsidRDefault="00952983">
            <w:pPr>
              <w:spacing w:before="40" w:after="40"/>
              <w:ind w:left="100" w:right="100"/>
              <w:jc w:val="center"/>
            </w:pPr>
            <w:r>
              <w:rPr>
                <w:rFonts w:ascii="Arial" w:eastAsia="Arial" w:hAnsi="Arial" w:cs="Arial"/>
                <w:color w:val="111111"/>
                <w:sz w:val="22"/>
                <w:szCs w:val="22"/>
              </w:rPr>
              <w:t>10.95</w:t>
            </w:r>
          </w:p>
        </w:tc>
        <w:tc>
          <w:tcPr>
            <w:tcW w:w="1080" w:type="dxa"/>
            <w:tcBorders>
              <w:top w:val="single" w:sz="16" w:space="0" w:color="000000"/>
              <w:bottom w:val="single" w:sz="16" w:space="0" w:color="000000"/>
            </w:tcBorders>
            <w:shd w:val="clear" w:color="auto" w:fill="FFFFFF"/>
            <w:vAlign w:val="center"/>
          </w:tcPr>
          <w:p w14:paraId="680A7152" w14:textId="77777777" w:rsidR="000F7F6A" w:rsidRDefault="00952983">
            <w:pPr>
              <w:spacing w:before="40" w:after="40"/>
              <w:ind w:left="100" w:right="100"/>
              <w:jc w:val="center"/>
            </w:pPr>
            <w:r>
              <w:rPr>
                <w:rFonts w:ascii="Arial" w:eastAsia="Arial" w:hAnsi="Arial" w:cs="Arial"/>
                <w:color w:val="111111"/>
                <w:sz w:val="22"/>
                <w:szCs w:val="22"/>
              </w:rPr>
              <w:t>3.47</w:t>
            </w:r>
          </w:p>
        </w:tc>
        <w:tc>
          <w:tcPr>
            <w:tcW w:w="1080" w:type="dxa"/>
            <w:tcBorders>
              <w:top w:val="single" w:sz="16" w:space="0" w:color="000000"/>
              <w:bottom w:val="single" w:sz="16" w:space="0" w:color="000000"/>
            </w:tcBorders>
            <w:shd w:val="clear" w:color="auto" w:fill="FFFFFF"/>
            <w:vAlign w:val="center"/>
          </w:tcPr>
          <w:p w14:paraId="73AA5424" w14:textId="77777777" w:rsidR="000F7F6A" w:rsidRDefault="00952983">
            <w:pPr>
              <w:spacing w:before="40" w:after="40"/>
              <w:ind w:left="100" w:right="100"/>
              <w:jc w:val="center"/>
            </w:pPr>
            <w:r>
              <w:rPr>
                <w:rFonts w:ascii="Arial" w:eastAsia="Arial" w:hAnsi="Arial" w:cs="Arial"/>
                <w:color w:val="111111"/>
                <w:sz w:val="22"/>
                <w:szCs w:val="22"/>
              </w:rPr>
              <w:t>2.88</w:t>
            </w:r>
          </w:p>
        </w:tc>
        <w:tc>
          <w:tcPr>
            <w:tcW w:w="1079" w:type="dxa"/>
            <w:tcBorders>
              <w:top w:val="single" w:sz="16" w:space="0" w:color="000000"/>
              <w:bottom w:val="single" w:sz="16" w:space="0" w:color="000000"/>
            </w:tcBorders>
            <w:shd w:val="clear" w:color="auto" w:fill="FFFFFF"/>
            <w:vAlign w:val="center"/>
          </w:tcPr>
          <w:p w14:paraId="686AE4DC" w14:textId="77777777" w:rsidR="000F7F6A" w:rsidRDefault="00952983">
            <w:pPr>
              <w:spacing w:before="40" w:after="40"/>
              <w:ind w:left="100" w:right="100"/>
              <w:jc w:val="center"/>
            </w:pPr>
            <w:r>
              <w:rPr>
                <w:rFonts w:ascii="Arial" w:eastAsia="Arial" w:hAnsi="Arial" w:cs="Arial"/>
                <w:color w:val="111111"/>
                <w:sz w:val="22"/>
                <w:szCs w:val="22"/>
              </w:rPr>
              <w:t>2.40</w:t>
            </w:r>
          </w:p>
        </w:tc>
      </w:tr>
      <w:tr w:rsidR="000F7F6A" w14:paraId="0C1D37E7"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4A7D76DB" w14:textId="77777777" w:rsidR="000F7F6A" w:rsidRDefault="00952983">
            <w:pPr>
              <w:spacing w:before="40" w:after="40"/>
              <w:ind w:left="100" w:right="100"/>
              <w:jc w:val="center"/>
            </w:pPr>
            <w:r>
              <w:rPr>
                <w:rFonts w:ascii="Arial" w:eastAsia="Arial" w:hAnsi="Arial" w:cs="Arial"/>
                <w:color w:val="111111"/>
                <w:sz w:val="22"/>
                <w:szCs w:val="22"/>
              </w:rPr>
              <w:lastRenderedPageBreak/>
              <w:t>P</w:t>
            </w:r>
          </w:p>
        </w:tc>
        <w:tc>
          <w:tcPr>
            <w:tcW w:w="1080" w:type="dxa"/>
            <w:tcBorders>
              <w:top w:val="single" w:sz="16" w:space="0" w:color="000000"/>
              <w:bottom w:val="single" w:sz="16" w:space="0" w:color="000000"/>
            </w:tcBorders>
            <w:shd w:val="clear" w:color="auto" w:fill="FFFFFF"/>
            <w:vAlign w:val="center"/>
          </w:tcPr>
          <w:p w14:paraId="4A458E0B"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696717B5" w14:textId="77777777" w:rsidR="000F7F6A" w:rsidRDefault="00952983">
            <w:pPr>
              <w:spacing w:before="40" w:after="40"/>
              <w:ind w:left="100" w:right="100"/>
              <w:jc w:val="center"/>
            </w:pPr>
            <w:r>
              <w:rPr>
                <w:rFonts w:ascii="Arial" w:eastAsia="Arial" w:hAnsi="Arial" w:cs="Arial"/>
                <w:color w:val="111111"/>
                <w:sz w:val="22"/>
                <w:szCs w:val="22"/>
              </w:rPr>
              <w:t xml:space="preserve"> 1.45</w:t>
            </w:r>
          </w:p>
        </w:tc>
        <w:tc>
          <w:tcPr>
            <w:tcW w:w="1080" w:type="dxa"/>
            <w:tcBorders>
              <w:top w:val="single" w:sz="16" w:space="0" w:color="000000"/>
              <w:bottom w:val="single" w:sz="16" w:space="0" w:color="000000"/>
            </w:tcBorders>
            <w:shd w:val="clear" w:color="auto" w:fill="FFFFFF"/>
            <w:vAlign w:val="center"/>
          </w:tcPr>
          <w:p w14:paraId="3305612F" w14:textId="77777777" w:rsidR="000F7F6A" w:rsidRDefault="00952983">
            <w:pPr>
              <w:spacing w:before="40" w:after="40"/>
              <w:ind w:left="100" w:right="100"/>
              <w:jc w:val="center"/>
            </w:pPr>
            <w:r>
              <w:rPr>
                <w:rFonts w:ascii="Arial" w:eastAsia="Arial" w:hAnsi="Arial" w:cs="Arial"/>
                <w:color w:val="111111"/>
                <w:sz w:val="22"/>
                <w:szCs w:val="22"/>
              </w:rPr>
              <w:t xml:space="preserve"> 2.61</w:t>
            </w:r>
          </w:p>
        </w:tc>
        <w:tc>
          <w:tcPr>
            <w:tcW w:w="1080" w:type="dxa"/>
            <w:tcBorders>
              <w:top w:val="single" w:sz="16" w:space="0" w:color="000000"/>
              <w:bottom w:val="single" w:sz="16" w:space="0" w:color="000000"/>
            </w:tcBorders>
            <w:shd w:val="clear" w:color="auto" w:fill="FFFFFF"/>
            <w:vAlign w:val="center"/>
          </w:tcPr>
          <w:p w14:paraId="706E0729" w14:textId="77777777" w:rsidR="000F7F6A" w:rsidRDefault="00952983">
            <w:pPr>
              <w:spacing w:before="40" w:after="40"/>
              <w:ind w:left="100" w:right="100"/>
              <w:jc w:val="center"/>
            </w:pPr>
            <w:r>
              <w:rPr>
                <w:rFonts w:ascii="Arial" w:eastAsia="Arial" w:hAnsi="Arial" w:cs="Arial"/>
                <w:color w:val="111111"/>
                <w:sz w:val="22"/>
                <w:szCs w:val="22"/>
              </w:rPr>
              <w:t xml:space="preserve"> 4.61</w:t>
            </w:r>
          </w:p>
        </w:tc>
        <w:tc>
          <w:tcPr>
            <w:tcW w:w="1080" w:type="dxa"/>
            <w:tcBorders>
              <w:top w:val="single" w:sz="16" w:space="0" w:color="000000"/>
              <w:bottom w:val="single" w:sz="16" w:space="0" w:color="000000"/>
            </w:tcBorders>
            <w:shd w:val="clear" w:color="auto" w:fill="FFFFFF"/>
            <w:vAlign w:val="center"/>
          </w:tcPr>
          <w:p w14:paraId="4815ADD9" w14:textId="77777777" w:rsidR="000F7F6A" w:rsidRDefault="00952983">
            <w:pPr>
              <w:spacing w:before="40" w:after="40"/>
              <w:ind w:left="100" w:right="100"/>
              <w:jc w:val="center"/>
            </w:pPr>
            <w:r>
              <w:rPr>
                <w:rFonts w:ascii="Arial" w:eastAsia="Arial" w:hAnsi="Arial" w:cs="Arial"/>
                <w:color w:val="111111"/>
                <w:sz w:val="22"/>
                <w:szCs w:val="22"/>
              </w:rPr>
              <w:t>3.37</w:t>
            </w:r>
          </w:p>
        </w:tc>
        <w:tc>
          <w:tcPr>
            <w:tcW w:w="1080" w:type="dxa"/>
            <w:tcBorders>
              <w:top w:val="single" w:sz="16" w:space="0" w:color="000000"/>
              <w:bottom w:val="single" w:sz="16" w:space="0" w:color="000000"/>
            </w:tcBorders>
            <w:shd w:val="clear" w:color="auto" w:fill="FFFFFF"/>
            <w:vAlign w:val="center"/>
          </w:tcPr>
          <w:p w14:paraId="02BB44B6" w14:textId="77777777" w:rsidR="000F7F6A" w:rsidRDefault="00952983">
            <w:pPr>
              <w:spacing w:before="40" w:after="40"/>
              <w:ind w:left="100" w:right="100"/>
              <w:jc w:val="center"/>
            </w:pPr>
            <w:r>
              <w:rPr>
                <w:rFonts w:ascii="Arial" w:eastAsia="Arial" w:hAnsi="Arial" w:cs="Arial"/>
                <w:color w:val="111111"/>
                <w:sz w:val="22"/>
                <w:szCs w:val="22"/>
              </w:rPr>
              <w:t>2.76</w:t>
            </w:r>
          </w:p>
        </w:tc>
        <w:tc>
          <w:tcPr>
            <w:tcW w:w="1079" w:type="dxa"/>
            <w:tcBorders>
              <w:top w:val="single" w:sz="16" w:space="0" w:color="000000"/>
              <w:bottom w:val="single" w:sz="16" w:space="0" w:color="000000"/>
            </w:tcBorders>
            <w:shd w:val="clear" w:color="auto" w:fill="FFFFFF"/>
            <w:vAlign w:val="center"/>
          </w:tcPr>
          <w:p w14:paraId="6547BCA7" w14:textId="77777777" w:rsidR="000F7F6A" w:rsidRDefault="00952983">
            <w:pPr>
              <w:spacing w:before="40" w:after="40"/>
              <w:ind w:left="100" w:right="100"/>
              <w:jc w:val="center"/>
            </w:pPr>
            <w:r>
              <w:rPr>
                <w:rFonts w:ascii="Arial" w:eastAsia="Arial" w:hAnsi="Arial" w:cs="Arial"/>
                <w:color w:val="111111"/>
                <w:sz w:val="22"/>
                <w:szCs w:val="22"/>
              </w:rPr>
              <w:t>2.28</w:t>
            </w:r>
          </w:p>
        </w:tc>
      </w:tr>
      <w:tr w:rsidR="000F7F6A" w14:paraId="29C93C5A"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7F64C3E"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1ED7D0A0"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586B4564" w14:textId="77777777" w:rsidR="000F7F6A" w:rsidRDefault="00952983">
            <w:pPr>
              <w:spacing w:before="40" w:after="40"/>
              <w:ind w:left="100" w:right="100"/>
              <w:jc w:val="center"/>
            </w:pPr>
            <w:r>
              <w:rPr>
                <w:rFonts w:ascii="Arial" w:eastAsia="Arial" w:hAnsi="Arial" w:cs="Arial"/>
                <w:color w:val="111111"/>
                <w:sz w:val="22"/>
                <w:szCs w:val="22"/>
              </w:rPr>
              <w:t xml:space="preserve"> 1.07</w:t>
            </w:r>
          </w:p>
        </w:tc>
        <w:tc>
          <w:tcPr>
            <w:tcW w:w="1080" w:type="dxa"/>
            <w:tcBorders>
              <w:top w:val="single" w:sz="16" w:space="0" w:color="000000"/>
              <w:bottom w:val="single" w:sz="16" w:space="0" w:color="000000"/>
            </w:tcBorders>
            <w:shd w:val="clear" w:color="auto" w:fill="FFFFFF"/>
            <w:vAlign w:val="center"/>
          </w:tcPr>
          <w:p w14:paraId="2652012B" w14:textId="77777777" w:rsidR="000F7F6A" w:rsidRDefault="00952983">
            <w:pPr>
              <w:spacing w:before="40" w:after="40"/>
              <w:ind w:left="100" w:right="100"/>
              <w:jc w:val="center"/>
            </w:pPr>
            <w:r>
              <w:rPr>
                <w:rFonts w:ascii="Arial" w:eastAsia="Arial" w:hAnsi="Arial" w:cs="Arial"/>
                <w:color w:val="111111"/>
                <w:sz w:val="22"/>
                <w:szCs w:val="22"/>
              </w:rPr>
              <w:t xml:space="preserve"> 1.13</w:t>
            </w:r>
          </w:p>
        </w:tc>
        <w:tc>
          <w:tcPr>
            <w:tcW w:w="1080" w:type="dxa"/>
            <w:tcBorders>
              <w:top w:val="single" w:sz="16" w:space="0" w:color="000000"/>
              <w:bottom w:val="single" w:sz="16" w:space="0" w:color="000000"/>
            </w:tcBorders>
            <w:shd w:val="clear" w:color="auto" w:fill="FFFFFF"/>
            <w:vAlign w:val="center"/>
          </w:tcPr>
          <w:p w14:paraId="3303A16B" w14:textId="77777777" w:rsidR="000F7F6A" w:rsidRDefault="00952983">
            <w:pPr>
              <w:spacing w:before="40" w:after="40"/>
              <w:ind w:left="100" w:right="100"/>
              <w:jc w:val="center"/>
            </w:pPr>
            <w:r>
              <w:rPr>
                <w:rFonts w:ascii="Arial" w:eastAsia="Arial" w:hAnsi="Arial" w:cs="Arial"/>
                <w:color w:val="111111"/>
                <w:sz w:val="22"/>
                <w:szCs w:val="22"/>
              </w:rPr>
              <w:t xml:space="preserve"> 0.94</w:t>
            </w:r>
          </w:p>
        </w:tc>
        <w:tc>
          <w:tcPr>
            <w:tcW w:w="1080" w:type="dxa"/>
            <w:tcBorders>
              <w:top w:val="single" w:sz="16" w:space="0" w:color="000000"/>
              <w:bottom w:val="single" w:sz="16" w:space="0" w:color="000000"/>
            </w:tcBorders>
            <w:shd w:val="clear" w:color="auto" w:fill="FFFFFF"/>
            <w:vAlign w:val="center"/>
          </w:tcPr>
          <w:p w14:paraId="2D5454B2" w14:textId="77777777" w:rsidR="000F7F6A" w:rsidRDefault="00952983">
            <w:pPr>
              <w:spacing w:before="40" w:after="40"/>
              <w:ind w:left="100" w:right="100"/>
              <w:jc w:val="center"/>
            </w:pPr>
            <w:r>
              <w:rPr>
                <w:rFonts w:ascii="Arial" w:eastAsia="Arial" w:hAnsi="Arial" w:cs="Arial"/>
                <w:color w:val="111111"/>
                <w:sz w:val="22"/>
                <w:szCs w:val="22"/>
              </w:rPr>
              <w:t>3.29</w:t>
            </w:r>
          </w:p>
        </w:tc>
        <w:tc>
          <w:tcPr>
            <w:tcW w:w="1080" w:type="dxa"/>
            <w:tcBorders>
              <w:top w:val="single" w:sz="16" w:space="0" w:color="000000"/>
              <w:bottom w:val="single" w:sz="16" w:space="0" w:color="000000"/>
            </w:tcBorders>
            <w:shd w:val="clear" w:color="auto" w:fill="FFFFFF"/>
            <w:vAlign w:val="center"/>
          </w:tcPr>
          <w:p w14:paraId="17420DCE" w14:textId="77777777" w:rsidR="000F7F6A" w:rsidRDefault="00952983">
            <w:pPr>
              <w:spacing w:before="40" w:after="40"/>
              <w:ind w:left="100" w:right="100"/>
              <w:jc w:val="center"/>
            </w:pPr>
            <w:r>
              <w:rPr>
                <w:rFonts w:ascii="Arial" w:eastAsia="Arial" w:hAnsi="Arial" w:cs="Arial"/>
                <w:color w:val="111111"/>
                <w:sz w:val="22"/>
                <w:szCs w:val="22"/>
              </w:rPr>
              <w:t>2.75</w:t>
            </w:r>
          </w:p>
        </w:tc>
        <w:tc>
          <w:tcPr>
            <w:tcW w:w="1079" w:type="dxa"/>
            <w:tcBorders>
              <w:top w:val="single" w:sz="16" w:space="0" w:color="000000"/>
              <w:bottom w:val="single" w:sz="16" w:space="0" w:color="000000"/>
            </w:tcBorders>
            <w:shd w:val="clear" w:color="auto" w:fill="FFFFFF"/>
            <w:vAlign w:val="center"/>
          </w:tcPr>
          <w:p w14:paraId="5C1842D8" w14:textId="77777777" w:rsidR="000F7F6A" w:rsidRDefault="00952983">
            <w:pPr>
              <w:spacing w:before="40" w:after="40"/>
              <w:ind w:left="100" w:right="100"/>
              <w:jc w:val="center"/>
            </w:pPr>
            <w:r>
              <w:rPr>
                <w:rFonts w:ascii="Arial" w:eastAsia="Arial" w:hAnsi="Arial" w:cs="Arial"/>
                <w:color w:val="111111"/>
                <w:sz w:val="22"/>
                <w:szCs w:val="22"/>
              </w:rPr>
              <w:t>2.16</w:t>
            </w:r>
          </w:p>
        </w:tc>
      </w:tr>
      <w:tr w:rsidR="000F7F6A" w14:paraId="1B2A575B"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281D010B"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7BBDCD3F"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3B77EA50" w14:textId="77777777" w:rsidR="000F7F6A" w:rsidRDefault="00952983">
            <w:pPr>
              <w:spacing w:before="40" w:after="40"/>
              <w:ind w:left="100" w:right="100"/>
              <w:jc w:val="center"/>
            </w:pPr>
            <w:r>
              <w:rPr>
                <w:rFonts w:ascii="Arial" w:eastAsia="Arial" w:hAnsi="Arial" w:cs="Arial"/>
                <w:color w:val="111111"/>
                <w:sz w:val="22"/>
                <w:szCs w:val="22"/>
              </w:rPr>
              <w:t xml:space="preserve"> 1.30</w:t>
            </w:r>
          </w:p>
        </w:tc>
        <w:tc>
          <w:tcPr>
            <w:tcW w:w="1080" w:type="dxa"/>
            <w:tcBorders>
              <w:top w:val="single" w:sz="16" w:space="0" w:color="000000"/>
              <w:bottom w:val="single" w:sz="16" w:space="0" w:color="000000"/>
            </w:tcBorders>
            <w:shd w:val="clear" w:color="auto" w:fill="FFFFFF"/>
            <w:vAlign w:val="center"/>
          </w:tcPr>
          <w:p w14:paraId="0264E5CB" w14:textId="77777777" w:rsidR="000F7F6A" w:rsidRDefault="00952983">
            <w:pPr>
              <w:spacing w:before="40" w:after="40"/>
              <w:ind w:left="100" w:right="100"/>
              <w:jc w:val="center"/>
            </w:pPr>
            <w:r>
              <w:rPr>
                <w:rFonts w:ascii="Arial" w:eastAsia="Arial" w:hAnsi="Arial" w:cs="Arial"/>
                <w:color w:val="111111"/>
                <w:sz w:val="22"/>
                <w:szCs w:val="22"/>
              </w:rPr>
              <w:t xml:space="preserve"> 2.41</w:t>
            </w:r>
          </w:p>
        </w:tc>
        <w:tc>
          <w:tcPr>
            <w:tcW w:w="1080" w:type="dxa"/>
            <w:tcBorders>
              <w:top w:val="single" w:sz="16" w:space="0" w:color="000000"/>
              <w:bottom w:val="single" w:sz="16" w:space="0" w:color="000000"/>
            </w:tcBorders>
            <w:shd w:val="clear" w:color="auto" w:fill="FFFFFF"/>
            <w:vAlign w:val="center"/>
          </w:tcPr>
          <w:p w14:paraId="73D05158" w14:textId="77777777" w:rsidR="000F7F6A" w:rsidRDefault="00952983">
            <w:pPr>
              <w:spacing w:before="40" w:after="40"/>
              <w:ind w:left="100" w:right="100"/>
              <w:jc w:val="center"/>
            </w:pPr>
            <w:r>
              <w:rPr>
                <w:rFonts w:ascii="Arial" w:eastAsia="Arial" w:hAnsi="Arial" w:cs="Arial"/>
                <w:color w:val="111111"/>
                <w:sz w:val="22"/>
                <w:szCs w:val="22"/>
              </w:rPr>
              <w:t xml:space="preserve"> 3.32</w:t>
            </w:r>
          </w:p>
        </w:tc>
        <w:tc>
          <w:tcPr>
            <w:tcW w:w="1080" w:type="dxa"/>
            <w:tcBorders>
              <w:top w:val="single" w:sz="16" w:space="0" w:color="000000"/>
              <w:bottom w:val="single" w:sz="16" w:space="0" w:color="000000"/>
            </w:tcBorders>
            <w:shd w:val="clear" w:color="auto" w:fill="FFFFFF"/>
            <w:vAlign w:val="center"/>
          </w:tcPr>
          <w:p w14:paraId="19CD8A72" w14:textId="77777777" w:rsidR="000F7F6A" w:rsidRDefault="00952983">
            <w:pPr>
              <w:spacing w:before="40" w:after="40"/>
              <w:ind w:left="100" w:right="100"/>
              <w:jc w:val="center"/>
            </w:pPr>
            <w:r>
              <w:rPr>
                <w:rFonts w:ascii="Arial" w:eastAsia="Arial" w:hAnsi="Arial" w:cs="Arial"/>
                <w:color w:val="111111"/>
                <w:sz w:val="22"/>
                <w:szCs w:val="22"/>
              </w:rPr>
              <w:t>3.85</w:t>
            </w:r>
          </w:p>
        </w:tc>
        <w:tc>
          <w:tcPr>
            <w:tcW w:w="1080" w:type="dxa"/>
            <w:tcBorders>
              <w:top w:val="single" w:sz="16" w:space="0" w:color="000000"/>
              <w:bottom w:val="single" w:sz="16" w:space="0" w:color="000000"/>
            </w:tcBorders>
            <w:shd w:val="clear" w:color="auto" w:fill="FFFFFF"/>
            <w:vAlign w:val="center"/>
          </w:tcPr>
          <w:p w14:paraId="7D44E9FD" w14:textId="77777777" w:rsidR="000F7F6A" w:rsidRDefault="00952983">
            <w:pPr>
              <w:spacing w:before="40" w:after="40"/>
              <w:ind w:left="100" w:right="100"/>
              <w:jc w:val="center"/>
            </w:pPr>
            <w:r>
              <w:rPr>
                <w:rFonts w:ascii="Arial" w:eastAsia="Arial" w:hAnsi="Arial" w:cs="Arial"/>
                <w:color w:val="111111"/>
                <w:sz w:val="22"/>
                <w:szCs w:val="22"/>
              </w:rPr>
              <w:t>2.81</w:t>
            </w:r>
          </w:p>
        </w:tc>
        <w:tc>
          <w:tcPr>
            <w:tcW w:w="1079" w:type="dxa"/>
            <w:tcBorders>
              <w:top w:val="single" w:sz="16" w:space="0" w:color="000000"/>
              <w:bottom w:val="single" w:sz="16" w:space="0" w:color="000000"/>
            </w:tcBorders>
            <w:shd w:val="clear" w:color="auto" w:fill="FFFFFF"/>
            <w:vAlign w:val="center"/>
          </w:tcPr>
          <w:p w14:paraId="57D1800D" w14:textId="77777777" w:rsidR="000F7F6A" w:rsidRDefault="00952983">
            <w:pPr>
              <w:spacing w:before="40" w:after="40"/>
              <w:ind w:left="100" w:right="100"/>
              <w:jc w:val="center"/>
            </w:pPr>
            <w:r>
              <w:rPr>
                <w:rFonts w:ascii="Arial" w:eastAsia="Arial" w:hAnsi="Arial" w:cs="Arial"/>
                <w:color w:val="111111"/>
                <w:sz w:val="22"/>
                <w:szCs w:val="22"/>
              </w:rPr>
              <w:t>2.27</w:t>
            </w:r>
          </w:p>
        </w:tc>
      </w:tr>
      <w:tr w:rsidR="000F7F6A" w14:paraId="010E3B74"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4265EF5D"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5B9C8A31"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1F6E579D" w14:textId="77777777" w:rsidR="000F7F6A" w:rsidRDefault="00952983">
            <w:pPr>
              <w:spacing w:before="40" w:after="40"/>
              <w:ind w:left="100" w:right="100"/>
              <w:jc w:val="center"/>
            </w:pPr>
            <w:r>
              <w:rPr>
                <w:rFonts w:ascii="Arial" w:eastAsia="Arial" w:hAnsi="Arial" w:cs="Arial"/>
                <w:color w:val="111111"/>
                <w:sz w:val="22"/>
                <w:szCs w:val="22"/>
              </w:rPr>
              <w:t xml:space="preserve"> 0.96</w:t>
            </w:r>
          </w:p>
        </w:tc>
        <w:tc>
          <w:tcPr>
            <w:tcW w:w="1080" w:type="dxa"/>
            <w:tcBorders>
              <w:top w:val="single" w:sz="16" w:space="0" w:color="000000"/>
              <w:bottom w:val="single" w:sz="16" w:space="0" w:color="000000"/>
            </w:tcBorders>
            <w:shd w:val="clear" w:color="auto" w:fill="FFFFFF"/>
            <w:vAlign w:val="center"/>
          </w:tcPr>
          <w:p w14:paraId="6723E565" w14:textId="77777777" w:rsidR="000F7F6A" w:rsidRDefault="00952983">
            <w:pPr>
              <w:spacing w:before="40" w:after="40"/>
              <w:ind w:left="100" w:right="100"/>
              <w:jc w:val="center"/>
            </w:pPr>
            <w:r>
              <w:rPr>
                <w:rFonts w:ascii="Arial" w:eastAsia="Arial" w:hAnsi="Arial" w:cs="Arial"/>
                <w:color w:val="111111"/>
                <w:sz w:val="22"/>
                <w:szCs w:val="22"/>
              </w:rPr>
              <w:t xml:space="preserve"> 2.07</w:t>
            </w:r>
          </w:p>
        </w:tc>
        <w:tc>
          <w:tcPr>
            <w:tcW w:w="1080" w:type="dxa"/>
            <w:tcBorders>
              <w:top w:val="single" w:sz="16" w:space="0" w:color="000000"/>
              <w:bottom w:val="single" w:sz="16" w:space="0" w:color="000000"/>
            </w:tcBorders>
            <w:shd w:val="clear" w:color="auto" w:fill="FFFFFF"/>
            <w:vAlign w:val="center"/>
          </w:tcPr>
          <w:p w14:paraId="672438D8" w14:textId="77777777" w:rsidR="000F7F6A" w:rsidRDefault="00952983">
            <w:pPr>
              <w:spacing w:before="40" w:after="40"/>
              <w:ind w:left="100" w:right="100"/>
              <w:jc w:val="center"/>
            </w:pPr>
            <w:r>
              <w:rPr>
                <w:rFonts w:ascii="Arial" w:eastAsia="Arial" w:hAnsi="Arial" w:cs="Arial"/>
                <w:color w:val="111111"/>
                <w:sz w:val="22"/>
                <w:szCs w:val="22"/>
              </w:rPr>
              <w:t xml:space="preserve"> 4.60</w:t>
            </w:r>
          </w:p>
        </w:tc>
        <w:tc>
          <w:tcPr>
            <w:tcW w:w="1080" w:type="dxa"/>
            <w:tcBorders>
              <w:top w:val="single" w:sz="16" w:space="0" w:color="000000"/>
              <w:bottom w:val="single" w:sz="16" w:space="0" w:color="000000"/>
            </w:tcBorders>
            <w:shd w:val="clear" w:color="auto" w:fill="FFFFFF"/>
            <w:vAlign w:val="center"/>
          </w:tcPr>
          <w:p w14:paraId="73A5988C" w14:textId="77777777" w:rsidR="000F7F6A" w:rsidRDefault="00952983">
            <w:pPr>
              <w:spacing w:before="40" w:after="40"/>
              <w:ind w:left="100" w:right="100"/>
              <w:jc w:val="center"/>
            </w:pPr>
            <w:r>
              <w:rPr>
                <w:rFonts w:ascii="Arial" w:eastAsia="Arial" w:hAnsi="Arial" w:cs="Arial"/>
                <w:color w:val="111111"/>
                <w:sz w:val="22"/>
                <w:szCs w:val="22"/>
              </w:rPr>
              <w:t>3.27</w:t>
            </w:r>
          </w:p>
        </w:tc>
        <w:tc>
          <w:tcPr>
            <w:tcW w:w="1080" w:type="dxa"/>
            <w:tcBorders>
              <w:top w:val="single" w:sz="16" w:space="0" w:color="000000"/>
              <w:bottom w:val="single" w:sz="16" w:space="0" w:color="000000"/>
            </w:tcBorders>
            <w:shd w:val="clear" w:color="auto" w:fill="FFFFFF"/>
            <w:vAlign w:val="center"/>
          </w:tcPr>
          <w:p w14:paraId="32DA2A25" w14:textId="77777777" w:rsidR="000F7F6A" w:rsidRDefault="00952983">
            <w:pPr>
              <w:spacing w:before="40" w:after="40"/>
              <w:ind w:left="100" w:right="100"/>
              <w:jc w:val="center"/>
            </w:pPr>
            <w:r>
              <w:rPr>
                <w:rFonts w:ascii="Arial" w:eastAsia="Arial" w:hAnsi="Arial" w:cs="Arial"/>
                <w:color w:val="111111"/>
                <w:sz w:val="22"/>
                <w:szCs w:val="22"/>
              </w:rPr>
              <w:t>2.56</w:t>
            </w:r>
          </w:p>
        </w:tc>
        <w:tc>
          <w:tcPr>
            <w:tcW w:w="1079" w:type="dxa"/>
            <w:tcBorders>
              <w:top w:val="single" w:sz="16" w:space="0" w:color="000000"/>
              <w:bottom w:val="single" w:sz="16" w:space="0" w:color="000000"/>
            </w:tcBorders>
            <w:shd w:val="clear" w:color="auto" w:fill="FFFFFF"/>
            <w:vAlign w:val="center"/>
          </w:tcPr>
          <w:p w14:paraId="768FADDF" w14:textId="77777777" w:rsidR="000F7F6A" w:rsidRDefault="00952983">
            <w:pPr>
              <w:spacing w:before="40" w:after="40"/>
              <w:ind w:left="100" w:right="100"/>
              <w:jc w:val="center"/>
            </w:pPr>
            <w:r>
              <w:rPr>
                <w:rFonts w:ascii="Arial" w:eastAsia="Arial" w:hAnsi="Arial" w:cs="Arial"/>
                <w:color w:val="111111"/>
                <w:sz w:val="22"/>
                <w:szCs w:val="22"/>
              </w:rPr>
              <w:t>2.10</w:t>
            </w:r>
          </w:p>
        </w:tc>
      </w:tr>
      <w:tr w:rsidR="000F7F6A" w14:paraId="3F9CFCAB"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A0B72F0"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44451198"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28C0C03C" w14:textId="77777777" w:rsidR="000F7F6A" w:rsidRDefault="00952983">
            <w:pPr>
              <w:spacing w:before="40" w:after="40"/>
              <w:ind w:left="100" w:right="100"/>
              <w:jc w:val="center"/>
            </w:pPr>
            <w:r>
              <w:rPr>
                <w:rFonts w:ascii="Arial" w:eastAsia="Arial" w:hAnsi="Arial" w:cs="Arial"/>
                <w:color w:val="111111"/>
                <w:sz w:val="22"/>
                <w:szCs w:val="22"/>
              </w:rPr>
              <w:t xml:space="preserve"> 1.81</w:t>
            </w:r>
          </w:p>
        </w:tc>
        <w:tc>
          <w:tcPr>
            <w:tcW w:w="1080" w:type="dxa"/>
            <w:tcBorders>
              <w:top w:val="single" w:sz="16" w:space="0" w:color="000000"/>
              <w:bottom w:val="single" w:sz="16" w:space="0" w:color="000000"/>
            </w:tcBorders>
            <w:shd w:val="clear" w:color="auto" w:fill="FFFFFF"/>
            <w:vAlign w:val="center"/>
          </w:tcPr>
          <w:p w14:paraId="059B8F06" w14:textId="77777777" w:rsidR="000F7F6A" w:rsidRDefault="00952983">
            <w:pPr>
              <w:spacing w:before="40" w:after="40"/>
              <w:ind w:left="100" w:right="100"/>
              <w:jc w:val="center"/>
            </w:pPr>
            <w:r>
              <w:rPr>
                <w:rFonts w:ascii="Arial" w:eastAsia="Arial" w:hAnsi="Arial" w:cs="Arial"/>
                <w:color w:val="111111"/>
                <w:sz w:val="22"/>
                <w:szCs w:val="22"/>
              </w:rPr>
              <w:t xml:space="preserve"> 4.49</w:t>
            </w:r>
          </w:p>
        </w:tc>
        <w:tc>
          <w:tcPr>
            <w:tcW w:w="1080" w:type="dxa"/>
            <w:tcBorders>
              <w:top w:val="single" w:sz="16" w:space="0" w:color="000000"/>
              <w:bottom w:val="single" w:sz="16" w:space="0" w:color="000000"/>
            </w:tcBorders>
            <w:shd w:val="clear" w:color="auto" w:fill="FFFFFF"/>
            <w:vAlign w:val="center"/>
          </w:tcPr>
          <w:p w14:paraId="3BCA88C2" w14:textId="77777777" w:rsidR="000F7F6A" w:rsidRDefault="00952983">
            <w:pPr>
              <w:spacing w:before="40" w:after="40"/>
              <w:ind w:left="100" w:right="100"/>
              <w:jc w:val="center"/>
            </w:pPr>
            <w:r>
              <w:rPr>
                <w:rFonts w:ascii="Arial" w:eastAsia="Arial" w:hAnsi="Arial" w:cs="Arial"/>
                <w:color w:val="111111"/>
                <w:sz w:val="22"/>
                <w:szCs w:val="22"/>
              </w:rPr>
              <w:t xml:space="preserve"> 9.76</w:t>
            </w:r>
          </w:p>
        </w:tc>
        <w:tc>
          <w:tcPr>
            <w:tcW w:w="1080" w:type="dxa"/>
            <w:tcBorders>
              <w:top w:val="single" w:sz="16" w:space="0" w:color="000000"/>
              <w:bottom w:val="single" w:sz="16" w:space="0" w:color="000000"/>
            </w:tcBorders>
            <w:shd w:val="clear" w:color="auto" w:fill="FFFFFF"/>
            <w:vAlign w:val="center"/>
          </w:tcPr>
          <w:p w14:paraId="63ED616D" w14:textId="77777777" w:rsidR="000F7F6A" w:rsidRDefault="00952983">
            <w:pPr>
              <w:spacing w:before="40" w:after="40"/>
              <w:ind w:left="100" w:right="100"/>
              <w:jc w:val="center"/>
            </w:pPr>
            <w:r>
              <w:rPr>
                <w:rFonts w:ascii="Arial" w:eastAsia="Arial" w:hAnsi="Arial" w:cs="Arial"/>
                <w:color w:val="111111"/>
                <w:sz w:val="22"/>
                <w:szCs w:val="22"/>
              </w:rPr>
              <w:t>3.17</w:t>
            </w:r>
          </w:p>
        </w:tc>
        <w:tc>
          <w:tcPr>
            <w:tcW w:w="1080" w:type="dxa"/>
            <w:tcBorders>
              <w:top w:val="single" w:sz="16" w:space="0" w:color="000000"/>
              <w:bottom w:val="single" w:sz="16" w:space="0" w:color="000000"/>
            </w:tcBorders>
            <w:shd w:val="clear" w:color="auto" w:fill="FFFFFF"/>
            <w:vAlign w:val="center"/>
          </w:tcPr>
          <w:p w14:paraId="24BF8278" w14:textId="77777777" w:rsidR="000F7F6A" w:rsidRDefault="00952983">
            <w:pPr>
              <w:spacing w:before="40" w:after="40"/>
              <w:ind w:left="100" w:right="100"/>
              <w:jc w:val="center"/>
            </w:pPr>
            <w:r>
              <w:rPr>
                <w:rFonts w:ascii="Arial" w:eastAsia="Arial" w:hAnsi="Arial" w:cs="Arial"/>
                <w:color w:val="111111"/>
                <w:sz w:val="22"/>
                <w:szCs w:val="22"/>
              </w:rPr>
              <w:t>2.49</w:t>
            </w:r>
          </w:p>
        </w:tc>
        <w:tc>
          <w:tcPr>
            <w:tcW w:w="1079" w:type="dxa"/>
            <w:tcBorders>
              <w:top w:val="single" w:sz="16" w:space="0" w:color="000000"/>
              <w:bottom w:val="single" w:sz="16" w:space="0" w:color="000000"/>
            </w:tcBorders>
            <w:shd w:val="clear" w:color="auto" w:fill="FFFFFF"/>
            <w:vAlign w:val="center"/>
          </w:tcPr>
          <w:p w14:paraId="61FCF056" w14:textId="77777777" w:rsidR="000F7F6A" w:rsidRDefault="00952983">
            <w:pPr>
              <w:spacing w:before="40" w:after="40"/>
              <w:ind w:left="100" w:right="100"/>
              <w:jc w:val="center"/>
            </w:pPr>
            <w:r>
              <w:rPr>
                <w:rFonts w:ascii="Arial" w:eastAsia="Arial" w:hAnsi="Arial" w:cs="Arial"/>
                <w:color w:val="111111"/>
                <w:sz w:val="22"/>
                <w:szCs w:val="22"/>
              </w:rPr>
              <w:t>2.00</w:t>
            </w:r>
          </w:p>
        </w:tc>
      </w:tr>
      <w:tr w:rsidR="000F7F6A" w14:paraId="39BFB2D1"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495F568"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07F43CA0"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3FC66F30" w14:textId="77777777" w:rsidR="000F7F6A" w:rsidRDefault="00952983">
            <w:pPr>
              <w:spacing w:before="40" w:after="40"/>
              <w:ind w:left="100" w:right="100"/>
              <w:jc w:val="center"/>
            </w:pPr>
            <w:r>
              <w:rPr>
                <w:rFonts w:ascii="Arial" w:eastAsia="Arial" w:hAnsi="Arial" w:cs="Arial"/>
                <w:color w:val="111111"/>
                <w:sz w:val="22"/>
                <w:szCs w:val="22"/>
              </w:rPr>
              <w:t xml:space="preserve"> 1.79</w:t>
            </w:r>
          </w:p>
        </w:tc>
        <w:tc>
          <w:tcPr>
            <w:tcW w:w="1080" w:type="dxa"/>
            <w:tcBorders>
              <w:top w:val="single" w:sz="16" w:space="0" w:color="000000"/>
              <w:bottom w:val="single" w:sz="16" w:space="0" w:color="000000"/>
            </w:tcBorders>
            <w:shd w:val="clear" w:color="auto" w:fill="FFFFFF"/>
            <w:vAlign w:val="center"/>
          </w:tcPr>
          <w:p w14:paraId="3AA44C98" w14:textId="77777777" w:rsidR="000F7F6A" w:rsidRDefault="00952983">
            <w:pPr>
              <w:spacing w:before="40" w:after="40"/>
              <w:ind w:left="100" w:right="100"/>
              <w:jc w:val="center"/>
            </w:pPr>
            <w:r>
              <w:rPr>
                <w:rFonts w:ascii="Arial" w:eastAsia="Arial" w:hAnsi="Arial" w:cs="Arial"/>
                <w:color w:val="111111"/>
                <w:sz w:val="22"/>
                <w:szCs w:val="22"/>
              </w:rPr>
              <w:t xml:space="preserve"> 3.20</w:t>
            </w:r>
          </w:p>
        </w:tc>
        <w:tc>
          <w:tcPr>
            <w:tcW w:w="1080" w:type="dxa"/>
            <w:tcBorders>
              <w:top w:val="single" w:sz="16" w:space="0" w:color="000000"/>
              <w:bottom w:val="single" w:sz="16" w:space="0" w:color="000000"/>
            </w:tcBorders>
            <w:shd w:val="clear" w:color="auto" w:fill="FFFFFF"/>
            <w:vAlign w:val="center"/>
          </w:tcPr>
          <w:p w14:paraId="4C1B39FC" w14:textId="77777777" w:rsidR="000F7F6A" w:rsidRDefault="00952983">
            <w:pPr>
              <w:spacing w:before="40" w:after="40"/>
              <w:ind w:left="100" w:right="100"/>
              <w:jc w:val="center"/>
            </w:pPr>
            <w:r>
              <w:rPr>
                <w:rFonts w:ascii="Arial" w:eastAsia="Arial" w:hAnsi="Arial" w:cs="Arial"/>
                <w:color w:val="111111"/>
                <w:sz w:val="22"/>
                <w:szCs w:val="22"/>
              </w:rPr>
              <w:t xml:space="preserve"> 3.48</w:t>
            </w:r>
          </w:p>
        </w:tc>
        <w:tc>
          <w:tcPr>
            <w:tcW w:w="1080" w:type="dxa"/>
            <w:tcBorders>
              <w:top w:val="single" w:sz="16" w:space="0" w:color="000000"/>
              <w:bottom w:val="single" w:sz="16" w:space="0" w:color="000000"/>
            </w:tcBorders>
            <w:shd w:val="clear" w:color="auto" w:fill="FFFFFF"/>
            <w:vAlign w:val="center"/>
          </w:tcPr>
          <w:p w14:paraId="4B8C5F6C" w14:textId="77777777" w:rsidR="000F7F6A" w:rsidRDefault="00952983">
            <w:pPr>
              <w:spacing w:before="40" w:after="40"/>
              <w:ind w:left="100" w:right="100"/>
              <w:jc w:val="center"/>
            </w:pPr>
            <w:r>
              <w:rPr>
                <w:rFonts w:ascii="Arial" w:eastAsia="Arial" w:hAnsi="Arial" w:cs="Arial"/>
                <w:color w:val="111111"/>
                <w:sz w:val="22"/>
                <w:szCs w:val="22"/>
              </w:rPr>
              <w:t>3.46</w:t>
            </w:r>
          </w:p>
        </w:tc>
        <w:tc>
          <w:tcPr>
            <w:tcW w:w="1080" w:type="dxa"/>
            <w:tcBorders>
              <w:top w:val="single" w:sz="16" w:space="0" w:color="000000"/>
              <w:bottom w:val="single" w:sz="16" w:space="0" w:color="000000"/>
            </w:tcBorders>
            <w:shd w:val="clear" w:color="auto" w:fill="FFFFFF"/>
            <w:vAlign w:val="center"/>
          </w:tcPr>
          <w:p w14:paraId="63359B22" w14:textId="77777777" w:rsidR="000F7F6A" w:rsidRDefault="00952983">
            <w:pPr>
              <w:spacing w:before="40" w:after="40"/>
              <w:ind w:left="100" w:right="100"/>
              <w:jc w:val="center"/>
            </w:pPr>
            <w:r>
              <w:rPr>
                <w:rFonts w:ascii="Arial" w:eastAsia="Arial" w:hAnsi="Arial" w:cs="Arial"/>
                <w:color w:val="111111"/>
                <w:sz w:val="22"/>
                <w:szCs w:val="22"/>
              </w:rPr>
              <w:t>2.60</w:t>
            </w:r>
          </w:p>
        </w:tc>
        <w:tc>
          <w:tcPr>
            <w:tcW w:w="1079" w:type="dxa"/>
            <w:tcBorders>
              <w:top w:val="single" w:sz="16" w:space="0" w:color="000000"/>
              <w:bottom w:val="single" w:sz="16" w:space="0" w:color="000000"/>
            </w:tcBorders>
            <w:shd w:val="clear" w:color="auto" w:fill="FFFFFF"/>
            <w:vAlign w:val="center"/>
          </w:tcPr>
          <w:p w14:paraId="1A8D4C95" w14:textId="77777777" w:rsidR="000F7F6A" w:rsidRDefault="00952983">
            <w:pPr>
              <w:spacing w:before="40" w:after="40"/>
              <w:ind w:left="100" w:right="100"/>
              <w:jc w:val="center"/>
            </w:pPr>
            <w:r>
              <w:rPr>
                <w:rFonts w:ascii="Arial" w:eastAsia="Arial" w:hAnsi="Arial" w:cs="Arial"/>
                <w:color w:val="111111"/>
                <w:sz w:val="22"/>
                <w:szCs w:val="22"/>
              </w:rPr>
              <w:t>1.99</w:t>
            </w:r>
          </w:p>
        </w:tc>
      </w:tr>
      <w:tr w:rsidR="000F7F6A" w14:paraId="5B55B412"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A3BC8BB"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32906861" w14:textId="77777777" w:rsidR="000F7F6A" w:rsidRDefault="00952983">
            <w:pPr>
              <w:spacing w:before="40" w:after="40"/>
              <w:ind w:left="100" w:right="100"/>
              <w:jc w:val="center"/>
            </w:pPr>
            <w:r>
              <w:rPr>
                <w:rFonts w:ascii="Arial" w:eastAsia="Arial" w:hAnsi="Arial" w:cs="Arial"/>
                <w:color w:val="111111"/>
                <w:sz w:val="22"/>
                <w:szCs w:val="22"/>
              </w:rPr>
              <w:t>LP</w:t>
            </w:r>
          </w:p>
        </w:tc>
        <w:tc>
          <w:tcPr>
            <w:tcW w:w="1080" w:type="dxa"/>
            <w:tcBorders>
              <w:top w:val="single" w:sz="16" w:space="0" w:color="000000"/>
              <w:bottom w:val="single" w:sz="16" w:space="0" w:color="000000"/>
            </w:tcBorders>
            <w:shd w:val="clear" w:color="auto" w:fill="FFFFFF"/>
            <w:vAlign w:val="center"/>
          </w:tcPr>
          <w:p w14:paraId="69011EC9" w14:textId="77777777" w:rsidR="000F7F6A" w:rsidRDefault="00952983">
            <w:pPr>
              <w:spacing w:before="40" w:after="40"/>
              <w:ind w:left="100" w:right="100"/>
              <w:jc w:val="center"/>
            </w:pPr>
            <w:r>
              <w:rPr>
                <w:rFonts w:ascii="Arial" w:eastAsia="Arial" w:hAnsi="Arial" w:cs="Arial"/>
                <w:color w:val="111111"/>
                <w:sz w:val="22"/>
                <w:szCs w:val="22"/>
              </w:rPr>
              <w:t xml:space="preserve"> 0.23</w:t>
            </w:r>
          </w:p>
        </w:tc>
        <w:tc>
          <w:tcPr>
            <w:tcW w:w="1080" w:type="dxa"/>
            <w:tcBorders>
              <w:top w:val="single" w:sz="16" w:space="0" w:color="000000"/>
              <w:bottom w:val="single" w:sz="16" w:space="0" w:color="000000"/>
            </w:tcBorders>
            <w:shd w:val="clear" w:color="auto" w:fill="FFFFFF"/>
            <w:vAlign w:val="center"/>
          </w:tcPr>
          <w:p w14:paraId="6B070525" w14:textId="77777777" w:rsidR="000F7F6A" w:rsidRDefault="00952983">
            <w:pPr>
              <w:spacing w:before="40" w:after="40"/>
              <w:ind w:left="100" w:right="100"/>
              <w:jc w:val="center"/>
            </w:pPr>
            <w:r>
              <w:rPr>
                <w:rFonts w:ascii="Arial" w:eastAsia="Arial" w:hAnsi="Arial" w:cs="Arial"/>
                <w:color w:val="111111"/>
                <w:sz w:val="22"/>
                <w:szCs w:val="22"/>
              </w:rPr>
              <w:t xml:space="preserve"> 0.63</w:t>
            </w:r>
          </w:p>
        </w:tc>
        <w:tc>
          <w:tcPr>
            <w:tcW w:w="1080" w:type="dxa"/>
            <w:tcBorders>
              <w:top w:val="single" w:sz="16" w:space="0" w:color="000000"/>
              <w:bottom w:val="single" w:sz="16" w:space="0" w:color="000000"/>
            </w:tcBorders>
            <w:shd w:val="clear" w:color="auto" w:fill="FFFFFF"/>
            <w:vAlign w:val="center"/>
          </w:tcPr>
          <w:p w14:paraId="075D4D83" w14:textId="77777777" w:rsidR="000F7F6A" w:rsidRDefault="00952983">
            <w:pPr>
              <w:spacing w:before="40" w:after="40"/>
              <w:ind w:left="100" w:right="100"/>
              <w:jc w:val="center"/>
            </w:pPr>
            <w:r>
              <w:rPr>
                <w:rFonts w:ascii="Arial" w:eastAsia="Arial" w:hAnsi="Arial" w:cs="Arial"/>
                <w:color w:val="111111"/>
                <w:sz w:val="22"/>
                <w:szCs w:val="22"/>
              </w:rPr>
              <w:t xml:space="preserve"> 0.70</w:t>
            </w:r>
          </w:p>
        </w:tc>
        <w:tc>
          <w:tcPr>
            <w:tcW w:w="1080" w:type="dxa"/>
            <w:tcBorders>
              <w:top w:val="single" w:sz="16" w:space="0" w:color="000000"/>
              <w:bottom w:val="single" w:sz="16" w:space="0" w:color="000000"/>
            </w:tcBorders>
            <w:shd w:val="clear" w:color="auto" w:fill="FFFFFF"/>
            <w:vAlign w:val="center"/>
          </w:tcPr>
          <w:p w14:paraId="217351D0" w14:textId="77777777" w:rsidR="000F7F6A" w:rsidRDefault="00952983">
            <w:pPr>
              <w:spacing w:before="40" w:after="40"/>
              <w:ind w:left="100" w:right="100"/>
              <w:jc w:val="center"/>
            </w:pPr>
            <w:r>
              <w:rPr>
                <w:rFonts w:ascii="Arial" w:eastAsia="Arial" w:hAnsi="Arial" w:cs="Arial"/>
                <w:color w:val="111111"/>
                <w:sz w:val="22"/>
                <w:szCs w:val="22"/>
              </w:rPr>
              <w:t>3.25</w:t>
            </w:r>
          </w:p>
        </w:tc>
        <w:tc>
          <w:tcPr>
            <w:tcW w:w="1080" w:type="dxa"/>
            <w:tcBorders>
              <w:top w:val="single" w:sz="16" w:space="0" w:color="000000"/>
              <w:bottom w:val="single" w:sz="16" w:space="0" w:color="000000"/>
            </w:tcBorders>
            <w:shd w:val="clear" w:color="auto" w:fill="FFFFFF"/>
            <w:vAlign w:val="center"/>
          </w:tcPr>
          <w:p w14:paraId="60166D61" w14:textId="77777777" w:rsidR="000F7F6A" w:rsidRDefault="00952983">
            <w:pPr>
              <w:spacing w:before="40" w:after="40"/>
              <w:ind w:left="100" w:right="100"/>
              <w:jc w:val="center"/>
            </w:pPr>
            <w:r>
              <w:rPr>
                <w:rFonts w:ascii="Arial" w:eastAsia="Arial" w:hAnsi="Arial" w:cs="Arial"/>
                <w:color w:val="111111"/>
                <w:sz w:val="22"/>
                <w:szCs w:val="22"/>
              </w:rPr>
              <w:t>2.44</w:t>
            </w:r>
          </w:p>
        </w:tc>
        <w:tc>
          <w:tcPr>
            <w:tcW w:w="1079" w:type="dxa"/>
            <w:tcBorders>
              <w:top w:val="single" w:sz="16" w:space="0" w:color="000000"/>
              <w:bottom w:val="single" w:sz="16" w:space="0" w:color="000000"/>
            </w:tcBorders>
            <w:shd w:val="clear" w:color="auto" w:fill="FFFFFF"/>
            <w:vAlign w:val="center"/>
          </w:tcPr>
          <w:p w14:paraId="576F13C1" w14:textId="77777777" w:rsidR="000F7F6A" w:rsidRDefault="00952983">
            <w:pPr>
              <w:spacing w:before="40" w:after="40"/>
              <w:ind w:left="100" w:right="100"/>
              <w:jc w:val="center"/>
            </w:pPr>
            <w:r>
              <w:rPr>
                <w:rFonts w:ascii="Arial" w:eastAsia="Arial" w:hAnsi="Arial" w:cs="Arial"/>
                <w:color w:val="111111"/>
                <w:sz w:val="22"/>
                <w:szCs w:val="22"/>
              </w:rPr>
              <w:t>1.99</w:t>
            </w:r>
          </w:p>
        </w:tc>
      </w:tr>
      <w:tr w:rsidR="000F7F6A" w14:paraId="74CAAC21"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01E9F208"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06F6C812" w14:textId="77777777" w:rsidR="000F7F6A" w:rsidRDefault="00952983">
            <w:pPr>
              <w:spacing w:before="40" w:after="40"/>
              <w:ind w:left="100" w:right="100"/>
              <w:jc w:val="center"/>
            </w:pPr>
            <w:r>
              <w:rPr>
                <w:rFonts w:ascii="Arial" w:eastAsia="Arial" w:hAnsi="Arial" w:cs="Arial"/>
                <w:color w:val="111111"/>
                <w:sz w:val="22"/>
                <w:szCs w:val="22"/>
              </w:rPr>
              <w:t>P</w:t>
            </w:r>
          </w:p>
        </w:tc>
        <w:tc>
          <w:tcPr>
            <w:tcW w:w="1080" w:type="dxa"/>
            <w:tcBorders>
              <w:top w:val="single" w:sz="16" w:space="0" w:color="000000"/>
              <w:bottom w:val="single" w:sz="16" w:space="0" w:color="000000"/>
            </w:tcBorders>
            <w:shd w:val="clear" w:color="auto" w:fill="FFFFFF"/>
            <w:vAlign w:val="center"/>
          </w:tcPr>
          <w:p w14:paraId="4465FFA2" w14:textId="77777777" w:rsidR="000F7F6A" w:rsidRDefault="00952983">
            <w:pPr>
              <w:spacing w:before="40" w:after="40"/>
              <w:ind w:left="100" w:right="100"/>
              <w:jc w:val="center"/>
            </w:pPr>
            <w:r>
              <w:rPr>
                <w:rFonts w:ascii="Arial" w:eastAsia="Arial" w:hAnsi="Arial" w:cs="Arial"/>
                <w:color w:val="111111"/>
                <w:sz w:val="22"/>
                <w:szCs w:val="22"/>
              </w:rPr>
              <w:t xml:space="preserve"> 0.23</w:t>
            </w:r>
          </w:p>
        </w:tc>
        <w:tc>
          <w:tcPr>
            <w:tcW w:w="1080" w:type="dxa"/>
            <w:tcBorders>
              <w:top w:val="single" w:sz="16" w:space="0" w:color="000000"/>
              <w:bottom w:val="single" w:sz="16" w:space="0" w:color="000000"/>
            </w:tcBorders>
            <w:shd w:val="clear" w:color="auto" w:fill="FFFFFF"/>
            <w:vAlign w:val="center"/>
          </w:tcPr>
          <w:p w14:paraId="180CB0F4" w14:textId="77777777" w:rsidR="000F7F6A" w:rsidRDefault="00952983">
            <w:pPr>
              <w:spacing w:before="40" w:after="40"/>
              <w:ind w:left="100" w:right="100"/>
              <w:jc w:val="center"/>
            </w:pPr>
            <w:r>
              <w:rPr>
                <w:rFonts w:ascii="Arial" w:eastAsia="Arial" w:hAnsi="Arial" w:cs="Arial"/>
                <w:color w:val="111111"/>
                <w:sz w:val="22"/>
                <w:szCs w:val="22"/>
              </w:rPr>
              <w:t xml:space="preserve"> 0.76</w:t>
            </w:r>
          </w:p>
        </w:tc>
        <w:tc>
          <w:tcPr>
            <w:tcW w:w="1080" w:type="dxa"/>
            <w:tcBorders>
              <w:top w:val="single" w:sz="16" w:space="0" w:color="000000"/>
              <w:bottom w:val="single" w:sz="16" w:space="0" w:color="000000"/>
            </w:tcBorders>
            <w:shd w:val="clear" w:color="auto" w:fill="FFFFFF"/>
            <w:vAlign w:val="center"/>
          </w:tcPr>
          <w:p w14:paraId="39ED334B" w14:textId="77777777" w:rsidR="000F7F6A" w:rsidRDefault="00952983">
            <w:pPr>
              <w:spacing w:before="40" w:after="40"/>
              <w:ind w:left="100" w:right="100"/>
              <w:jc w:val="center"/>
            </w:pPr>
            <w:r>
              <w:rPr>
                <w:rFonts w:ascii="Arial" w:eastAsia="Arial" w:hAnsi="Arial" w:cs="Arial"/>
                <w:color w:val="111111"/>
                <w:sz w:val="22"/>
                <w:szCs w:val="22"/>
              </w:rPr>
              <w:t xml:space="preserve"> 1.39</w:t>
            </w:r>
          </w:p>
        </w:tc>
        <w:tc>
          <w:tcPr>
            <w:tcW w:w="1080" w:type="dxa"/>
            <w:tcBorders>
              <w:top w:val="single" w:sz="16" w:space="0" w:color="000000"/>
              <w:bottom w:val="single" w:sz="16" w:space="0" w:color="000000"/>
            </w:tcBorders>
            <w:shd w:val="clear" w:color="auto" w:fill="FFFFFF"/>
            <w:vAlign w:val="center"/>
          </w:tcPr>
          <w:p w14:paraId="5BD595FE" w14:textId="77777777" w:rsidR="000F7F6A" w:rsidRDefault="00952983">
            <w:pPr>
              <w:spacing w:before="40" w:after="40"/>
              <w:ind w:left="100" w:right="100"/>
              <w:jc w:val="center"/>
            </w:pPr>
            <w:r>
              <w:rPr>
                <w:rFonts w:ascii="Arial" w:eastAsia="Arial" w:hAnsi="Arial" w:cs="Arial"/>
                <w:color w:val="111111"/>
                <w:sz w:val="22"/>
                <w:szCs w:val="22"/>
              </w:rPr>
              <w:t>2.93</w:t>
            </w:r>
          </w:p>
        </w:tc>
        <w:tc>
          <w:tcPr>
            <w:tcW w:w="1080" w:type="dxa"/>
            <w:tcBorders>
              <w:top w:val="single" w:sz="16" w:space="0" w:color="000000"/>
              <w:bottom w:val="single" w:sz="16" w:space="0" w:color="000000"/>
            </w:tcBorders>
            <w:shd w:val="clear" w:color="auto" w:fill="FFFFFF"/>
            <w:vAlign w:val="center"/>
          </w:tcPr>
          <w:p w14:paraId="2BE811A2" w14:textId="77777777" w:rsidR="000F7F6A" w:rsidRDefault="00952983">
            <w:pPr>
              <w:spacing w:before="40" w:after="40"/>
              <w:ind w:left="100" w:right="100"/>
              <w:jc w:val="center"/>
            </w:pPr>
            <w:r>
              <w:rPr>
                <w:rFonts w:ascii="Arial" w:eastAsia="Arial" w:hAnsi="Arial" w:cs="Arial"/>
                <w:color w:val="111111"/>
                <w:sz w:val="22"/>
                <w:szCs w:val="22"/>
              </w:rPr>
              <w:t>2.31</w:t>
            </w:r>
          </w:p>
        </w:tc>
        <w:tc>
          <w:tcPr>
            <w:tcW w:w="1079" w:type="dxa"/>
            <w:tcBorders>
              <w:top w:val="single" w:sz="16" w:space="0" w:color="000000"/>
              <w:bottom w:val="single" w:sz="16" w:space="0" w:color="000000"/>
            </w:tcBorders>
            <w:shd w:val="clear" w:color="auto" w:fill="FFFFFF"/>
            <w:vAlign w:val="center"/>
          </w:tcPr>
          <w:p w14:paraId="00F93DF6" w14:textId="77777777" w:rsidR="000F7F6A" w:rsidRDefault="00952983">
            <w:pPr>
              <w:spacing w:before="40" w:after="40"/>
              <w:ind w:left="100" w:right="100"/>
              <w:jc w:val="center"/>
            </w:pPr>
            <w:r>
              <w:rPr>
                <w:rFonts w:ascii="Arial" w:eastAsia="Arial" w:hAnsi="Arial" w:cs="Arial"/>
                <w:color w:val="111111"/>
                <w:sz w:val="22"/>
                <w:szCs w:val="22"/>
              </w:rPr>
              <w:t>1.86</w:t>
            </w:r>
          </w:p>
        </w:tc>
      </w:tr>
      <w:tr w:rsidR="000F7F6A" w14:paraId="640CC289"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1E3A5CD0"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40074917" w14:textId="77777777" w:rsidR="000F7F6A" w:rsidRDefault="00952983">
            <w:pPr>
              <w:spacing w:before="40" w:after="40"/>
              <w:ind w:left="100" w:right="100"/>
              <w:jc w:val="center"/>
            </w:pPr>
            <w:r>
              <w:rPr>
                <w:rFonts w:ascii="Arial" w:eastAsia="Arial" w:hAnsi="Arial" w:cs="Arial"/>
                <w:color w:val="111111"/>
                <w:sz w:val="22"/>
                <w:szCs w:val="22"/>
              </w:rPr>
              <w:t>S</w:t>
            </w:r>
          </w:p>
        </w:tc>
        <w:tc>
          <w:tcPr>
            <w:tcW w:w="1080" w:type="dxa"/>
            <w:tcBorders>
              <w:top w:val="single" w:sz="16" w:space="0" w:color="000000"/>
              <w:bottom w:val="single" w:sz="16" w:space="0" w:color="000000"/>
            </w:tcBorders>
            <w:shd w:val="clear" w:color="auto" w:fill="FFFFFF"/>
            <w:vAlign w:val="center"/>
          </w:tcPr>
          <w:p w14:paraId="728BD3AA" w14:textId="77777777" w:rsidR="000F7F6A" w:rsidRDefault="00952983">
            <w:pPr>
              <w:spacing w:before="40" w:after="40"/>
              <w:ind w:left="100" w:right="100"/>
              <w:jc w:val="center"/>
            </w:pPr>
            <w:r>
              <w:rPr>
                <w:rFonts w:ascii="Arial" w:eastAsia="Arial" w:hAnsi="Arial" w:cs="Arial"/>
                <w:color w:val="111111"/>
                <w:sz w:val="22"/>
                <w:szCs w:val="22"/>
              </w:rPr>
              <w:t xml:space="preserve"> 0.39</w:t>
            </w:r>
          </w:p>
        </w:tc>
        <w:tc>
          <w:tcPr>
            <w:tcW w:w="1080" w:type="dxa"/>
            <w:tcBorders>
              <w:top w:val="single" w:sz="16" w:space="0" w:color="000000"/>
              <w:bottom w:val="single" w:sz="16" w:space="0" w:color="000000"/>
            </w:tcBorders>
            <w:shd w:val="clear" w:color="auto" w:fill="FFFFFF"/>
            <w:vAlign w:val="center"/>
          </w:tcPr>
          <w:p w14:paraId="79441891" w14:textId="77777777" w:rsidR="000F7F6A" w:rsidRDefault="00952983">
            <w:pPr>
              <w:spacing w:before="40" w:after="40"/>
              <w:ind w:left="100" w:right="100"/>
              <w:jc w:val="center"/>
            </w:pPr>
            <w:r>
              <w:rPr>
                <w:rFonts w:ascii="Arial" w:eastAsia="Arial" w:hAnsi="Arial" w:cs="Arial"/>
                <w:color w:val="111111"/>
                <w:sz w:val="22"/>
                <w:szCs w:val="22"/>
              </w:rPr>
              <w:t xml:space="preserve"> 1.66</w:t>
            </w:r>
          </w:p>
        </w:tc>
        <w:tc>
          <w:tcPr>
            <w:tcW w:w="1080" w:type="dxa"/>
            <w:tcBorders>
              <w:top w:val="single" w:sz="16" w:space="0" w:color="000000"/>
              <w:bottom w:val="single" w:sz="16" w:space="0" w:color="000000"/>
            </w:tcBorders>
            <w:shd w:val="clear" w:color="auto" w:fill="FFFFFF"/>
            <w:vAlign w:val="center"/>
          </w:tcPr>
          <w:p w14:paraId="446F5D99" w14:textId="77777777" w:rsidR="000F7F6A" w:rsidRDefault="00952983">
            <w:pPr>
              <w:spacing w:before="40" w:after="40"/>
              <w:ind w:left="100" w:right="100"/>
              <w:jc w:val="center"/>
            </w:pPr>
            <w:r>
              <w:rPr>
                <w:rFonts w:ascii="Arial" w:eastAsia="Arial" w:hAnsi="Arial" w:cs="Arial"/>
                <w:color w:val="111111"/>
                <w:sz w:val="22"/>
                <w:szCs w:val="22"/>
              </w:rPr>
              <w:t xml:space="preserve"> 3.53</w:t>
            </w:r>
          </w:p>
        </w:tc>
        <w:tc>
          <w:tcPr>
            <w:tcW w:w="1080" w:type="dxa"/>
            <w:tcBorders>
              <w:top w:val="single" w:sz="16" w:space="0" w:color="000000"/>
              <w:bottom w:val="single" w:sz="16" w:space="0" w:color="000000"/>
            </w:tcBorders>
            <w:shd w:val="clear" w:color="auto" w:fill="FFFFFF"/>
            <w:vAlign w:val="center"/>
          </w:tcPr>
          <w:p w14:paraId="7F669836" w14:textId="77777777" w:rsidR="000F7F6A" w:rsidRDefault="00952983">
            <w:pPr>
              <w:spacing w:before="40" w:after="40"/>
              <w:ind w:left="100" w:right="100"/>
              <w:jc w:val="center"/>
            </w:pPr>
            <w:r>
              <w:rPr>
                <w:rFonts w:ascii="Arial" w:eastAsia="Arial" w:hAnsi="Arial" w:cs="Arial"/>
                <w:color w:val="111111"/>
                <w:sz w:val="22"/>
                <w:szCs w:val="22"/>
              </w:rPr>
              <w:t>3.04</w:t>
            </w:r>
          </w:p>
        </w:tc>
        <w:tc>
          <w:tcPr>
            <w:tcW w:w="1080" w:type="dxa"/>
            <w:tcBorders>
              <w:top w:val="single" w:sz="16" w:space="0" w:color="000000"/>
              <w:bottom w:val="single" w:sz="16" w:space="0" w:color="000000"/>
            </w:tcBorders>
            <w:shd w:val="clear" w:color="auto" w:fill="FFFFFF"/>
            <w:vAlign w:val="center"/>
          </w:tcPr>
          <w:p w14:paraId="1DEA4375" w14:textId="77777777" w:rsidR="000F7F6A" w:rsidRDefault="00952983">
            <w:pPr>
              <w:spacing w:before="40" w:after="40"/>
              <w:ind w:left="100" w:right="100"/>
              <w:jc w:val="center"/>
            </w:pPr>
            <w:r>
              <w:rPr>
                <w:rFonts w:ascii="Arial" w:eastAsia="Arial" w:hAnsi="Arial" w:cs="Arial"/>
                <w:color w:val="111111"/>
                <w:sz w:val="22"/>
                <w:szCs w:val="22"/>
              </w:rPr>
              <w:t>2.25</w:t>
            </w:r>
          </w:p>
        </w:tc>
        <w:tc>
          <w:tcPr>
            <w:tcW w:w="1079" w:type="dxa"/>
            <w:tcBorders>
              <w:top w:val="single" w:sz="16" w:space="0" w:color="000000"/>
              <w:bottom w:val="single" w:sz="16" w:space="0" w:color="000000"/>
            </w:tcBorders>
            <w:shd w:val="clear" w:color="auto" w:fill="FFFFFF"/>
            <w:vAlign w:val="center"/>
          </w:tcPr>
          <w:p w14:paraId="3F2AB273" w14:textId="77777777" w:rsidR="000F7F6A" w:rsidRDefault="00952983">
            <w:pPr>
              <w:spacing w:before="40" w:after="40"/>
              <w:ind w:left="100" w:right="100"/>
              <w:jc w:val="center"/>
            </w:pPr>
            <w:r>
              <w:rPr>
                <w:rFonts w:ascii="Arial" w:eastAsia="Arial" w:hAnsi="Arial" w:cs="Arial"/>
                <w:color w:val="111111"/>
                <w:sz w:val="22"/>
                <w:szCs w:val="22"/>
              </w:rPr>
              <w:t>1.77</w:t>
            </w:r>
          </w:p>
        </w:tc>
      </w:tr>
      <w:tr w:rsidR="000F7F6A" w14:paraId="30E3F25C" w14:textId="77777777">
        <w:trPr>
          <w:cantSplit/>
          <w:trHeight w:val="360"/>
          <w:jc w:val="center"/>
        </w:trPr>
        <w:tc>
          <w:tcPr>
            <w:tcW w:w="1080" w:type="dxa"/>
            <w:tcBorders>
              <w:top w:val="single" w:sz="16" w:space="0" w:color="000000"/>
              <w:bottom w:val="single" w:sz="16" w:space="0" w:color="000000"/>
            </w:tcBorders>
            <w:shd w:val="clear" w:color="auto" w:fill="FFFFFF"/>
            <w:vAlign w:val="center"/>
          </w:tcPr>
          <w:p w14:paraId="588FFD07"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26EAC7AB" w14:textId="77777777" w:rsidR="000F7F6A" w:rsidRDefault="00952983">
            <w:pPr>
              <w:spacing w:before="40" w:after="40"/>
              <w:ind w:left="100" w:right="100"/>
              <w:jc w:val="center"/>
            </w:pPr>
            <w:r>
              <w:rPr>
                <w:rFonts w:ascii="Arial" w:eastAsia="Arial" w:hAnsi="Arial" w:cs="Arial"/>
                <w:color w:val="111111"/>
                <w:sz w:val="22"/>
                <w:szCs w:val="22"/>
              </w:rPr>
              <w:t>T</w:t>
            </w:r>
          </w:p>
        </w:tc>
        <w:tc>
          <w:tcPr>
            <w:tcW w:w="1080" w:type="dxa"/>
            <w:tcBorders>
              <w:top w:val="single" w:sz="16" w:space="0" w:color="000000"/>
              <w:bottom w:val="single" w:sz="16" w:space="0" w:color="000000"/>
            </w:tcBorders>
            <w:shd w:val="clear" w:color="auto" w:fill="FFFFFF"/>
            <w:vAlign w:val="center"/>
          </w:tcPr>
          <w:p w14:paraId="17FAA199" w14:textId="77777777" w:rsidR="000F7F6A" w:rsidRDefault="00952983">
            <w:pPr>
              <w:spacing w:before="40" w:after="40"/>
              <w:ind w:left="100" w:right="100"/>
              <w:jc w:val="center"/>
            </w:pPr>
            <w:r>
              <w:rPr>
                <w:rFonts w:ascii="Arial" w:eastAsia="Arial" w:hAnsi="Arial" w:cs="Arial"/>
                <w:color w:val="111111"/>
                <w:sz w:val="22"/>
                <w:szCs w:val="22"/>
              </w:rPr>
              <w:t xml:space="preserve"> 1.09</w:t>
            </w:r>
          </w:p>
        </w:tc>
        <w:tc>
          <w:tcPr>
            <w:tcW w:w="1080" w:type="dxa"/>
            <w:tcBorders>
              <w:top w:val="single" w:sz="16" w:space="0" w:color="000000"/>
              <w:bottom w:val="single" w:sz="16" w:space="0" w:color="000000"/>
            </w:tcBorders>
            <w:shd w:val="clear" w:color="auto" w:fill="FFFFFF"/>
            <w:vAlign w:val="center"/>
          </w:tcPr>
          <w:p w14:paraId="05162016" w14:textId="77777777" w:rsidR="000F7F6A" w:rsidRDefault="00952983">
            <w:pPr>
              <w:spacing w:before="40" w:after="40"/>
              <w:ind w:left="100" w:right="100"/>
              <w:jc w:val="center"/>
            </w:pPr>
            <w:r>
              <w:rPr>
                <w:rFonts w:ascii="Arial" w:eastAsia="Arial" w:hAnsi="Arial" w:cs="Arial"/>
                <w:color w:val="111111"/>
                <w:sz w:val="22"/>
                <w:szCs w:val="22"/>
              </w:rPr>
              <w:t xml:space="preserve"> 4.16</w:t>
            </w:r>
          </w:p>
        </w:tc>
        <w:tc>
          <w:tcPr>
            <w:tcW w:w="1080" w:type="dxa"/>
            <w:tcBorders>
              <w:top w:val="single" w:sz="16" w:space="0" w:color="000000"/>
              <w:bottom w:val="single" w:sz="16" w:space="0" w:color="000000"/>
            </w:tcBorders>
            <w:shd w:val="clear" w:color="auto" w:fill="FFFFFF"/>
            <w:vAlign w:val="center"/>
          </w:tcPr>
          <w:p w14:paraId="3CD993A1" w14:textId="77777777" w:rsidR="000F7F6A" w:rsidRDefault="00952983">
            <w:pPr>
              <w:spacing w:before="40" w:after="40"/>
              <w:ind w:left="100" w:right="100"/>
              <w:jc w:val="center"/>
            </w:pPr>
            <w:r>
              <w:rPr>
                <w:rFonts w:ascii="Arial" w:eastAsia="Arial" w:hAnsi="Arial" w:cs="Arial"/>
                <w:color w:val="111111"/>
                <w:sz w:val="22"/>
                <w:szCs w:val="22"/>
              </w:rPr>
              <w:t xml:space="preserve"> 6.62</w:t>
            </w:r>
          </w:p>
        </w:tc>
        <w:tc>
          <w:tcPr>
            <w:tcW w:w="1080" w:type="dxa"/>
            <w:tcBorders>
              <w:top w:val="single" w:sz="16" w:space="0" w:color="000000"/>
              <w:bottom w:val="single" w:sz="16" w:space="0" w:color="000000"/>
            </w:tcBorders>
            <w:shd w:val="clear" w:color="auto" w:fill="FFFFFF"/>
            <w:vAlign w:val="center"/>
          </w:tcPr>
          <w:p w14:paraId="020164B4" w14:textId="77777777" w:rsidR="000F7F6A" w:rsidRDefault="00952983">
            <w:pPr>
              <w:spacing w:before="40" w:after="40"/>
              <w:ind w:left="100" w:right="100"/>
              <w:jc w:val="center"/>
            </w:pPr>
            <w:r>
              <w:rPr>
                <w:rFonts w:ascii="Arial" w:eastAsia="Arial" w:hAnsi="Arial" w:cs="Arial"/>
                <w:color w:val="111111"/>
                <w:sz w:val="22"/>
                <w:szCs w:val="22"/>
              </w:rPr>
              <w:t>3.24</w:t>
            </w:r>
          </w:p>
        </w:tc>
        <w:tc>
          <w:tcPr>
            <w:tcW w:w="1080" w:type="dxa"/>
            <w:tcBorders>
              <w:top w:val="single" w:sz="16" w:space="0" w:color="000000"/>
              <w:bottom w:val="single" w:sz="16" w:space="0" w:color="000000"/>
            </w:tcBorders>
            <w:shd w:val="clear" w:color="auto" w:fill="FFFFFF"/>
            <w:vAlign w:val="center"/>
          </w:tcPr>
          <w:p w14:paraId="0A80FF5F" w14:textId="77777777" w:rsidR="000F7F6A" w:rsidRDefault="00952983">
            <w:pPr>
              <w:spacing w:before="40" w:after="40"/>
              <w:ind w:left="100" w:right="100"/>
              <w:jc w:val="center"/>
            </w:pPr>
            <w:r>
              <w:rPr>
                <w:rFonts w:ascii="Arial" w:eastAsia="Arial" w:hAnsi="Arial" w:cs="Arial"/>
                <w:color w:val="111111"/>
                <w:sz w:val="22"/>
                <w:szCs w:val="22"/>
              </w:rPr>
              <w:t>2.37</w:t>
            </w:r>
          </w:p>
        </w:tc>
        <w:tc>
          <w:tcPr>
            <w:tcW w:w="1079" w:type="dxa"/>
            <w:tcBorders>
              <w:top w:val="single" w:sz="16" w:space="0" w:color="000000"/>
              <w:bottom w:val="single" w:sz="16" w:space="0" w:color="000000"/>
            </w:tcBorders>
            <w:shd w:val="clear" w:color="auto" w:fill="FFFFFF"/>
            <w:vAlign w:val="center"/>
          </w:tcPr>
          <w:p w14:paraId="11D198EA" w14:textId="77777777" w:rsidR="000F7F6A" w:rsidRDefault="00952983">
            <w:pPr>
              <w:spacing w:before="40" w:after="40"/>
              <w:ind w:left="100" w:right="100"/>
              <w:jc w:val="center"/>
            </w:pPr>
            <w:r>
              <w:rPr>
                <w:rFonts w:ascii="Arial" w:eastAsia="Arial" w:hAnsi="Arial" w:cs="Arial"/>
                <w:color w:val="111111"/>
                <w:sz w:val="22"/>
                <w:szCs w:val="22"/>
              </w:rPr>
              <w:t>1.79</w:t>
            </w:r>
          </w:p>
        </w:tc>
      </w:tr>
    </w:tbl>
    <w:p w14:paraId="33D58834" w14:textId="77777777" w:rsidR="000F7F6A" w:rsidRDefault="00952983">
      <w:pPr>
        <w:pStyle w:val="Corpodetexto"/>
      </w:pPr>
      <w:r>
        <w:rPr>
          <w:i/>
          <w:iCs/>
        </w:rPr>
        <w:t xml:space="preserve">Source: </w:t>
      </w:r>
      <w:r>
        <w:t>Brazilian national censuses, 1970, 1980, 1991, 2000, 2010.</w:t>
      </w:r>
    </w:p>
    <w:p w14:paraId="21D70DBE" w14:textId="77777777" w:rsidR="000F7F6A" w:rsidRDefault="00952983">
      <w:pPr>
        <w:pStyle w:val="Corpodetexto"/>
      </w:pPr>
      <w:r>
        <w:t xml:space="preserve">In general, we verify that educational homogamy reduced its share in all regions of the country. The reasons are linked to decreases in prevalence rates of </w:t>
      </w:r>
      <m:oMath>
        <m:r>
          <w:rPr>
            <w:rFonts w:ascii="Cambria Math" w:hAnsi="Cambria Math"/>
          </w:rPr>
          <m:t>L</m:t>
        </m:r>
        <m:sSub>
          <m:sSubPr>
            <m:ctrlPr>
              <w:rPr>
                <w:rFonts w:ascii="Cambria Math" w:hAnsi="Cambria Math"/>
              </w:rPr>
            </m:ctrlPr>
          </m:sSubPr>
          <m:e>
            <m:r>
              <w:rPr>
                <w:rFonts w:ascii="Cambria Math" w:hAnsi="Cambria Math"/>
              </w:rPr>
              <m:t>P</m:t>
            </m:r>
          </m:e>
          <m:sub>
            <m:r>
              <w:rPr>
                <w:rFonts w:ascii="Cambria Math" w:hAnsi="Cambria Math"/>
              </w:rPr>
              <m:t>male</m:t>
            </m:r>
          </m:sub>
        </m:sSub>
      </m:oMath>
      <w:r>
        <w:t>-</w:t>
      </w:r>
      <m:oMath>
        <m:r>
          <w:rPr>
            <w:rFonts w:ascii="Cambria Math" w:hAnsi="Cambria Math"/>
          </w:rPr>
          <m:t>L</m:t>
        </m:r>
        <m:sSub>
          <m:sSubPr>
            <m:ctrlPr>
              <w:rPr>
                <w:rFonts w:ascii="Cambria Math" w:hAnsi="Cambria Math"/>
              </w:rPr>
            </m:ctrlPr>
          </m:sSubPr>
          <m:e>
            <m:r>
              <w:rPr>
                <w:rFonts w:ascii="Cambria Math" w:hAnsi="Cambria Math"/>
              </w:rPr>
              <m:t>P</m:t>
            </m:r>
          </m:e>
          <m:sub>
            <m:r>
              <w:rPr>
                <w:rFonts w:ascii="Cambria Math" w:hAnsi="Cambria Math"/>
              </w:rPr>
              <m:t>female</m:t>
            </m:r>
          </m:sub>
        </m:sSub>
      </m:oMath>
      <w:r>
        <w:t xml:space="preserve"> educational pairings. For women born in 1925-39, approximately 81% were from the lowest schooling level and married</w:t>
      </w:r>
      <w:ins w:id="435" w:author="Manilo Franklin" w:date="2020-11-20T12:34:00Z">
        <w:r w:rsidR="00D5283F">
          <w:t xml:space="preserve"> to</w:t>
        </w:r>
      </w:ins>
      <w:r>
        <w:t xml:space="preserve"> </w:t>
      </w:r>
      <w:del w:id="436" w:author="Manilo Franklin" w:date="2020-11-20T12:34:00Z">
        <w:r w:rsidDel="00D5283F">
          <w:delText xml:space="preserve">with </w:delText>
        </w:r>
      </w:del>
      <w:r>
        <w:t xml:space="preserve">males from this same educational level. This number declined to 37% for females from 1955-69 birth cohorts, as an effect of compositional changes in population’s education. On the other hand, educational homogamy has increased among couples with tertiary </w:t>
      </w:r>
      <w:r>
        <w:lastRenderedPageBreak/>
        <w:t>education, from less than 1% in 1925-39 cohorts to 5.60% in 1955-69 birth cohorts, a modest increment to outnumber the share percentage of couples with incomplete primary education. Therefore, educational pairings in the country dispersed among higher education categories as the educational expansion was taking place.</w:t>
      </w:r>
    </w:p>
    <w:p w14:paraId="523701DC" w14:textId="77777777" w:rsidR="000F7F6A" w:rsidRDefault="00952983">
      <w:pPr>
        <w:pStyle w:val="Corpodetexto"/>
      </w:pPr>
      <w:r>
        <w:t>When we look at specific regions then different trends in educational pairing composition appears. The Midwest once more shows a similar pattern as Brazil, changing from a past high percentage of homogamous couples with low schooling to more diverse partner profiles and higher prevalence of hypogamic couples among younger cohorts.</w:t>
      </w:r>
    </w:p>
    <w:p w14:paraId="234F3039" w14:textId="77777777" w:rsidR="000F7F6A" w:rsidRDefault="00952983">
      <w:pPr>
        <w:pStyle w:val="Corpodetexto"/>
      </w:pPr>
      <w:r>
        <w:t>In the North-Northeast regions we see the slowest changes in matrimonial profiles. There is a persistent high percentage of low</w:t>
      </w:r>
      <w:ins w:id="437" w:author="Manilo Franklin" w:date="2020-11-20T12:39:00Z">
        <w:r w:rsidR="00D5283F">
          <w:t>-</w:t>
        </w:r>
      </w:ins>
      <w:del w:id="438" w:author="Manilo Franklin" w:date="2020-11-20T12:39:00Z">
        <w:r w:rsidDel="00D5283F">
          <w:delText xml:space="preserve"> </w:delText>
        </w:r>
      </w:del>
      <w:r>
        <w:t>schooled couples in union and the heterogamy share is modest in percentages. In fact, the low</w:t>
      </w:r>
      <w:ins w:id="439" w:author="Manilo Franklin" w:date="2020-11-20T12:39:00Z">
        <w:r w:rsidR="00D5283F">
          <w:t>-</w:t>
        </w:r>
      </w:ins>
      <w:del w:id="440" w:author="Manilo Franklin" w:date="2020-11-20T12:39:00Z">
        <w:r w:rsidDel="00D5283F">
          <w:delText xml:space="preserve"> </w:delText>
        </w:r>
      </w:del>
      <w:r>
        <w:t xml:space="preserve">educated couples </w:t>
      </w:r>
      <w:del w:id="441" w:author="Manilo Franklin" w:date="2020-11-20T12:39:00Z">
        <w:r w:rsidDel="00D5283F">
          <w:delText xml:space="preserve">responded </w:delText>
        </w:r>
      </w:del>
      <w:ins w:id="442" w:author="Manilo Franklin" w:date="2020-11-20T12:39:00Z">
        <w:r w:rsidR="00D5283F">
          <w:t xml:space="preserve">accounted </w:t>
        </w:r>
      </w:ins>
      <w:r>
        <w:t xml:space="preserve">for </w:t>
      </w:r>
      <w:del w:id="443" w:author="Manilo Franklin" w:date="2020-11-20T12:39:00Z">
        <w:r w:rsidDel="00384724">
          <w:delText xml:space="preserve">almost </w:delText>
        </w:r>
      </w:del>
      <w:ins w:id="444" w:author="Manilo Franklin" w:date="2020-11-20T12:39:00Z">
        <w:r w:rsidR="00384724">
          <w:t xml:space="preserve">nearly </w:t>
        </w:r>
      </w:ins>
      <w:r>
        <w:t xml:space="preserve">49% of educational pairings for </w:t>
      </w:r>
      <w:del w:id="445" w:author="Manilo Franklin" w:date="2020-11-20T14:32:00Z">
        <w:r w:rsidDel="00F108E0">
          <w:delText xml:space="preserve">1955-69 </w:delText>
        </w:r>
      </w:del>
      <w:r>
        <w:t xml:space="preserve">female </w:t>
      </w:r>
      <w:del w:id="446" w:author="Manilo Franklin" w:date="2020-11-20T14:32:00Z">
        <w:r w:rsidDel="00F108E0">
          <w:delText xml:space="preserve">born </w:delText>
        </w:r>
      </w:del>
      <w:r>
        <w:t>cohorts in these regions</w:t>
      </w:r>
      <w:ins w:id="447" w:author="Manilo Franklin" w:date="2020-11-20T14:32:00Z">
        <w:r w:rsidR="00F108E0">
          <w:t xml:space="preserve"> </w:t>
        </w:r>
      </w:ins>
      <w:ins w:id="448" w:author="Manilo Franklin" w:date="2020-11-20T14:33:00Z">
        <w:r w:rsidR="00F108E0">
          <w:t>born in 1955-69</w:t>
        </w:r>
      </w:ins>
      <w:r>
        <w:t xml:space="preserve">. Additionally, hypogamic unions were already on the rise for intermediate cohorts, because the females from </w:t>
      </w:r>
      <w:ins w:id="449" w:author="Manilo Franklin" w:date="2020-11-20T12:40:00Z">
        <w:r w:rsidR="008E0711">
          <w:t xml:space="preserve">the </w:t>
        </w:r>
      </w:ins>
      <w:r>
        <w:t>North</w:t>
      </w:r>
      <w:ins w:id="450" w:author="Manilo Franklin" w:date="2020-11-20T12:40:00Z">
        <w:r w:rsidR="008E0711">
          <w:t xml:space="preserve"> and </w:t>
        </w:r>
      </w:ins>
      <w:del w:id="451" w:author="Manilo Franklin" w:date="2020-11-20T12:40:00Z">
        <w:r w:rsidDel="008E0711">
          <w:delText>-</w:delText>
        </w:r>
      </w:del>
      <w:r>
        <w:t xml:space="preserve">Northeast have overtaken men’s educational levels earlier than in other regions (Monteiro da Silva 2019). This lagged process of </w:t>
      </w:r>
      <w:del w:id="452" w:author="Manilo Franklin" w:date="2020-11-20T12:42:00Z">
        <w:r w:rsidDel="00B73717">
          <w:delText xml:space="preserve">homogamy </w:delText>
        </w:r>
      </w:del>
      <w:ins w:id="453" w:author="Manilo Franklin" w:date="2020-11-20T12:42:00Z">
        <w:r w:rsidR="00B73717">
          <w:t xml:space="preserve">homogamic </w:t>
        </w:r>
      </w:ins>
      <w:ins w:id="454" w:author="Manilo Franklin" w:date="2020-11-20T12:46:00Z">
        <w:r w:rsidR="00A9456D">
          <w:t xml:space="preserve">union </w:t>
        </w:r>
      </w:ins>
      <w:r>
        <w:t xml:space="preserve">decrease and </w:t>
      </w:r>
      <w:ins w:id="455" w:author="Manilo Franklin" w:date="2020-11-20T12:41:00Z">
        <w:r w:rsidR="008E0711">
          <w:t>an increase in the number of</w:t>
        </w:r>
      </w:ins>
      <w:del w:id="456" w:author="Manilo Franklin" w:date="2020-11-20T12:41:00Z">
        <w:r w:rsidDel="008E0711">
          <w:delText>more</w:delText>
        </w:r>
      </w:del>
      <w:r>
        <w:t xml:space="preserve"> hypogamic unions </w:t>
      </w:r>
      <w:del w:id="457" w:author="Manilo Franklin" w:date="2020-11-20T12:41:00Z">
        <w:r w:rsidDel="008E0711">
          <w:delText xml:space="preserve">instead </w:delText>
        </w:r>
      </w:del>
      <w:r>
        <w:t xml:space="preserve">can be partially attributed to the historical socioeconomic inequalities of the country. For instance, these Northern areas presented a later shift to an </w:t>
      </w:r>
      <w:r>
        <w:lastRenderedPageBreak/>
        <w:t>industrial</w:t>
      </w:r>
      <w:ins w:id="458" w:author="Manilo Franklin" w:date="2020-11-20T12:43:00Z">
        <w:r w:rsidR="006A6B9B">
          <w:t>-</w:t>
        </w:r>
      </w:ins>
      <w:r>
        <w:t xml:space="preserve"> and</w:t>
      </w:r>
      <w:ins w:id="459" w:author="Manilo Franklin" w:date="2020-11-20T12:43:00Z">
        <w:r w:rsidR="006A6B9B">
          <w:t xml:space="preserve"> </w:t>
        </w:r>
      </w:ins>
      <w:del w:id="460" w:author="Manilo Franklin" w:date="2020-11-20T12:45:00Z">
        <w:r w:rsidDel="00C77D51">
          <w:delText xml:space="preserve"> </w:delText>
        </w:r>
      </w:del>
      <w:del w:id="461" w:author="Manilo Franklin" w:date="2020-11-20T12:43:00Z">
        <w:r w:rsidDel="006A6B9B">
          <w:delText>service based</w:delText>
        </w:r>
      </w:del>
      <w:ins w:id="462" w:author="Manilo Franklin" w:date="2020-11-20T12:43:00Z">
        <w:r w:rsidR="006A6B9B">
          <w:t>service-based</w:t>
        </w:r>
      </w:ins>
      <w:r>
        <w:t xml:space="preserve"> economy relative to the rest of Brazil.</w:t>
      </w:r>
    </w:p>
    <w:p w14:paraId="2FF9CE07" w14:textId="77777777" w:rsidR="000F7F6A" w:rsidRDefault="00952983">
      <w:pPr>
        <w:pStyle w:val="Corpodetexto"/>
      </w:pPr>
      <w:r>
        <w:t xml:space="preserve">The more developed Southern areas of the country observe an intense process of compositional changes in educational pairings. These areas present the lowest </w:t>
      </w:r>
      <w:del w:id="463" w:author="Manilo Franklin" w:date="2020-11-20T12:46:00Z">
        <w:r w:rsidDel="00BD3597">
          <w:delText xml:space="preserve">country’s </w:delText>
        </w:r>
      </w:del>
      <w:r>
        <w:t xml:space="preserve">percentage of homogamous unions between less educated couples </w:t>
      </w:r>
      <w:ins w:id="464" w:author="Manilo Franklin" w:date="2020-11-20T12:46:00Z">
        <w:r w:rsidR="00BD3597">
          <w:t xml:space="preserve">in the country </w:t>
        </w:r>
      </w:ins>
      <w:r>
        <w:t xml:space="preserve">(around 31% for younger cohorts), and at the same time a later process of increase in hypogamic unions. These regions benefited the most from Brazil’s educational expansion and, therefore, </w:t>
      </w:r>
      <w:del w:id="465" w:author="Manilo Franklin" w:date="2020-11-20T12:48:00Z">
        <w:r w:rsidDel="00510787">
          <w:delText xml:space="preserve">they </w:delText>
        </w:r>
      </w:del>
      <w:r>
        <w:t>showed the highest increase of heterogamous couples’ prevalence rates.</w:t>
      </w:r>
    </w:p>
    <w:p w14:paraId="1D61BBC9" w14:textId="77777777" w:rsidR="000F7F6A" w:rsidRDefault="00952983">
      <w:pPr>
        <w:pStyle w:val="Corpodetexto"/>
      </w:pPr>
      <w:r>
        <w:t>Table 4 also portraits important information on fertility differentials among educational groups and female birth cohorts. For old cohorts composed in general by low educated females, when men have complete tertiary education, the CFRs are 2.3 to 3 children per woman smaller as compared to couples formed by males without complete primary education. When we observe the CFR values for opposite arrangements (e.g. men with less than primary education in union with highly educated women), we verify fertility levels close to the ones observed for tertiary educated males. In other words, high male education does also affect couples’ CFR, and in the case of higher education, this effect is almost similar between each partner.</w:t>
      </w:r>
    </w:p>
    <w:p w14:paraId="496DCE4F" w14:textId="77777777" w:rsidR="000F7F6A" w:rsidRDefault="00952983">
      <w:pPr>
        <w:pStyle w:val="Corpodetexto"/>
      </w:pPr>
      <w:r>
        <w:lastRenderedPageBreak/>
        <w:t xml:space="preserve">Table 5 presents the overall CFR for these three cohorts for each region </w:t>
      </w:r>
      <w:proofErr w:type="gramStart"/>
      <w:r>
        <w:t>and also</w:t>
      </w:r>
      <w:proofErr w:type="gramEnd"/>
      <w:r>
        <w:t xml:space="preserve"> the results of the decomposition exercises. Brazilian couple’s CFRs dropped from 6.30 to 2.94, from the oldest to the youngest female cohorts. The highest decrease was observed in North-Northeast regions, which we observe an expressive reduction in CFRs, from 8.04 to 3.79. Yet, they started their fertility transition process from higher levels and later than other areas, hence, they still </w:t>
      </w:r>
      <w:proofErr w:type="spellStart"/>
      <w:r>
        <w:t>presente</w:t>
      </w:r>
      <w:proofErr w:type="spellEnd"/>
      <w:r>
        <w:t xml:space="preserve"> the highest CFRs for younger cohorts (the value of 3.79 compared to 2.86 of Midwest and 2.55 of South-Southeast).</w:t>
      </w:r>
    </w:p>
    <w:p w14:paraId="149080B2" w14:textId="77777777" w:rsidR="000F7F6A" w:rsidRDefault="000F7F6A">
      <w:pPr>
        <w:pStyle w:val="Corpodetexto"/>
      </w:pPr>
    </w:p>
    <w:p w14:paraId="06A5F7E5" w14:textId="77777777" w:rsidR="000F7F6A" w:rsidRDefault="000F7F6A">
      <w:pPr>
        <w:pStyle w:val="Corpodetexto"/>
      </w:pPr>
    </w:p>
    <w:p w14:paraId="2823CDC1" w14:textId="77777777" w:rsidR="000F7F6A" w:rsidRDefault="000F7F6A">
      <w:pPr>
        <w:pStyle w:val="Corpodetexto"/>
      </w:pPr>
    </w:p>
    <w:p w14:paraId="00993C7C" w14:textId="77777777" w:rsidR="000F7F6A" w:rsidRDefault="000F7F6A">
      <w:pPr>
        <w:pStyle w:val="Corpodetexto"/>
      </w:pPr>
    </w:p>
    <w:p w14:paraId="11B20C95" w14:textId="77777777" w:rsidR="000F7F6A" w:rsidRDefault="000F7F6A">
      <w:pPr>
        <w:pStyle w:val="Corpodetexto"/>
      </w:pPr>
    </w:p>
    <w:p w14:paraId="7699780F" w14:textId="77777777" w:rsidR="000F7F6A" w:rsidRDefault="000F7F6A">
      <w:pPr>
        <w:pStyle w:val="Corpodetexto"/>
      </w:pPr>
    </w:p>
    <w:p w14:paraId="789FCB2C" w14:textId="77777777" w:rsidR="000F7F6A" w:rsidRDefault="000F7F6A">
      <w:pPr>
        <w:pStyle w:val="Corpodetexto"/>
      </w:pPr>
    </w:p>
    <w:p w14:paraId="254258FD" w14:textId="77777777" w:rsidR="000F7F6A" w:rsidRDefault="000F7F6A">
      <w:pPr>
        <w:pStyle w:val="Corpodetexto"/>
      </w:pPr>
    </w:p>
    <w:p w14:paraId="7D5C9B14" w14:textId="77777777" w:rsidR="000F7F6A" w:rsidRDefault="000F7F6A">
      <w:pPr>
        <w:pStyle w:val="Corpodetexto"/>
      </w:pPr>
    </w:p>
    <w:p w14:paraId="64B63ECE" w14:textId="77777777" w:rsidR="000F7F6A" w:rsidRDefault="00952983">
      <w:pPr>
        <w:pStyle w:val="Corpodetexto"/>
      </w:pPr>
      <w:r>
        <w:lastRenderedPageBreak/>
        <w:t xml:space="preserve">Table 5: Overall cohort fertility rates and decomposition of rates in CFR and Pairing Composition effects for female birth cohorts born in 1925-39, 1940-54, 1955-69 - Brazil and regions. </w:t>
      </w:r>
    </w:p>
    <w:tbl>
      <w:tblPr>
        <w:tblStyle w:val="Table"/>
        <w:tblW w:w="8640" w:type="dxa"/>
        <w:tblBorders>
          <w:top w:val="single" w:sz="16" w:space="0" w:color="000000"/>
          <w:bottom w:val="single" w:sz="16" w:space="0" w:color="000000"/>
          <w:insideH w:val="single" w:sz="16" w:space="0" w:color="000000"/>
        </w:tblBorders>
        <w:tblCellMar>
          <w:left w:w="0" w:type="dxa"/>
          <w:right w:w="0" w:type="dxa"/>
        </w:tblCellMar>
        <w:tblLook w:val="0420" w:firstRow="1" w:lastRow="0" w:firstColumn="0" w:lastColumn="0" w:noHBand="0" w:noVBand="1"/>
      </w:tblPr>
      <w:tblGrid>
        <w:gridCol w:w="2178"/>
        <w:gridCol w:w="1614"/>
        <w:gridCol w:w="1615"/>
        <w:gridCol w:w="1616"/>
        <w:gridCol w:w="1617"/>
      </w:tblGrid>
      <w:tr w:rsidR="000F7F6A" w14:paraId="1A95D780" w14:textId="77777777">
        <w:trPr>
          <w:cantSplit/>
          <w:trHeight w:val="360"/>
          <w:tblHeader/>
        </w:trPr>
        <w:tc>
          <w:tcPr>
            <w:tcW w:w="2178" w:type="dxa"/>
            <w:tcBorders>
              <w:top w:val="single" w:sz="16" w:space="0" w:color="000000"/>
              <w:bottom w:val="single" w:sz="16" w:space="0" w:color="000000"/>
            </w:tcBorders>
            <w:shd w:val="clear" w:color="auto" w:fill="FFFFFF"/>
            <w:vAlign w:val="center"/>
          </w:tcPr>
          <w:p w14:paraId="3E945E72" w14:textId="77777777" w:rsidR="000F7F6A" w:rsidRDefault="000F7F6A">
            <w:pPr>
              <w:spacing w:before="40" w:after="40"/>
              <w:ind w:left="100" w:right="100"/>
              <w:jc w:val="center"/>
            </w:pPr>
          </w:p>
        </w:tc>
        <w:tc>
          <w:tcPr>
            <w:tcW w:w="1614" w:type="dxa"/>
            <w:tcBorders>
              <w:top w:val="single" w:sz="16" w:space="0" w:color="000000"/>
              <w:bottom w:val="single" w:sz="16" w:space="0" w:color="000000"/>
            </w:tcBorders>
            <w:shd w:val="clear" w:color="auto" w:fill="FFFFFF"/>
            <w:vAlign w:val="center"/>
          </w:tcPr>
          <w:p w14:paraId="5CF80DAF" w14:textId="77777777" w:rsidR="000F7F6A" w:rsidRDefault="00952983">
            <w:pPr>
              <w:spacing w:before="40" w:after="40"/>
              <w:ind w:left="100" w:right="100"/>
              <w:jc w:val="center"/>
            </w:pPr>
            <w:r>
              <w:rPr>
                <w:rFonts w:eastAsia="Arial" w:cs="Arial"/>
                <w:b/>
                <w:color w:val="111111"/>
              </w:rPr>
              <w:t>Brazil</w:t>
            </w:r>
          </w:p>
        </w:tc>
        <w:tc>
          <w:tcPr>
            <w:tcW w:w="1615" w:type="dxa"/>
            <w:tcBorders>
              <w:top w:val="single" w:sz="16" w:space="0" w:color="000000"/>
              <w:bottom w:val="single" w:sz="16" w:space="0" w:color="000000"/>
            </w:tcBorders>
            <w:shd w:val="clear" w:color="auto" w:fill="FFFFFF"/>
            <w:vAlign w:val="center"/>
          </w:tcPr>
          <w:p w14:paraId="3331DD59" w14:textId="77777777" w:rsidR="000F7F6A" w:rsidRDefault="00952983">
            <w:pPr>
              <w:spacing w:before="40" w:after="40"/>
              <w:ind w:left="100" w:right="100"/>
              <w:jc w:val="center"/>
            </w:pPr>
            <w:r>
              <w:rPr>
                <w:rFonts w:eastAsia="Arial" w:cs="Arial"/>
                <w:b/>
                <w:color w:val="111111"/>
              </w:rPr>
              <w:t>Midwest</w:t>
            </w:r>
          </w:p>
        </w:tc>
        <w:tc>
          <w:tcPr>
            <w:tcW w:w="1616" w:type="dxa"/>
            <w:tcBorders>
              <w:top w:val="single" w:sz="16" w:space="0" w:color="000000"/>
              <w:bottom w:val="single" w:sz="16" w:space="0" w:color="000000"/>
            </w:tcBorders>
            <w:shd w:val="clear" w:color="auto" w:fill="FFFFFF"/>
            <w:vAlign w:val="center"/>
          </w:tcPr>
          <w:p w14:paraId="1B0572F4" w14:textId="77777777" w:rsidR="000F7F6A" w:rsidRDefault="00952983">
            <w:pPr>
              <w:spacing w:before="40" w:after="40"/>
              <w:ind w:left="100" w:right="100"/>
              <w:jc w:val="center"/>
            </w:pPr>
            <w:r>
              <w:rPr>
                <w:rFonts w:eastAsia="Arial" w:cs="Arial"/>
                <w:b/>
                <w:color w:val="111111"/>
              </w:rPr>
              <w:t>North-Northeast</w:t>
            </w:r>
          </w:p>
        </w:tc>
        <w:tc>
          <w:tcPr>
            <w:tcW w:w="1617" w:type="dxa"/>
            <w:tcBorders>
              <w:top w:val="single" w:sz="16" w:space="0" w:color="000000"/>
              <w:bottom w:val="single" w:sz="16" w:space="0" w:color="000000"/>
            </w:tcBorders>
            <w:shd w:val="clear" w:color="auto" w:fill="FFFFFF"/>
            <w:vAlign w:val="center"/>
          </w:tcPr>
          <w:p w14:paraId="3B17C964" w14:textId="77777777" w:rsidR="000F7F6A" w:rsidRDefault="00952983">
            <w:pPr>
              <w:spacing w:before="40" w:after="40"/>
              <w:ind w:left="100" w:right="100"/>
              <w:jc w:val="center"/>
            </w:pPr>
            <w:r>
              <w:rPr>
                <w:rFonts w:eastAsia="Arial" w:cs="Arial"/>
                <w:b/>
                <w:color w:val="111111"/>
              </w:rPr>
              <w:t>South-Southeast</w:t>
            </w:r>
          </w:p>
        </w:tc>
      </w:tr>
      <w:tr w:rsidR="000F7F6A" w14:paraId="38208608" w14:textId="77777777">
        <w:trPr>
          <w:cantSplit/>
          <w:trHeight w:val="360"/>
        </w:trPr>
        <w:tc>
          <w:tcPr>
            <w:tcW w:w="2178" w:type="dxa"/>
            <w:tcBorders>
              <w:top w:val="single" w:sz="8" w:space="0" w:color="000000"/>
              <w:bottom w:val="single" w:sz="8" w:space="0" w:color="000000"/>
            </w:tcBorders>
            <w:shd w:val="clear" w:color="auto" w:fill="FFFFFF"/>
            <w:vAlign w:val="center"/>
          </w:tcPr>
          <w:p w14:paraId="0178F8A2" w14:textId="77777777" w:rsidR="000F7F6A" w:rsidRDefault="000F7F6A">
            <w:pPr>
              <w:spacing w:before="40" w:after="40"/>
              <w:ind w:left="100" w:right="100"/>
              <w:jc w:val="left"/>
            </w:pPr>
          </w:p>
        </w:tc>
        <w:tc>
          <w:tcPr>
            <w:tcW w:w="1614" w:type="dxa"/>
            <w:tcBorders>
              <w:top w:val="single" w:sz="8" w:space="0" w:color="000000"/>
              <w:bottom w:val="single" w:sz="8" w:space="0" w:color="000000"/>
            </w:tcBorders>
            <w:shd w:val="clear" w:color="auto" w:fill="FFFFFF"/>
            <w:vAlign w:val="center"/>
          </w:tcPr>
          <w:p w14:paraId="18E71BFF" w14:textId="77777777" w:rsidR="000F7F6A" w:rsidRDefault="00952983">
            <w:pPr>
              <w:spacing w:before="40" w:after="40"/>
              <w:ind w:left="100" w:right="100"/>
              <w:jc w:val="right"/>
            </w:pPr>
            <w:r>
              <w:rPr>
                <w:rFonts w:eastAsia="Arial" w:cs="Arial"/>
                <w:color w:val="111111"/>
              </w:rPr>
              <w:t>1.68 (100.00%)</w:t>
            </w:r>
          </w:p>
        </w:tc>
        <w:tc>
          <w:tcPr>
            <w:tcW w:w="1615" w:type="dxa"/>
            <w:tcBorders>
              <w:top w:val="single" w:sz="8" w:space="0" w:color="000000"/>
              <w:bottom w:val="single" w:sz="8" w:space="0" w:color="000000"/>
            </w:tcBorders>
            <w:shd w:val="clear" w:color="auto" w:fill="FFFFFF"/>
            <w:vAlign w:val="center"/>
          </w:tcPr>
          <w:p w14:paraId="7529C181" w14:textId="77777777" w:rsidR="000F7F6A" w:rsidRDefault="00952983">
            <w:pPr>
              <w:spacing w:before="40" w:after="40"/>
              <w:ind w:left="100" w:right="100"/>
              <w:jc w:val="right"/>
            </w:pPr>
            <w:r>
              <w:rPr>
                <w:rFonts w:eastAsia="Arial" w:cs="Arial"/>
                <w:color w:val="111111"/>
              </w:rPr>
              <w:t>1.8 (100.00%)</w:t>
            </w:r>
          </w:p>
        </w:tc>
        <w:tc>
          <w:tcPr>
            <w:tcW w:w="1616" w:type="dxa"/>
            <w:tcBorders>
              <w:top w:val="single" w:sz="8" w:space="0" w:color="000000"/>
              <w:bottom w:val="single" w:sz="8" w:space="0" w:color="000000"/>
            </w:tcBorders>
            <w:shd w:val="clear" w:color="auto" w:fill="FFFFFF"/>
            <w:vAlign w:val="center"/>
          </w:tcPr>
          <w:p w14:paraId="5DF15C39" w14:textId="77777777" w:rsidR="000F7F6A" w:rsidRDefault="00952983">
            <w:pPr>
              <w:spacing w:before="40" w:after="40"/>
              <w:ind w:left="100" w:right="100"/>
              <w:jc w:val="right"/>
            </w:pPr>
            <w:r>
              <w:rPr>
                <w:rFonts w:eastAsia="Arial" w:cs="Arial"/>
                <w:color w:val="111111"/>
              </w:rPr>
              <w:t>2.46 (100.00%)</w:t>
            </w:r>
          </w:p>
        </w:tc>
        <w:tc>
          <w:tcPr>
            <w:tcW w:w="1617" w:type="dxa"/>
            <w:tcBorders>
              <w:top w:val="single" w:sz="8" w:space="0" w:color="000000"/>
              <w:bottom w:val="single" w:sz="8" w:space="0" w:color="000000"/>
            </w:tcBorders>
            <w:shd w:val="clear" w:color="auto" w:fill="FFFFFF"/>
            <w:vAlign w:val="center"/>
          </w:tcPr>
          <w:p w14:paraId="0F6BDD96" w14:textId="77777777" w:rsidR="000F7F6A" w:rsidRDefault="00952983">
            <w:pPr>
              <w:spacing w:before="40" w:after="40"/>
              <w:ind w:left="100" w:right="100"/>
              <w:jc w:val="right"/>
            </w:pPr>
            <w:r>
              <w:rPr>
                <w:rFonts w:eastAsia="Arial" w:cs="Arial"/>
                <w:color w:val="111111"/>
              </w:rPr>
              <w:t>1.29 (100.00%)</w:t>
            </w:r>
          </w:p>
        </w:tc>
      </w:tr>
      <w:tr w:rsidR="000F7F6A" w14:paraId="19CB0583" w14:textId="77777777">
        <w:trPr>
          <w:cantSplit/>
          <w:trHeight w:val="360"/>
        </w:trPr>
        <w:tc>
          <w:tcPr>
            <w:tcW w:w="2178" w:type="dxa"/>
            <w:tcBorders>
              <w:top w:val="single" w:sz="8" w:space="0" w:color="000000"/>
              <w:bottom w:val="single" w:sz="8" w:space="0" w:color="000000"/>
            </w:tcBorders>
            <w:shd w:val="clear" w:color="auto" w:fill="FFFFFF"/>
            <w:vAlign w:val="center"/>
          </w:tcPr>
          <w:p w14:paraId="52C29FC5" w14:textId="77777777" w:rsidR="000F7F6A" w:rsidRDefault="00952983">
            <w:pPr>
              <w:spacing w:before="40" w:after="40"/>
              <w:ind w:left="100" w:right="100"/>
              <w:jc w:val="left"/>
            </w:pPr>
            <w:proofErr w:type="gramStart"/>
            <w:r>
              <w:rPr>
                <w:rFonts w:eastAsia="Arial" w:cs="Arial"/>
                <w:b/>
                <w:color w:val="111111"/>
              </w:rPr>
              <w:t>CFR(</w:t>
            </w:r>
            <w:proofErr w:type="gramEnd"/>
            <w:r>
              <w:rPr>
                <w:rFonts w:eastAsia="Arial" w:cs="Arial"/>
                <w:b/>
                <w:color w:val="111111"/>
              </w:rPr>
              <w:t>1925-1939)</w:t>
            </w:r>
          </w:p>
        </w:tc>
        <w:tc>
          <w:tcPr>
            <w:tcW w:w="1614" w:type="dxa"/>
            <w:tcBorders>
              <w:top w:val="single" w:sz="8" w:space="0" w:color="000000"/>
              <w:bottom w:val="single" w:sz="8" w:space="0" w:color="000000"/>
            </w:tcBorders>
            <w:shd w:val="clear" w:color="auto" w:fill="FFFFFF"/>
            <w:vAlign w:val="center"/>
          </w:tcPr>
          <w:p w14:paraId="0F78319F" w14:textId="77777777" w:rsidR="000F7F6A" w:rsidRDefault="00952983">
            <w:pPr>
              <w:spacing w:before="40" w:after="40"/>
              <w:ind w:left="100" w:right="100"/>
              <w:jc w:val="right"/>
            </w:pPr>
            <w:r>
              <w:rPr>
                <w:rFonts w:eastAsia="Arial" w:cs="Arial"/>
                <w:color w:val="111111"/>
              </w:rPr>
              <w:t>6.30</w:t>
            </w:r>
          </w:p>
        </w:tc>
        <w:tc>
          <w:tcPr>
            <w:tcW w:w="1615" w:type="dxa"/>
            <w:tcBorders>
              <w:top w:val="single" w:sz="8" w:space="0" w:color="000000"/>
              <w:bottom w:val="single" w:sz="8" w:space="0" w:color="000000"/>
            </w:tcBorders>
            <w:shd w:val="clear" w:color="auto" w:fill="FFFFFF"/>
            <w:vAlign w:val="center"/>
          </w:tcPr>
          <w:p w14:paraId="11144734" w14:textId="77777777" w:rsidR="000F7F6A" w:rsidRDefault="00952983">
            <w:pPr>
              <w:spacing w:before="40" w:after="40"/>
              <w:ind w:left="100" w:right="100"/>
              <w:jc w:val="right"/>
            </w:pPr>
            <w:r>
              <w:rPr>
                <w:rFonts w:eastAsia="Arial" w:cs="Arial"/>
                <w:color w:val="111111"/>
              </w:rPr>
              <w:t>6.72</w:t>
            </w:r>
          </w:p>
        </w:tc>
        <w:tc>
          <w:tcPr>
            <w:tcW w:w="1616" w:type="dxa"/>
            <w:tcBorders>
              <w:top w:val="single" w:sz="8" w:space="0" w:color="000000"/>
              <w:bottom w:val="single" w:sz="8" w:space="0" w:color="000000"/>
            </w:tcBorders>
            <w:shd w:val="clear" w:color="auto" w:fill="FFFFFF"/>
            <w:vAlign w:val="center"/>
          </w:tcPr>
          <w:p w14:paraId="51FC5055" w14:textId="77777777" w:rsidR="000F7F6A" w:rsidRDefault="00952983">
            <w:pPr>
              <w:spacing w:before="40" w:after="40"/>
              <w:ind w:left="100" w:right="100"/>
              <w:jc w:val="right"/>
            </w:pPr>
            <w:r>
              <w:rPr>
                <w:rFonts w:eastAsia="Arial" w:cs="Arial"/>
                <w:color w:val="111111"/>
              </w:rPr>
              <w:t>8.04</w:t>
            </w:r>
          </w:p>
        </w:tc>
        <w:tc>
          <w:tcPr>
            <w:tcW w:w="1617" w:type="dxa"/>
            <w:tcBorders>
              <w:top w:val="single" w:sz="8" w:space="0" w:color="000000"/>
              <w:bottom w:val="single" w:sz="8" w:space="0" w:color="000000"/>
            </w:tcBorders>
            <w:shd w:val="clear" w:color="auto" w:fill="FFFFFF"/>
            <w:vAlign w:val="center"/>
          </w:tcPr>
          <w:p w14:paraId="57A2C0CB" w14:textId="77777777" w:rsidR="000F7F6A" w:rsidRDefault="00952983">
            <w:pPr>
              <w:spacing w:before="40" w:after="40"/>
              <w:ind w:left="100" w:right="100"/>
              <w:jc w:val="right"/>
            </w:pPr>
            <w:r>
              <w:rPr>
                <w:rFonts w:eastAsia="Arial" w:cs="Arial"/>
                <w:color w:val="111111"/>
              </w:rPr>
              <w:t>5.47</w:t>
            </w:r>
          </w:p>
        </w:tc>
      </w:tr>
      <w:tr w:rsidR="000F7F6A" w14:paraId="1909B3BE" w14:textId="77777777">
        <w:trPr>
          <w:cantSplit/>
          <w:trHeight w:val="360"/>
        </w:trPr>
        <w:tc>
          <w:tcPr>
            <w:tcW w:w="2178" w:type="dxa"/>
            <w:tcBorders>
              <w:top w:val="single" w:sz="8" w:space="0" w:color="000000"/>
              <w:bottom w:val="single" w:sz="8" w:space="0" w:color="000000"/>
            </w:tcBorders>
            <w:shd w:val="clear" w:color="auto" w:fill="FFFFFF"/>
            <w:vAlign w:val="center"/>
          </w:tcPr>
          <w:p w14:paraId="1C9F3D4C" w14:textId="77777777" w:rsidR="000F7F6A" w:rsidRDefault="00952983">
            <w:pPr>
              <w:spacing w:before="40" w:after="40"/>
              <w:ind w:left="100" w:right="100"/>
              <w:jc w:val="left"/>
            </w:pPr>
            <w:proofErr w:type="gramStart"/>
            <w:r>
              <w:rPr>
                <w:rFonts w:eastAsia="Arial" w:cs="Arial"/>
                <w:b/>
                <w:color w:val="111111"/>
              </w:rPr>
              <w:t>CFR(</w:t>
            </w:r>
            <w:proofErr w:type="gramEnd"/>
            <w:r>
              <w:rPr>
                <w:rFonts w:eastAsia="Arial" w:cs="Arial"/>
                <w:b/>
                <w:color w:val="111111"/>
              </w:rPr>
              <w:t>1940-1954)</w:t>
            </w:r>
          </w:p>
        </w:tc>
        <w:tc>
          <w:tcPr>
            <w:tcW w:w="1614" w:type="dxa"/>
            <w:tcBorders>
              <w:top w:val="single" w:sz="8" w:space="0" w:color="000000"/>
              <w:bottom w:val="single" w:sz="8" w:space="0" w:color="000000"/>
            </w:tcBorders>
            <w:shd w:val="clear" w:color="auto" w:fill="FFFFFF"/>
            <w:vAlign w:val="center"/>
          </w:tcPr>
          <w:p w14:paraId="23FF43C2" w14:textId="77777777" w:rsidR="000F7F6A" w:rsidRDefault="00952983">
            <w:pPr>
              <w:spacing w:before="40" w:after="40"/>
              <w:ind w:left="100" w:right="100"/>
              <w:jc w:val="right"/>
            </w:pPr>
            <w:r>
              <w:rPr>
                <w:rFonts w:eastAsia="Arial" w:cs="Arial"/>
                <w:color w:val="111111"/>
              </w:rPr>
              <w:t>4.61</w:t>
            </w:r>
          </w:p>
        </w:tc>
        <w:tc>
          <w:tcPr>
            <w:tcW w:w="1615" w:type="dxa"/>
            <w:tcBorders>
              <w:top w:val="single" w:sz="8" w:space="0" w:color="000000"/>
              <w:bottom w:val="single" w:sz="8" w:space="0" w:color="000000"/>
            </w:tcBorders>
            <w:shd w:val="clear" w:color="auto" w:fill="FFFFFF"/>
            <w:vAlign w:val="center"/>
          </w:tcPr>
          <w:p w14:paraId="12D73755" w14:textId="77777777" w:rsidR="000F7F6A" w:rsidRDefault="00952983">
            <w:pPr>
              <w:spacing w:before="40" w:after="40"/>
              <w:ind w:left="100" w:right="100"/>
              <w:jc w:val="right"/>
            </w:pPr>
            <w:r>
              <w:rPr>
                <w:rFonts w:eastAsia="Arial" w:cs="Arial"/>
                <w:color w:val="111111"/>
              </w:rPr>
              <w:t>4.66</w:t>
            </w:r>
          </w:p>
        </w:tc>
        <w:tc>
          <w:tcPr>
            <w:tcW w:w="1616" w:type="dxa"/>
            <w:tcBorders>
              <w:top w:val="single" w:sz="8" w:space="0" w:color="000000"/>
              <w:bottom w:val="single" w:sz="8" w:space="0" w:color="000000"/>
            </w:tcBorders>
            <w:shd w:val="clear" w:color="auto" w:fill="FFFFFF"/>
            <w:vAlign w:val="center"/>
          </w:tcPr>
          <w:p w14:paraId="657260CA" w14:textId="77777777" w:rsidR="000F7F6A" w:rsidRDefault="00952983">
            <w:pPr>
              <w:spacing w:before="40" w:after="40"/>
              <w:ind w:left="100" w:right="100"/>
              <w:jc w:val="right"/>
            </w:pPr>
            <w:r>
              <w:rPr>
                <w:rFonts w:eastAsia="Arial" w:cs="Arial"/>
                <w:color w:val="111111"/>
              </w:rPr>
              <w:t>6.25</w:t>
            </w:r>
          </w:p>
        </w:tc>
        <w:tc>
          <w:tcPr>
            <w:tcW w:w="1617" w:type="dxa"/>
            <w:tcBorders>
              <w:top w:val="single" w:sz="8" w:space="0" w:color="000000"/>
              <w:bottom w:val="single" w:sz="8" w:space="0" w:color="000000"/>
            </w:tcBorders>
            <w:shd w:val="clear" w:color="auto" w:fill="FFFFFF"/>
            <w:vAlign w:val="center"/>
          </w:tcPr>
          <w:p w14:paraId="6FF805F6" w14:textId="77777777" w:rsidR="000F7F6A" w:rsidRDefault="00952983">
            <w:pPr>
              <w:spacing w:before="40" w:after="40"/>
              <w:ind w:left="100" w:right="100"/>
              <w:jc w:val="right"/>
            </w:pPr>
            <w:r>
              <w:rPr>
                <w:rFonts w:eastAsia="Arial" w:cs="Arial"/>
                <w:color w:val="111111"/>
              </w:rPr>
              <w:t>3.84</w:t>
            </w:r>
          </w:p>
        </w:tc>
      </w:tr>
      <w:tr w:rsidR="000F7F6A" w14:paraId="2053F48E" w14:textId="77777777">
        <w:trPr>
          <w:cantSplit/>
          <w:trHeight w:val="360"/>
        </w:trPr>
        <w:tc>
          <w:tcPr>
            <w:tcW w:w="2178" w:type="dxa"/>
            <w:tcBorders>
              <w:top w:val="single" w:sz="8" w:space="0" w:color="000000"/>
              <w:bottom w:val="single" w:sz="8" w:space="0" w:color="000000"/>
            </w:tcBorders>
            <w:shd w:val="clear" w:color="auto" w:fill="FFFFFF"/>
            <w:vAlign w:val="center"/>
          </w:tcPr>
          <w:p w14:paraId="24413FCA" w14:textId="77777777" w:rsidR="000F7F6A" w:rsidRDefault="00952983">
            <w:pPr>
              <w:spacing w:before="40" w:after="40"/>
              <w:ind w:left="100" w:right="100"/>
              <w:jc w:val="left"/>
            </w:pPr>
            <w:proofErr w:type="gramStart"/>
            <w:r>
              <w:rPr>
                <w:rFonts w:eastAsia="Arial" w:cs="Arial"/>
                <w:b/>
                <w:color w:val="111111"/>
              </w:rPr>
              <w:t>CFR(</w:t>
            </w:r>
            <w:proofErr w:type="gramEnd"/>
            <w:r>
              <w:rPr>
                <w:rFonts w:eastAsia="Arial" w:cs="Arial"/>
                <w:b/>
                <w:color w:val="111111"/>
              </w:rPr>
              <w:t>1955-1969)</w:t>
            </w:r>
          </w:p>
        </w:tc>
        <w:tc>
          <w:tcPr>
            <w:tcW w:w="1614" w:type="dxa"/>
            <w:tcBorders>
              <w:top w:val="single" w:sz="8" w:space="0" w:color="000000"/>
              <w:bottom w:val="single" w:sz="8" w:space="0" w:color="000000"/>
            </w:tcBorders>
            <w:shd w:val="clear" w:color="auto" w:fill="FFFFFF"/>
            <w:vAlign w:val="center"/>
          </w:tcPr>
          <w:p w14:paraId="7638F1F6" w14:textId="77777777" w:rsidR="000F7F6A" w:rsidRDefault="00952983">
            <w:pPr>
              <w:spacing w:before="40" w:after="40"/>
              <w:ind w:left="100" w:right="100"/>
              <w:jc w:val="right"/>
            </w:pPr>
            <w:r>
              <w:rPr>
                <w:rFonts w:eastAsia="Arial" w:cs="Arial"/>
                <w:color w:val="111111"/>
              </w:rPr>
              <w:t>2.94</w:t>
            </w:r>
          </w:p>
        </w:tc>
        <w:tc>
          <w:tcPr>
            <w:tcW w:w="1615" w:type="dxa"/>
            <w:tcBorders>
              <w:top w:val="single" w:sz="8" w:space="0" w:color="000000"/>
              <w:bottom w:val="single" w:sz="8" w:space="0" w:color="000000"/>
            </w:tcBorders>
            <w:shd w:val="clear" w:color="auto" w:fill="FFFFFF"/>
            <w:vAlign w:val="center"/>
          </w:tcPr>
          <w:p w14:paraId="01A75272" w14:textId="77777777" w:rsidR="000F7F6A" w:rsidRDefault="00952983">
            <w:pPr>
              <w:spacing w:before="40" w:after="40"/>
              <w:ind w:left="100" w:right="100"/>
              <w:jc w:val="right"/>
            </w:pPr>
            <w:r>
              <w:rPr>
                <w:rFonts w:eastAsia="Arial" w:cs="Arial"/>
                <w:color w:val="111111"/>
              </w:rPr>
              <w:t>2.86</w:t>
            </w:r>
          </w:p>
        </w:tc>
        <w:tc>
          <w:tcPr>
            <w:tcW w:w="1616" w:type="dxa"/>
            <w:tcBorders>
              <w:top w:val="single" w:sz="8" w:space="0" w:color="000000"/>
              <w:bottom w:val="single" w:sz="8" w:space="0" w:color="000000"/>
            </w:tcBorders>
            <w:shd w:val="clear" w:color="auto" w:fill="FFFFFF"/>
            <w:vAlign w:val="center"/>
          </w:tcPr>
          <w:p w14:paraId="0B129E6F" w14:textId="77777777" w:rsidR="000F7F6A" w:rsidRDefault="00952983">
            <w:pPr>
              <w:spacing w:before="40" w:after="40"/>
              <w:ind w:left="100" w:right="100"/>
              <w:jc w:val="right"/>
            </w:pPr>
            <w:r>
              <w:rPr>
                <w:rFonts w:eastAsia="Arial" w:cs="Arial"/>
                <w:color w:val="111111"/>
              </w:rPr>
              <w:t>3.79</w:t>
            </w:r>
          </w:p>
        </w:tc>
        <w:tc>
          <w:tcPr>
            <w:tcW w:w="1617" w:type="dxa"/>
            <w:tcBorders>
              <w:top w:val="single" w:sz="8" w:space="0" w:color="000000"/>
              <w:bottom w:val="single" w:sz="8" w:space="0" w:color="000000"/>
            </w:tcBorders>
            <w:shd w:val="clear" w:color="auto" w:fill="FFFFFF"/>
            <w:vAlign w:val="center"/>
          </w:tcPr>
          <w:p w14:paraId="6454B295" w14:textId="77777777" w:rsidR="000F7F6A" w:rsidRDefault="00952983">
            <w:pPr>
              <w:spacing w:before="40" w:after="40"/>
              <w:ind w:left="100" w:right="100"/>
              <w:jc w:val="right"/>
            </w:pPr>
            <w:r>
              <w:rPr>
                <w:rFonts w:eastAsia="Arial" w:cs="Arial"/>
                <w:color w:val="111111"/>
              </w:rPr>
              <w:t>2.55</w:t>
            </w:r>
          </w:p>
        </w:tc>
      </w:tr>
      <w:tr w:rsidR="000F7F6A" w14:paraId="56F6FBB6" w14:textId="77777777">
        <w:trPr>
          <w:cantSplit/>
          <w:trHeight w:val="360"/>
        </w:trPr>
        <w:tc>
          <w:tcPr>
            <w:tcW w:w="2178" w:type="dxa"/>
            <w:tcBorders>
              <w:top w:val="single" w:sz="8" w:space="0" w:color="000000"/>
              <w:bottom w:val="single" w:sz="16" w:space="0" w:color="000000"/>
            </w:tcBorders>
            <w:shd w:val="clear" w:color="auto" w:fill="FFFFFF"/>
            <w:vAlign w:val="center"/>
          </w:tcPr>
          <w:p w14:paraId="4FD9B577" w14:textId="77777777" w:rsidR="000F7F6A" w:rsidRDefault="00952983">
            <w:pPr>
              <w:spacing w:before="40" w:after="40"/>
              <w:ind w:left="100" w:right="100"/>
              <w:jc w:val="right"/>
            </w:pPr>
            <w:proofErr w:type="gramStart"/>
            <w:r>
              <w:rPr>
                <w:rFonts w:eastAsia="Arial" w:cs="Arial"/>
                <w:color w:val="111111"/>
              </w:rPr>
              <w:t>CFR(</w:t>
            </w:r>
            <w:proofErr w:type="gramEnd"/>
            <w:r>
              <w:rPr>
                <w:rFonts w:eastAsia="Arial" w:cs="Arial"/>
                <w:color w:val="111111"/>
              </w:rPr>
              <w:t>1925-1939) - CFR(1940-1954)</w:t>
            </w:r>
          </w:p>
        </w:tc>
        <w:tc>
          <w:tcPr>
            <w:tcW w:w="1614" w:type="dxa"/>
            <w:tcBorders>
              <w:top w:val="single" w:sz="8" w:space="0" w:color="000000"/>
              <w:bottom w:val="single" w:sz="16" w:space="0" w:color="000000"/>
            </w:tcBorders>
            <w:shd w:val="clear" w:color="auto" w:fill="FFFFFF"/>
            <w:vAlign w:val="center"/>
          </w:tcPr>
          <w:p w14:paraId="6E1373D0" w14:textId="77777777" w:rsidR="000F7F6A" w:rsidRDefault="00952983">
            <w:pPr>
              <w:spacing w:before="40" w:after="40"/>
              <w:ind w:left="100" w:right="100"/>
              <w:jc w:val="right"/>
            </w:pPr>
            <w:r>
              <w:rPr>
                <w:rFonts w:eastAsia="Arial" w:cs="Arial"/>
                <w:color w:val="111111"/>
              </w:rPr>
              <w:t>1.69 (100.00%)</w:t>
            </w:r>
          </w:p>
        </w:tc>
        <w:tc>
          <w:tcPr>
            <w:tcW w:w="1615" w:type="dxa"/>
            <w:tcBorders>
              <w:top w:val="single" w:sz="8" w:space="0" w:color="000000"/>
              <w:bottom w:val="single" w:sz="16" w:space="0" w:color="000000"/>
            </w:tcBorders>
            <w:shd w:val="clear" w:color="auto" w:fill="FFFFFF"/>
            <w:vAlign w:val="center"/>
          </w:tcPr>
          <w:p w14:paraId="7B4EEDBE" w14:textId="77777777" w:rsidR="000F7F6A" w:rsidRDefault="00952983">
            <w:pPr>
              <w:spacing w:before="40" w:after="40"/>
              <w:ind w:left="100" w:right="100"/>
              <w:jc w:val="right"/>
            </w:pPr>
            <w:r>
              <w:rPr>
                <w:rFonts w:eastAsia="Arial" w:cs="Arial"/>
                <w:color w:val="111111"/>
              </w:rPr>
              <w:t>2.06 (100.00%)</w:t>
            </w:r>
          </w:p>
        </w:tc>
        <w:tc>
          <w:tcPr>
            <w:tcW w:w="1616" w:type="dxa"/>
            <w:tcBorders>
              <w:top w:val="single" w:sz="8" w:space="0" w:color="000000"/>
              <w:bottom w:val="single" w:sz="16" w:space="0" w:color="000000"/>
            </w:tcBorders>
            <w:shd w:val="clear" w:color="auto" w:fill="FFFFFF"/>
            <w:vAlign w:val="center"/>
          </w:tcPr>
          <w:p w14:paraId="1E03838B" w14:textId="77777777" w:rsidR="000F7F6A" w:rsidRDefault="00952983">
            <w:pPr>
              <w:spacing w:before="40" w:after="40"/>
              <w:ind w:left="100" w:right="100"/>
              <w:jc w:val="right"/>
            </w:pPr>
            <w:r>
              <w:rPr>
                <w:rFonts w:eastAsia="Arial" w:cs="Arial"/>
                <w:color w:val="111111"/>
              </w:rPr>
              <w:t>1.79 (100.00%)</w:t>
            </w:r>
          </w:p>
        </w:tc>
        <w:tc>
          <w:tcPr>
            <w:tcW w:w="1617" w:type="dxa"/>
            <w:tcBorders>
              <w:top w:val="single" w:sz="8" w:space="0" w:color="000000"/>
              <w:bottom w:val="single" w:sz="16" w:space="0" w:color="000000"/>
            </w:tcBorders>
            <w:shd w:val="clear" w:color="auto" w:fill="FFFFFF"/>
            <w:vAlign w:val="center"/>
          </w:tcPr>
          <w:p w14:paraId="07DA262B" w14:textId="77777777" w:rsidR="000F7F6A" w:rsidRDefault="00952983">
            <w:pPr>
              <w:spacing w:before="40" w:after="40"/>
              <w:ind w:left="100" w:right="100"/>
              <w:jc w:val="right"/>
            </w:pPr>
            <w:r>
              <w:rPr>
                <w:rFonts w:eastAsia="Arial" w:cs="Arial"/>
                <w:color w:val="111111"/>
              </w:rPr>
              <w:t>1.63 (100.00%)</w:t>
            </w:r>
          </w:p>
        </w:tc>
      </w:tr>
      <w:tr w:rsidR="000F7F6A" w14:paraId="51CA2731" w14:textId="77777777">
        <w:trPr>
          <w:cantSplit/>
          <w:trHeight w:val="360"/>
        </w:trPr>
        <w:tc>
          <w:tcPr>
            <w:tcW w:w="2178" w:type="dxa"/>
            <w:tcBorders>
              <w:top w:val="single" w:sz="8" w:space="0" w:color="000000"/>
              <w:bottom w:val="single" w:sz="8" w:space="0" w:color="000000"/>
            </w:tcBorders>
            <w:shd w:val="clear" w:color="auto" w:fill="FFFFFF"/>
            <w:vAlign w:val="center"/>
          </w:tcPr>
          <w:p w14:paraId="5C2368E1" w14:textId="77777777" w:rsidR="000F7F6A" w:rsidRDefault="00952983">
            <w:pPr>
              <w:spacing w:before="40" w:after="40"/>
              <w:ind w:left="100" w:right="100"/>
              <w:jc w:val="right"/>
            </w:pPr>
            <w:r>
              <w:rPr>
                <w:rFonts w:eastAsia="Arial" w:cs="Arial"/>
                <w:color w:val="111111"/>
              </w:rPr>
              <w:t>CFR Effect</w:t>
            </w:r>
          </w:p>
        </w:tc>
        <w:tc>
          <w:tcPr>
            <w:tcW w:w="1614" w:type="dxa"/>
            <w:tcBorders>
              <w:top w:val="single" w:sz="8" w:space="0" w:color="000000"/>
              <w:bottom w:val="single" w:sz="8" w:space="0" w:color="000000"/>
            </w:tcBorders>
            <w:shd w:val="clear" w:color="auto" w:fill="FFFFFF"/>
            <w:vAlign w:val="center"/>
          </w:tcPr>
          <w:p w14:paraId="557B71EE" w14:textId="77777777" w:rsidR="000F7F6A" w:rsidRDefault="00952983">
            <w:pPr>
              <w:spacing w:before="40" w:after="40"/>
              <w:ind w:left="100" w:right="100"/>
              <w:jc w:val="right"/>
            </w:pPr>
            <w:r>
              <w:rPr>
                <w:rFonts w:eastAsia="Arial" w:cs="Arial"/>
                <w:color w:val="111111"/>
              </w:rPr>
              <w:t>1.17 (69.23%)</w:t>
            </w:r>
          </w:p>
        </w:tc>
        <w:tc>
          <w:tcPr>
            <w:tcW w:w="1615" w:type="dxa"/>
            <w:tcBorders>
              <w:top w:val="single" w:sz="8" w:space="0" w:color="000000"/>
              <w:bottom w:val="single" w:sz="8" w:space="0" w:color="000000"/>
            </w:tcBorders>
            <w:shd w:val="clear" w:color="auto" w:fill="FFFFFF"/>
            <w:vAlign w:val="center"/>
          </w:tcPr>
          <w:p w14:paraId="7BCE8A67" w14:textId="77777777" w:rsidR="000F7F6A" w:rsidRDefault="00952983">
            <w:pPr>
              <w:spacing w:before="40" w:after="40"/>
              <w:ind w:left="100" w:right="100"/>
              <w:jc w:val="right"/>
            </w:pPr>
            <w:r>
              <w:rPr>
                <w:rFonts w:eastAsia="Arial" w:cs="Arial"/>
                <w:color w:val="111111"/>
              </w:rPr>
              <w:t>1.52 (73.79%)</w:t>
            </w:r>
          </w:p>
        </w:tc>
        <w:tc>
          <w:tcPr>
            <w:tcW w:w="1616" w:type="dxa"/>
            <w:tcBorders>
              <w:top w:val="single" w:sz="8" w:space="0" w:color="000000"/>
              <w:bottom w:val="single" w:sz="8" w:space="0" w:color="000000"/>
            </w:tcBorders>
            <w:shd w:val="clear" w:color="auto" w:fill="FFFFFF"/>
            <w:vAlign w:val="center"/>
          </w:tcPr>
          <w:p w14:paraId="3DA0948B" w14:textId="77777777" w:rsidR="000F7F6A" w:rsidRDefault="00952983">
            <w:pPr>
              <w:spacing w:before="40" w:after="40"/>
              <w:ind w:left="100" w:right="100"/>
              <w:jc w:val="right"/>
            </w:pPr>
            <w:r>
              <w:rPr>
                <w:rFonts w:eastAsia="Arial" w:cs="Arial"/>
                <w:color w:val="111111"/>
              </w:rPr>
              <w:t>1.29 (72.07%)</w:t>
            </w:r>
          </w:p>
        </w:tc>
        <w:tc>
          <w:tcPr>
            <w:tcW w:w="1617" w:type="dxa"/>
            <w:tcBorders>
              <w:top w:val="single" w:sz="8" w:space="0" w:color="000000"/>
              <w:bottom w:val="single" w:sz="8" w:space="0" w:color="000000"/>
            </w:tcBorders>
            <w:shd w:val="clear" w:color="auto" w:fill="FFFFFF"/>
            <w:vAlign w:val="center"/>
          </w:tcPr>
          <w:p w14:paraId="546F6D8A" w14:textId="77777777" w:rsidR="000F7F6A" w:rsidRDefault="00952983">
            <w:pPr>
              <w:spacing w:before="40" w:after="40"/>
              <w:ind w:left="100" w:right="100"/>
              <w:jc w:val="right"/>
            </w:pPr>
            <w:r>
              <w:rPr>
                <w:rFonts w:eastAsia="Arial" w:cs="Arial"/>
                <w:color w:val="111111"/>
              </w:rPr>
              <w:t>1.19 (73.01%)</w:t>
            </w:r>
          </w:p>
        </w:tc>
      </w:tr>
      <w:tr w:rsidR="000F7F6A" w14:paraId="46B84746" w14:textId="77777777">
        <w:trPr>
          <w:cantSplit/>
          <w:trHeight w:val="360"/>
        </w:trPr>
        <w:tc>
          <w:tcPr>
            <w:tcW w:w="2178" w:type="dxa"/>
            <w:tcBorders>
              <w:top w:val="single" w:sz="8" w:space="0" w:color="000000"/>
              <w:bottom w:val="single" w:sz="8" w:space="0" w:color="000000"/>
            </w:tcBorders>
            <w:shd w:val="clear" w:color="auto" w:fill="FFFFFF"/>
            <w:vAlign w:val="center"/>
          </w:tcPr>
          <w:p w14:paraId="534E5765" w14:textId="77777777" w:rsidR="000F7F6A" w:rsidRDefault="00952983">
            <w:pPr>
              <w:spacing w:before="40" w:after="40"/>
              <w:ind w:left="100" w:right="100"/>
              <w:jc w:val="left"/>
            </w:pPr>
            <w:r>
              <w:rPr>
                <w:rFonts w:eastAsia="Arial" w:cs="Arial"/>
                <w:b/>
                <w:color w:val="111111"/>
              </w:rPr>
              <w:t>Pairing Composition Effect</w:t>
            </w:r>
          </w:p>
        </w:tc>
        <w:tc>
          <w:tcPr>
            <w:tcW w:w="1614" w:type="dxa"/>
            <w:tcBorders>
              <w:top w:val="single" w:sz="8" w:space="0" w:color="000000"/>
              <w:bottom w:val="single" w:sz="8" w:space="0" w:color="000000"/>
            </w:tcBorders>
            <w:shd w:val="clear" w:color="auto" w:fill="FFFFFF"/>
            <w:vAlign w:val="center"/>
          </w:tcPr>
          <w:p w14:paraId="7F7B9A4D" w14:textId="77777777" w:rsidR="000F7F6A" w:rsidRDefault="00952983">
            <w:pPr>
              <w:spacing w:before="40" w:after="40"/>
              <w:ind w:left="100" w:right="100"/>
              <w:jc w:val="right"/>
            </w:pPr>
            <w:r>
              <w:rPr>
                <w:rFonts w:eastAsia="Arial" w:cs="Arial"/>
                <w:color w:val="111111"/>
              </w:rPr>
              <w:t>0.52 (30.77%)</w:t>
            </w:r>
          </w:p>
        </w:tc>
        <w:tc>
          <w:tcPr>
            <w:tcW w:w="1615" w:type="dxa"/>
            <w:tcBorders>
              <w:top w:val="single" w:sz="8" w:space="0" w:color="000000"/>
              <w:bottom w:val="single" w:sz="8" w:space="0" w:color="000000"/>
            </w:tcBorders>
            <w:shd w:val="clear" w:color="auto" w:fill="FFFFFF"/>
            <w:vAlign w:val="center"/>
          </w:tcPr>
          <w:p w14:paraId="43DB694B" w14:textId="77777777" w:rsidR="000F7F6A" w:rsidRDefault="00952983">
            <w:pPr>
              <w:spacing w:before="40" w:after="40"/>
              <w:ind w:left="100" w:right="100"/>
              <w:jc w:val="right"/>
            </w:pPr>
            <w:r>
              <w:rPr>
                <w:rFonts w:eastAsia="Arial" w:cs="Arial"/>
                <w:color w:val="111111"/>
              </w:rPr>
              <w:t>0.53 (25.73%)</w:t>
            </w:r>
          </w:p>
        </w:tc>
        <w:tc>
          <w:tcPr>
            <w:tcW w:w="1616" w:type="dxa"/>
            <w:tcBorders>
              <w:top w:val="single" w:sz="8" w:space="0" w:color="000000"/>
              <w:bottom w:val="single" w:sz="8" w:space="0" w:color="000000"/>
            </w:tcBorders>
            <w:shd w:val="clear" w:color="auto" w:fill="FFFFFF"/>
            <w:vAlign w:val="center"/>
          </w:tcPr>
          <w:p w14:paraId="53633CAF" w14:textId="77777777" w:rsidR="000F7F6A" w:rsidRDefault="00952983">
            <w:pPr>
              <w:spacing w:before="40" w:after="40"/>
              <w:ind w:left="100" w:right="100"/>
              <w:jc w:val="right"/>
            </w:pPr>
            <w:r>
              <w:rPr>
                <w:rFonts w:eastAsia="Arial" w:cs="Arial"/>
                <w:color w:val="111111"/>
              </w:rPr>
              <w:t>0.5 (27.93%)</w:t>
            </w:r>
          </w:p>
        </w:tc>
        <w:tc>
          <w:tcPr>
            <w:tcW w:w="1617" w:type="dxa"/>
            <w:tcBorders>
              <w:top w:val="single" w:sz="8" w:space="0" w:color="000000"/>
              <w:bottom w:val="single" w:sz="8" w:space="0" w:color="000000"/>
            </w:tcBorders>
            <w:shd w:val="clear" w:color="auto" w:fill="FFFFFF"/>
            <w:vAlign w:val="center"/>
          </w:tcPr>
          <w:p w14:paraId="211BE8A2" w14:textId="77777777" w:rsidR="000F7F6A" w:rsidRDefault="00952983">
            <w:pPr>
              <w:spacing w:before="40" w:after="40"/>
              <w:ind w:left="100" w:right="100"/>
              <w:jc w:val="right"/>
            </w:pPr>
            <w:r>
              <w:rPr>
                <w:rFonts w:eastAsia="Arial" w:cs="Arial"/>
                <w:color w:val="111111"/>
              </w:rPr>
              <w:t>0.44 (26.99%)</w:t>
            </w:r>
          </w:p>
        </w:tc>
      </w:tr>
      <w:tr w:rsidR="000F7F6A" w14:paraId="4740206D" w14:textId="77777777">
        <w:trPr>
          <w:cantSplit/>
          <w:trHeight w:val="360"/>
        </w:trPr>
        <w:tc>
          <w:tcPr>
            <w:tcW w:w="2178" w:type="dxa"/>
            <w:tcBorders>
              <w:top w:val="single" w:sz="8" w:space="0" w:color="000000"/>
              <w:bottom w:val="single" w:sz="16" w:space="0" w:color="000000"/>
            </w:tcBorders>
            <w:shd w:val="clear" w:color="auto" w:fill="FFFFFF"/>
            <w:vAlign w:val="center"/>
          </w:tcPr>
          <w:p w14:paraId="269319A7" w14:textId="77777777" w:rsidR="000F7F6A" w:rsidRDefault="00952983">
            <w:pPr>
              <w:spacing w:before="40" w:after="40"/>
              <w:ind w:left="100" w:right="100"/>
              <w:jc w:val="right"/>
            </w:pPr>
            <w:proofErr w:type="gramStart"/>
            <w:r>
              <w:rPr>
                <w:rFonts w:eastAsia="Arial" w:cs="Arial"/>
                <w:color w:val="111111"/>
              </w:rPr>
              <w:lastRenderedPageBreak/>
              <w:t>CFR(</w:t>
            </w:r>
            <w:proofErr w:type="gramEnd"/>
            <w:r>
              <w:rPr>
                <w:rFonts w:eastAsia="Arial" w:cs="Arial"/>
                <w:color w:val="111111"/>
              </w:rPr>
              <w:t>1925-1939) - CFR(1955-1969)</w:t>
            </w:r>
          </w:p>
        </w:tc>
        <w:tc>
          <w:tcPr>
            <w:tcW w:w="1614" w:type="dxa"/>
            <w:tcBorders>
              <w:top w:val="single" w:sz="8" w:space="0" w:color="000000"/>
              <w:bottom w:val="single" w:sz="16" w:space="0" w:color="000000"/>
            </w:tcBorders>
            <w:shd w:val="clear" w:color="auto" w:fill="FFFFFF"/>
            <w:vAlign w:val="center"/>
          </w:tcPr>
          <w:p w14:paraId="744BF19C" w14:textId="77777777" w:rsidR="000F7F6A" w:rsidRDefault="00952983">
            <w:pPr>
              <w:spacing w:before="40" w:after="40"/>
              <w:ind w:left="100" w:right="100"/>
              <w:jc w:val="right"/>
            </w:pPr>
            <w:r>
              <w:rPr>
                <w:rFonts w:eastAsia="Arial" w:cs="Arial"/>
                <w:color w:val="111111"/>
              </w:rPr>
              <w:t>3.36 (100.00%)</w:t>
            </w:r>
          </w:p>
        </w:tc>
        <w:tc>
          <w:tcPr>
            <w:tcW w:w="1615" w:type="dxa"/>
            <w:tcBorders>
              <w:top w:val="single" w:sz="8" w:space="0" w:color="000000"/>
              <w:bottom w:val="single" w:sz="16" w:space="0" w:color="000000"/>
            </w:tcBorders>
            <w:shd w:val="clear" w:color="auto" w:fill="FFFFFF"/>
            <w:vAlign w:val="center"/>
          </w:tcPr>
          <w:p w14:paraId="2080D4A0" w14:textId="77777777" w:rsidR="000F7F6A" w:rsidRDefault="00952983">
            <w:pPr>
              <w:spacing w:before="40" w:after="40"/>
              <w:ind w:left="100" w:right="100"/>
              <w:jc w:val="right"/>
            </w:pPr>
            <w:r>
              <w:rPr>
                <w:rFonts w:eastAsia="Arial" w:cs="Arial"/>
                <w:color w:val="111111"/>
              </w:rPr>
              <w:t>3.86 (100.00%)</w:t>
            </w:r>
          </w:p>
        </w:tc>
        <w:tc>
          <w:tcPr>
            <w:tcW w:w="1616" w:type="dxa"/>
            <w:tcBorders>
              <w:top w:val="single" w:sz="8" w:space="0" w:color="000000"/>
              <w:bottom w:val="single" w:sz="16" w:space="0" w:color="000000"/>
            </w:tcBorders>
            <w:shd w:val="clear" w:color="auto" w:fill="FFFFFF"/>
            <w:vAlign w:val="center"/>
          </w:tcPr>
          <w:p w14:paraId="0969C7C8" w14:textId="77777777" w:rsidR="000F7F6A" w:rsidRDefault="00952983">
            <w:pPr>
              <w:spacing w:before="40" w:after="40"/>
              <w:ind w:left="100" w:right="100"/>
              <w:jc w:val="right"/>
            </w:pPr>
            <w:r>
              <w:rPr>
                <w:rFonts w:eastAsia="Arial" w:cs="Arial"/>
                <w:color w:val="111111"/>
              </w:rPr>
              <w:t>4.25 (100.00%)</w:t>
            </w:r>
          </w:p>
        </w:tc>
        <w:tc>
          <w:tcPr>
            <w:tcW w:w="1617" w:type="dxa"/>
            <w:tcBorders>
              <w:top w:val="single" w:sz="8" w:space="0" w:color="000000"/>
              <w:bottom w:val="single" w:sz="16" w:space="0" w:color="000000"/>
            </w:tcBorders>
            <w:shd w:val="clear" w:color="auto" w:fill="FFFFFF"/>
            <w:vAlign w:val="center"/>
          </w:tcPr>
          <w:p w14:paraId="3A220C56" w14:textId="77777777" w:rsidR="000F7F6A" w:rsidRDefault="00952983">
            <w:pPr>
              <w:spacing w:before="40" w:after="40"/>
              <w:ind w:left="100" w:right="100"/>
              <w:jc w:val="right"/>
            </w:pPr>
            <w:r>
              <w:rPr>
                <w:rFonts w:eastAsia="Arial" w:cs="Arial"/>
                <w:color w:val="111111"/>
              </w:rPr>
              <w:t>2.92 (100.00%)</w:t>
            </w:r>
          </w:p>
        </w:tc>
      </w:tr>
      <w:tr w:rsidR="000F7F6A" w14:paraId="440880C2" w14:textId="77777777">
        <w:trPr>
          <w:cantSplit/>
          <w:trHeight w:val="360"/>
        </w:trPr>
        <w:tc>
          <w:tcPr>
            <w:tcW w:w="2178" w:type="dxa"/>
            <w:tcBorders>
              <w:top w:val="single" w:sz="8" w:space="0" w:color="000000"/>
              <w:bottom w:val="single" w:sz="8" w:space="0" w:color="000000"/>
            </w:tcBorders>
            <w:shd w:val="clear" w:color="auto" w:fill="FFFFFF"/>
            <w:vAlign w:val="center"/>
          </w:tcPr>
          <w:p w14:paraId="0228BFA2" w14:textId="77777777" w:rsidR="000F7F6A" w:rsidRDefault="00952983">
            <w:pPr>
              <w:spacing w:before="40" w:after="40"/>
              <w:ind w:left="100" w:right="100"/>
              <w:jc w:val="right"/>
            </w:pPr>
            <w:r>
              <w:rPr>
                <w:rFonts w:eastAsia="Arial" w:cs="Arial"/>
                <w:color w:val="111111"/>
              </w:rPr>
              <w:t>CFR Effect</w:t>
            </w:r>
          </w:p>
        </w:tc>
        <w:tc>
          <w:tcPr>
            <w:tcW w:w="1614" w:type="dxa"/>
            <w:tcBorders>
              <w:top w:val="single" w:sz="8" w:space="0" w:color="000000"/>
              <w:bottom w:val="single" w:sz="8" w:space="0" w:color="000000"/>
            </w:tcBorders>
            <w:shd w:val="clear" w:color="auto" w:fill="FFFFFF"/>
            <w:vAlign w:val="center"/>
          </w:tcPr>
          <w:p w14:paraId="704C48A5" w14:textId="77777777" w:rsidR="000F7F6A" w:rsidRDefault="00952983">
            <w:pPr>
              <w:spacing w:before="40" w:after="40"/>
              <w:ind w:left="100" w:right="100"/>
              <w:jc w:val="right"/>
            </w:pPr>
            <w:r>
              <w:rPr>
                <w:rFonts w:eastAsia="Arial" w:cs="Arial"/>
                <w:color w:val="111111"/>
              </w:rPr>
              <w:t>2.35 (69.94%)</w:t>
            </w:r>
          </w:p>
        </w:tc>
        <w:tc>
          <w:tcPr>
            <w:tcW w:w="1615" w:type="dxa"/>
            <w:tcBorders>
              <w:top w:val="single" w:sz="8" w:space="0" w:color="000000"/>
              <w:bottom w:val="single" w:sz="8" w:space="0" w:color="000000"/>
            </w:tcBorders>
            <w:shd w:val="clear" w:color="auto" w:fill="FFFFFF"/>
            <w:vAlign w:val="center"/>
          </w:tcPr>
          <w:p w14:paraId="398BD4E2" w14:textId="77777777" w:rsidR="000F7F6A" w:rsidRDefault="00952983">
            <w:pPr>
              <w:spacing w:before="40" w:after="40"/>
              <w:ind w:left="100" w:right="100"/>
              <w:jc w:val="right"/>
            </w:pPr>
            <w:r>
              <w:rPr>
                <w:rFonts w:eastAsia="Arial" w:cs="Arial"/>
                <w:color w:val="111111"/>
              </w:rPr>
              <w:t>2.9 (75.13%)</w:t>
            </w:r>
          </w:p>
        </w:tc>
        <w:tc>
          <w:tcPr>
            <w:tcW w:w="1616" w:type="dxa"/>
            <w:tcBorders>
              <w:top w:val="single" w:sz="8" w:space="0" w:color="000000"/>
              <w:bottom w:val="single" w:sz="8" w:space="0" w:color="000000"/>
            </w:tcBorders>
            <w:shd w:val="clear" w:color="auto" w:fill="FFFFFF"/>
            <w:vAlign w:val="center"/>
          </w:tcPr>
          <w:p w14:paraId="4472C515" w14:textId="77777777" w:rsidR="000F7F6A" w:rsidRDefault="00952983">
            <w:pPr>
              <w:spacing w:before="40" w:after="40"/>
              <w:ind w:left="100" w:right="100"/>
              <w:jc w:val="right"/>
            </w:pPr>
            <w:r>
              <w:rPr>
                <w:rFonts w:eastAsia="Arial" w:cs="Arial"/>
                <w:color w:val="111111"/>
              </w:rPr>
              <w:t>3.16 (74.35%)</w:t>
            </w:r>
          </w:p>
        </w:tc>
        <w:tc>
          <w:tcPr>
            <w:tcW w:w="1617" w:type="dxa"/>
            <w:tcBorders>
              <w:top w:val="single" w:sz="8" w:space="0" w:color="000000"/>
              <w:bottom w:val="single" w:sz="8" w:space="0" w:color="000000"/>
            </w:tcBorders>
            <w:shd w:val="clear" w:color="auto" w:fill="FFFFFF"/>
            <w:vAlign w:val="center"/>
          </w:tcPr>
          <w:p w14:paraId="01FF8E73" w14:textId="77777777" w:rsidR="000F7F6A" w:rsidRDefault="00952983">
            <w:pPr>
              <w:spacing w:before="40" w:after="40"/>
              <w:ind w:left="100" w:right="100"/>
              <w:jc w:val="right"/>
            </w:pPr>
            <w:r>
              <w:rPr>
                <w:rFonts w:eastAsia="Arial" w:cs="Arial"/>
                <w:color w:val="111111"/>
              </w:rPr>
              <w:t>2.11 (72.26%)</w:t>
            </w:r>
          </w:p>
        </w:tc>
      </w:tr>
      <w:tr w:rsidR="000F7F6A" w14:paraId="5DBCD859" w14:textId="77777777">
        <w:trPr>
          <w:cantSplit/>
          <w:trHeight w:val="360"/>
        </w:trPr>
        <w:tc>
          <w:tcPr>
            <w:tcW w:w="2178" w:type="dxa"/>
            <w:tcBorders>
              <w:top w:val="single" w:sz="8" w:space="0" w:color="000000"/>
              <w:bottom w:val="single" w:sz="8" w:space="0" w:color="000000"/>
            </w:tcBorders>
            <w:shd w:val="clear" w:color="auto" w:fill="FFFFFF"/>
            <w:vAlign w:val="center"/>
          </w:tcPr>
          <w:p w14:paraId="1540680D" w14:textId="77777777" w:rsidR="000F7F6A" w:rsidRDefault="00952983">
            <w:pPr>
              <w:spacing w:before="40" w:after="40"/>
              <w:ind w:left="100" w:right="100"/>
              <w:jc w:val="left"/>
            </w:pPr>
            <w:r>
              <w:rPr>
                <w:rFonts w:eastAsia="Arial" w:cs="Arial"/>
                <w:b/>
                <w:color w:val="111111"/>
              </w:rPr>
              <w:t>Pairing Composition Effect</w:t>
            </w:r>
          </w:p>
        </w:tc>
        <w:tc>
          <w:tcPr>
            <w:tcW w:w="1614" w:type="dxa"/>
            <w:tcBorders>
              <w:top w:val="single" w:sz="8" w:space="0" w:color="000000"/>
              <w:bottom w:val="single" w:sz="8" w:space="0" w:color="000000"/>
            </w:tcBorders>
            <w:shd w:val="clear" w:color="auto" w:fill="FFFFFF"/>
            <w:vAlign w:val="center"/>
          </w:tcPr>
          <w:p w14:paraId="62E46F78" w14:textId="77777777" w:rsidR="000F7F6A" w:rsidRDefault="00952983">
            <w:pPr>
              <w:spacing w:before="40" w:after="40"/>
              <w:ind w:left="100" w:right="100"/>
              <w:jc w:val="right"/>
            </w:pPr>
            <w:r>
              <w:rPr>
                <w:rFonts w:eastAsia="Arial" w:cs="Arial"/>
                <w:color w:val="111111"/>
              </w:rPr>
              <w:t>1.01 (30.06%)</w:t>
            </w:r>
          </w:p>
        </w:tc>
        <w:tc>
          <w:tcPr>
            <w:tcW w:w="1615" w:type="dxa"/>
            <w:tcBorders>
              <w:top w:val="single" w:sz="8" w:space="0" w:color="000000"/>
              <w:bottom w:val="single" w:sz="8" w:space="0" w:color="000000"/>
            </w:tcBorders>
            <w:shd w:val="clear" w:color="auto" w:fill="FFFFFF"/>
            <w:vAlign w:val="center"/>
          </w:tcPr>
          <w:p w14:paraId="709549FF" w14:textId="77777777" w:rsidR="000F7F6A" w:rsidRDefault="00952983">
            <w:pPr>
              <w:spacing w:before="40" w:after="40"/>
              <w:ind w:left="100" w:right="100"/>
              <w:jc w:val="right"/>
            </w:pPr>
            <w:r>
              <w:rPr>
                <w:rFonts w:eastAsia="Arial" w:cs="Arial"/>
                <w:color w:val="111111"/>
              </w:rPr>
              <w:t>0.96 (24.87%)</w:t>
            </w:r>
          </w:p>
        </w:tc>
        <w:tc>
          <w:tcPr>
            <w:tcW w:w="1616" w:type="dxa"/>
            <w:tcBorders>
              <w:top w:val="single" w:sz="8" w:space="0" w:color="000000"/>
              <w:bottom w:val="single" w:sz="8" w:space="0" w:color="000000"/>
            </w:tcBorders>
            <w:shd w:val="clear" w:color="auto" w:fill="FFFFFF"/>
            <w:vAlign w:val="center"/>
          </w:tcPr>
          <w:p w14:paraId="2A44C20F" w14:textId="77777777" w:rsidR="000F7F6A" w:rsidRDefault="00952983">
            <w:pPr>
              <w:spacing w:before="40" w:after="40"/>
              <w:ind w:left="100" w:right="100"/>
              <w:jc w:val="right"/>
            </w:pPr>
            <w:r>
              <w:rPr>
                <w:rFonts w:eastAsia="Arial" w:cs="Arial"/>
                <w:color w:val="111111"/>
              </w:rPr>
              <w:t>1.1 (25.88%)</w:t>
            </w:r>
          </w:p>
        </w:tc>
        <w:tc>
          <w:tcPr>
            <w:tcW w:w="1617" w:type="dxa"/>
            <w:tcBorders>
              <w:top w:val="single" w:sz="8" w:space="0" w:color="000000"/>
              <w:bottom w:val="single" w:sz="8" w:space="0" w:color="000000"/>
            </w:tcBorders>
            <w:shd w:val="clear" w:color="auto" w:fill="FFFFFF"/>
            <w:vAlign w:val="center"/>
          </w:tcPr>
          <w:p w14:paraId="2AD58E32" w14:textId="77777777" w:rsidR="000F7F6A" w:rsidRDefault="00952983">
            <w:pPr>
              <w:spacing w:before="40" w:after="40"/>
              <w:ind w:left="100" w:right="100"/>
              <w:jc w:val="right"/>
            </w:pPr>
            <w:r>
              <w:rPr>
                <w:rFonts w:eastAsia="Arial" w:cs="Arial"/>
                <w:color w:val="111111"/>
              </w:rPr>
              <w:t>0.81 (27.74%)</w:t>
            </w:r>
          </w:p>
        </w:tc>
      </w:tr>
      <w:tr w:rsidR="000F7F6A" w14:paraId="54BF29B4" w14:textId="77777777">
        <w:trPr>
          <w:cantSplit/>
          <w:trHeight w:val="360"/>
        </w:trPr>
        <w:tc>
          <w:tcPr>
            <w:tcW w:w="2178" w:type="dxa"/>
            <w:tcBorders>
              <w:top w:val="single" w:sz="8" w:space="0" w:color="000000"/>
              <w:bottom w:val="single" w:sz="16" w:space="0" w:color="000000"/>
            </w:tcBorders>
            <w:shd w:val="clear" w:color="auto" w:fill="FFFFFF"/>
            <w:vAlign w:val="center"/>
          </w:tcPr>
          <w:p w14:paraId="30C4B369" w14:textId="77777777" w:rsidR="000F7F6A" w:rsidRDefault="00952983">
            <w:pPr>
              <w:spacing w:before="40" w:after="40"/>
              <w:ind w:left="100" w:right="100"/>
              <w:jc w:val="right"/>
            </w:pPr>
            <w:r>
              <w:rPr>
                <w:rFonts w:eastAsia="Arial" w:cs="Arial"/>
                <w:color w:val="111111"/>
              </w:rPr>
              <w:t>CFR Effect</w:t>
            </w:r>
          </w:p>
        </w:tc>
        <w:tc>
          <w:tcPr>
            <w:tcW w:w="1614" w:type="dxa"/>
            <w:tcBorders>
              <w:top w:val="single" w:sz="8" w:space="0" w:color="000000"/>
              <w:bottom w:val="single" w:sz="16" w:space="0" w:color="000000"/>
            </w:tcBorders>
            <w:shd w:val="clear" w:color="auto" w:fill="FFFFFF"/>
            <w:vAlign w:val="center"/>
          </w:tcPr>
          <w:p w14:paraId="05239E43" w14:textId="77777777" w:rsidR="000F7F6A" w:rsidRDefault="00952983">
            <w:pPr>
              <w:spacing w:before="40" w:after="40"/>
              <w:ind w:left="100" w:right="100"/>
              <w:jc w:val="right"/>
            </w:pPr>
            <w:r>
              <w:rPr>
                <w:rFonts w:eastAsia="Arial" w:cs="Arial"/>
                <w:color w:val="111111"/>
              </w:rPr>
              <w:t>1.15 (68.45%)</w:t>
            </w:r>
          </w:p>
        </w:tc>
        <w:tc>
          <w:tcPr>
            <w:tcW w:w="1615" w:type="dxa"/>
            <w:tcBorders>
              <w:top w:val="single" w:sz="8" w:space="0" w:color="000000"/>
              <w:bottom w:val="single" w:sz="16" w:space="0" w:color="000000"/>
            </w:tcBorders>
            <w:shd w:val="clear" w:color="auto" w:fill="FFFFFF"/>
            <w:vAlign w:val="center"/>
          </w:tcPr>
          <w:p w14:paraId="427B1F05" w14:textId="77777777" w:rsidR="000F7F6A" w:rsidRDefault="00952983">
            <w:pPr>
              <w:spacing w:before="40" w:after="40"/>
              <w:ind w:left="100" w:right="100"/>
              <w:jc w:val="right"/>
            </w:pPr>
            <w:r>
              <w:rPr>
                <w:rFonts w:eastAsia="Arial" w:cs="Arial"/>
                <w:color w:val="111111"/>
              </w:rPr>
              <w:t>1.35 (75.00%)</w:t>
            </w:r>
          </w:p>
        </w:tc>
        <w:tc>
          <w:tcPr>
            <w:tcW w:w="1616" w:type="dxa"/>
            <w:tcBorders>
              <w:top w:val="single" w:sz="8" w:space="0" w:color="000000"/>
              <w:bottom w:val="single" w:sz="16" w:space="0" w:color="000000"/>
            </w:tcBorders>
            <w:shd w:val="clear" w:color="auto" w:fill="FFFFFF"/>
            <w:vAlign w:val="center"/>
          </w:tcPr>
          <w:p w14:paraId="0861E2E1" w14:textId="77777777" w:rsidR="000F7F6A" w:rsidRDefault="00952983">
            <w:pPr>
              <w:spacing w:before="40" w:after="40"/>
              <w:ind w:left="100" w:right="100"/>
              <w:jc w:val="right"/>
            </w:pPr>
            <w:r>
              <w:rPr>
                <w:rFonts w:eastAsia="Arial" w:cs="Arial"/>
                <w:color w:val="111111"/>
              </w:rPr>
              <w:t>1.78 (72.36%)</w:t>
            </w:r>
          </w:p>
        </w:tc>
        <w:tc>
          <w:tcPr>
            <w:tcW w:w="1617" w:type="dxa"/>
            <w:tcBorders>
              <w:top w:val="single" w:sz="8" w:space="0" w:color="000000"/>
              <w:bottom w:val="single" w:sz="16" w:space="0" w:color="000000"/>
            </w:tcBorders>
            <w:shd w:val="clear" w:color="auto" w:fill="FFFFFF"/>
            <w:vAlign w:val="center"/>
          </w:tcPr>
          <w:p w14:paraId="2E497FF8" w14:textId="77777777" w:rsidR="000F7F6A" w:rsidRDefault="00952983">
            <w:pPr>
              <w:spacing w:before="40" w:after="40"/>
              <w:ind w:left="100" w:right="100"/>
              <w:jc w:val="right"/>
            </w:pPr>
            <w:r>
              <w:rPr>
                <w:rFonts w:eastAsia="Arial" w:cs="Arial"/>
                <w:color w:val="111111"/>
              </w:rPr>
              <w:t>0.92 (71.32%)</w:t>
            </w:r>
          </w:p>
        </w:tc>
      </w:tr>
      <w:tr w:rsidR="000F7F6A" w14:paraId="3A4ACB60" w14:textId="77777777">
        <w:trPr>
          <w:cantSplit/>
          <w:trHeight w:val="360"/>
        </w:trPr>
        <w:tc>
          <w:tcPr>
            <w:tcW w:w="2178" w:type="dxa"/>
            <w:tcBorders>
              <w:top w:val="single" w:sz="16" w:space="0" w:color="000000"/>
              <w:bottom w:val="single" w:sz="16" w:space="0" w:color="000000"/>
            </w:tcBorders>
            <w:shd w:val="clear" w:color="auto" w:fill="FFFFFF"/>
            <w:vAlign w:val="center"/>
          </w:tcPr>
          <w:p w14:paraId="44AFCBB6" w14:textId="77777777" w:rsidR="000F7F6A" w:rsidRDefault="00952983">
            <w:pPr>
              <w:spacing w:before="40" w:after="40"/>
              <w:ind w:left="100" w:right="100"/>
              <w:jc w:val="right"/>
            </w:pPr>
            <w:r>
              <w:rPr>
                <w:rFonts w:eastAsia="Arial" w:cs="Arial"/>
                <w:color w:val="111111"/>
              </w:rPr>
              <w:t>Pairing Composition Effect</w:t>
            </w:r>
          </w:p>
        </w:tc>
        <w:tc>
          <w:tcPr>
            <w:tcW w:w="1614" w:type="dxa"/>
            <w:tcBorders>
              <w:top w:val="single" w:sz="16" w:space="0" w:color="000000"/>
              <w:bottom w:val="single" w:sz="16" w:space="0" w:color="000000"/>
            </w:tcBorders>
            <w:shd w:val="clear" w:color="auto" w:fill="FFFFFF"/>
            <w:vAlign w:val="center"/>
          </w:tcPr>
          <w:p w14:paraId="2726DF7C" w14:textId="77777777" w:rsidR="000F7F6A" w:rsidRDefault="00952983">
            <w:pPr>
              <w:spacing w:before="40" w:after="40"/>
              <w:ind w:left="100" w:right="100"/>
              <w:jc w:val="right"/>
            </w:pPr>
            <w:r>
              <w:rPr>
                <w:rFonts w:eastAsia="Arial" w:cs="Arial"/>
                <w:color w:val="111111"/>
              </w:rPr>
              <w:t>0.52 (30.95%)</w:t>
            </w:r>
          </w:p>
        </w:tc>
        <w:tc>
          <w:tcPr>
            <w:tcW w:w="1615" w:type="dxa"/>
            <w:tcBorders>
              <w:top w:val="single" w:sz="16" w:space="0" w:color="000000"/>
              <w:bottom w:val="single" w:sz="16" w:space="0" w:color="000000"/>
            </w:tcBorders>
            <w:shd w:val="clear" w:color="auto" w:fill="FFFFFF"/>
            <w:vAlign w:val="center"/>
          </w:tcPr>
          <w:p w14:paraId="19584DC6" w14:textId="77777777" w:rsidR="000F7F6A" w:rsidRDefault="00952983">
            <w:pPr>
              <w:spacing w:before="40" w:after="40"/>
              <w:ind w:left="100" w:right="100"/>
              <w:jc w:val="right"/>
            </w:pPr>
            <w:r>
              <w:rPr>
                <w:rFonts w:eastAsia="Arial" w:cs="Arial"/>
                <w:color w:val="111111"/>
              </w:rPr>
              <w:t>0.46 (25.56%)</w:t>
            </w:r>
          </w:p>
        </w:tc>
        <w:tc>
          <w:tcPr>
            <w:tcW w:w="1616" w:type="dxa"/>
            <w:tcBorders>
              <w:top w:val="single" w:sz="16" w:space="0" w:color="000000"/>
              <w:bottom w:val="single" w:sz="16" w:space="0" w:color="000000"/>
            </w:tcBorders>
            <w:shd w:val="clear" w:color="auto" w:fill="FFFFFF"/>
            <w:vAlign w:val="center"/>
          </w:tcPr>
          <w:p w14:paraId="6BAC6178" w14:textId="77777777" w:rsidR="000F7F6A" w:rsidRDefault="00952983">
            <w:pPr>
              <w:spacing w:before="40" w:after="40"/>
              <w:ind w:left="100" w:right="100"/>
              <w:jc w:val="right"/>
            </w:pPr>
            <w:r>
              <w:rPr>
                <w:rFonts w:eastAsia="Arial" w:cs="Arial"/>
                <w:color w:val="111111"/>
              </w:rPr>
              <w:t>0.69 (28.05%)</w:t>
            </w:r>
          </w:p>
        </w:tc>
        <w:tc>
          <w:tcPr>
            <w:tcW w:w="1617" w:type="dxa"/>
            <w:tcBorders>
              <w:top w:val="single" w:sz="16" w:space="0" w:color="000000"/>
              <w:bottom w:val="single" w:sz="16" w:space="0" w:color="000000"/>
            </w:tcBorders>
            <w:shd w:val="clear" w:color="auto" w:fill="FFFFFF"/>
            <w:vAlign w:val="center"/>
          </w:tcPr>
          <w:p w14:paraId="4F242FCE" w14:textId="77777777" w:rsidR="000F7F6A" w:rsidRDefault="00952983">
            <w:pPr>
              <w:spacing w:before="40" w:after="40"/>
              <w:ind w:left="100" w:right="100"/>
              <w:jc w:val="right"/>
            </w:pPr>
            <w:r>
              <w:rPr>
                <w:rFonts w:eastAsia="Arial" w:cs="Arial"/>
                <w:color w:val="111111"/>
              </w:rPr>
              <w:t>0.37 (28.68%)</w:t>
            </w:r>
          </w:p>
        </w:tc>
      </w:tr>
    </w:tbl>
    <w:p w14:paraId="6268FE09" w14:textId="77777777" w:rsidR="000F7F6A" w:rsidRDefault="00952983">
      <w:pPr>
        <w:pStyle w:val="Corpodetexto"/>
      </w:pPr>
      <w:r>
        <w:rPr>
          <w:i/>
          <w:iCs/>
        </w:rPr>
        <w:t xml:space="preserve">Source: </w:t>
      </w:r>
      <w:r>
        <w:t>Brazilian national censuses, 1970, 1980, 1991, 2000, 2010.</w:t>
      </w:r>
    </w:p>
    <w:p w14:paraId="70E68924" w14:textId="77777777" w:rsidR="000F7F6A" w:rsidRDefault="00952983">
      <w:pPr>
        <w:pStyle w:val="Corpodetexto"/>
      </w:pPr>
      <w:del w:id="466" w:author="Manilo Franklin" w:date="2020-11-20T13:01:00Z">
        <w:r w:rsidDel="002F68A9">
          <w:delText>In general</w:delText>
        </w:r>
      </w:del>
      <w:ins w:id="467" w:author="Manilo Franklin" w:date="2020-11-20T13:01:00Z">
        <w:r w:rsidR="002F68A9">
          <w:t>Generally speaking</w:t>
        </w:r>
      </w:ins>
      <w:r>
        <w:t xml:space="preserve">, </w:t>
      </w:r>
      <w:del w:id="468" w:author="Manilo Franklin" w:date="2020-11-20T13:01:00Z">
        <w:r w:rsidDel="002F68A9">
          <w:delText xml:space="preserve">for Brazil and its regions, </w:delText>
        </w:r>
      </w:del>
      <w:r>
        <w:t xml:space="preserve">most of the reduction of conjugal CFRs </w:t>
      </w:r>
      <w:ins w:id="469" w:author="Manilo Franklin" w:date="2020-11-20T13:01:00Z">
        <w:r w:rsidR="002F68A9">
          <w:t xml:space="preserve">in Brazil </w:t>
        </w:r>
      </w:ins>
      <w:r>
        <w:t xml:space="preserve">were driven by unobservable effects of rate decline (70%). The remaining 30% of CFR decline among older and younger cohorts are explained by changes in educational pairing composition. This means that a substantial part of the </w:t>
      </w:r>
      <w:ins w:id="470" w:author="Manilo Franklin" w:date="2020-11-20T13:06:00Z">
        <w:r w:rsidR="00D46ADD">
          <w:t xml:space="preserve">country’s </w:t>
        </w:r>
      </w:ins>
      <w:r>
        <w:t xml:space="preserve">cohort </w:t>
      </w:r>
      <w:r>
        <w:lastRenderedPageBreak/>
        <w:t xml:space="preserve">fertility decline </w:t>
      </w:r>
      <w:del w:id="471" w:author="Manilo Franklin" w:date="2020-11-20T13:06:00Z">
        <w:r w:rsidDel="00D46ADD">
          <w:delText xml:space="preserve">of the country </w:delText>
        </w:r>
      </w:del>
      <w:r>
        <w:t>occurred as a result of</w:t>
      </w:r>
      <w:del w:id="472" w:author="Manilo Franklin" w:date="2020-11-20T13:06:00Z">
        <w:r w:rsidDel="00D46ADD">
          <w:delText xml:space="preserve"> </w:delText>
        </w:r>
      </w:del>
      <w:ins w:id="473" w:author="Manilo Franklin" w:date="2020-11-20T13:06:00Z">
        <w:r w:rsidR="00D46ADD">
          <w:t xml:space="preserve"> </w:t>
        </w:r>
      </w:ins>
      <w:r>
        <w:t xml:space="preserve">educational expansion, and due to the effects of </w:t>
      </w:r>
      <w:del w:id="474" w:author="Manilo Franklin" w:date="2020-11-20T13:06:00Z">
        <w:r w:rsidDel="00D46ADD">
          <w:delText xml:space="preserve">more </w:delText>
        </w:r>
      </w:del>
      <w:ins w:id="475" w:author="Manilo Franklin" w:date="2020-11-20T13:06:00Z">
        <w:r w:rsidR="00D46ADD">
          <w:t xml:space="preserve">higher </w:t>
        </w:r>
      </w:ins>
      <w:r>
        <w:t>schooling not only for women, but also for men. This compositional effect is</w:t>
      </w:r>
      <w:ins w:id="476" w:author="Manilo Franklin" w:date="2020-11-20T13:07:00Z">
        <w:r w:rsidR="003140E7">
          <w:t>,</w:t>
        </w:r>
      </w:ins>
      <w:r>
        <w:t xml:space="preserve"> to</w:t>
      </w:r>
      <w:ins w:id="477" w:author="Manilo Franklin" w:date="2020-11-20T13:07:00Z">
        <w:r w:rsidR="003140E7">
          <w:t xml:space="preserve"> a</w:t>
        </w:r>
      </w:ins>
      <w:r>
        <w:t xml:space="preserve"> great extent</w:t>
      </w:r>
      <w:ins w:id="478" w:author="Manilo Franklin" w:date="2020-11-20T13:07:00Z">
        <w:r w:rsidR="003140E7">
          <w:t>,</w:t>
        </w:r>
      </w:ins>
      <w:r>
        <w:t xml:space="preserve"> explained by the reduction of low</w:t>
      </w:r>
      <w:ins w:id="479" w:author="Manilo Franklin" w:date="2020-11-20T13:07:00Z">
        <w:r w:rsidR="00E82862">
          <w:t>-</w:t>
        </w:r>
      </w:ins>
      <w:del w:id="480" w:author="Manilo Franklin" w:date="2020-11-20T13:07:00Z">
        <w:r w:rsidDel="00E82862">
          <w:delText xml:space="preserve"> </w:delText>
        </w:r>
      </w:del>
      <w:r>
        <w:t>educated homogamous couples.</w:t>
      </w:r>
    </w:p>
    <w:p w14:paraId="57281D2B" w14:textId="77777777" w:rsidR="000F7F6A" w:rsidRDefault="00952983">
      <w:pPr>
        <w:pStyle w:val="Ttulo1"/>
      </w:pPr>
      <w:bookmarkStart w:id="481" w:name="discussion-and-conclusions"/>
      <w:r>
        <w:t>5. Discussion and conclusions</w:t>
      </w:r>
      <w:bookmarkEnd w:id="481"/>
    </w:p>
    <w:p w14:paraId="38F3D476" w14:textId="77777777" w:rsidR="000F7F6A" w:rsidRDefault="00952983">
      <w:pPr>
        <w:pStyle w:val="FirstParagraph"/>
      </w:pPr>
      <w:r>
        <w:t xml:space="preserve">Cohort fertility rates display educational pairing differentials between male and female educational categories. In particular, the couples composed by parents with low education, they present the highest cohort fertility levels, especially for older female cohorts. These CFRs’ values diminished along female cohorts and between males’ educational categories, even controlling for the female’s educational levels. Thus, we observed significant evidence that the </w:t>
      </w:r>
      <w:ins w:id="482" w:author="Manilo Franklin" w:date="2020-11-20T13:10:00Z">
        <w:r w:rsidR="0075299E">
          <w:t xml:space="preserve">effects of </w:t>
        </w:r>
      </w:ins>
      <w:r>
        <w:t>male partner</w:t>
      </w:r>
      <w:del w:id="483" w:author="Manilo Franklin" w:date="2020-11-20T13:11:00Z">
        <w:r w:rsidDel="0075299E">
          <w:delText>’</w:delText>
        </w:r>
      </w:del>
      <w:r>
        <w:t>s</w:t>
      </w:r>
      <w:ins w:id="484" w:author="Manilo Franklin" w:date="2020-11-20T13:11:00Z">
        <w:r w:rsidR="0075299E">
          <w:t xml:space="preserve">’ </w:t>
        </w:r>
      </w:ins>
      <w:del w:id="485" w:author="Manilo Franklin" w:date="2020-11-20T13:11:00Z">
        <w:r w:rsidDel="0075299E">
          <w:delText xml:space="preserve"> </w:delText>
        </w:r>
      </w:del>
      <w:ins w:id="486" w:author="Manilo Franklin" w:date="2020-11-20T13:10:00Z">
        <w:r w:rsidR="0075299E">
          <w:t xml:space="preserve">education </w:t>
        </w:r>
      </w:ins>
      <w:ins w:id="487" w:author="Manilo Franklin" w:date="2020-11-20T13:11:00Z">
        <w:r w:rsidR="0075299E">
          <w:t xml:space="preserve">level </w:t>
        </w:r>
      </w:ins>
      <w:del w:id="488" w:author="Manilo Franklin" w:date="2020-11-20T13:10:00Z">
        <w:r w:rsidDel="0075299E">
          <w:delText xml:space="preserve">education effects </w:delText>
        </w:r>
      </w:del>
      <w:r>
        <w:t xml:space="preserve">on fertility are not negligible, and </w:t>
      </w:r>
      <w:del w:id="489" w:author="Manilo Franklin" w:date="2020-11-20T13:11:00Z">
        <w:r w:rsidDel="00CF4EBB">
          <w:delText xml:space="preserve">it </w:delText>
        </w:r>
      </w:del>
      <w:ins w:id="490" w:author="Manilo Franklin" w:date="2020-11-20T13:12:00Z">
        <w:r w:rsidR="00BA5EC8">
          <w:t>have</w:t>
        </w:r>
      </w:ins>
      <w:ins w:id="491" w:author="Manilo Franklin" w:date="2020-11-20T13:11:00Z">
        <w:r w:rsidR="00CF4EBB">
          <w:t xml:space="preserve"> </w:t>
        </w:r>
      </w:ins>
      <w:r>
        <w:t>influenced the general reduction of cohort fertility levels of the country.</w:t>
      </w:r>
    </w:p>
    <w:p w14:paraId="7D2A8489" w14:textId="77777777" w:rsidR="000F7F6A" w:rsidRDefault="00952983">
      <w:pPr>
        <w:pStyle w:val="Corpodetexto"/>
      </w:pPr>
      <w:del w:id="492" w:author="Manilo Franklin" w:date="2020-11-20T13:12:00Z">
        <w:r w:rsidDel="0011434E">
          <w:delText>In addition</w:delText>
        </w:r>
      </w:del>
      <w:ins w:id="493" w:author="Manilo Franklin" w:date="2020-11-20T13:12:00Z">
        <w:r w:rsidR="0011434E">
          <w:t>Furthermore</w:t>
        </w:r>
      </w:ins>
      <w:r>
        <w:t xml:space="preserve">, these fertility differentials among educational categories of men and women </w:t>
      </w:r>
      <w:del w:id="494" w:author="Manilo Franklin" w:date="2020-11-20T13:16:00Z">
        <w:r w:rsidDel="00424DE5">
          <w:delText xml:space="preserve">diminishes </w:delText>
        </w:r>
      </w:del>
      <w:ins w:id="495" w:author="Manilo Franklin" w:date="2020-11-20T13:16:00Z">
        <w:r w:rsidR="00424DE5">
          <w:t xml:space="preserve">decrease </w:t>
        </w:r>
      </w:ins>
      <w:r>
        <w:t>among young female cohorts. We argue that this converging fertility trend is a result of multiple factors. First</w:t>
      </w:r>
      <w:ins w:id="496" w:author="Manilo Franklin" w:date="2020-11-20T13:54:00Z">
        <w:r w:rsidR="00655CBC">
          <w:t>ly</w:t>
        </w:r>
      </w:ins>
      <w:r>
        <w:t>, the reduction of illiteracy (</w:t>
      </w:r>
      <w:proofErr w:type="spellStart"/>
      <w:r>
        <w:t>Fígoli</w:t>
      </w:r>
      <w:proofErr w:type="spellEnd"/>
      <w:r>
        <w:t xml:space="preserve"> 2006) itself plays a key role in reproductive control adoption (Castro-Martin and Juarez 1995; </w:t>
      </w:r>
      <w:proofErr w:type="spellStart"/>
      <w:r>
        <w:t>Perpétuo</w:t>
      </w:r>
      <w:proofErr w:type="spellEnd"/>
      <w:r>
        <w:t xml:space="preserve"> and </w:t>
      </w:r>
      <w:proofErr w:type="spellStart"/>
      <w:r>
        <w:t>Wajnman</w:t>
      </w:r>
      <w:proofErr w:type="spellEnd"/>
      <w:r>
        <w:t xml:space="preserve"> 1998; </w:t>
      </w:r>
      <w:proofErr w:type="spellStart"/>
      <w:r>
        <w:t>Perpétuo</w:t>
      </w:r>
      <w:proofErr w:type="spellEnd"/>
      <w:r>
        <w:t xml:space="preserve"> and Wong 2009), however, it does not necessarily result in individuals finishing primary </w:t>
      </w:r>
      <w:r>
        <w:lastRenderedPageBreak/>
        <w:t>school. Second</w:t>
      </w:r>
      <w:ins w:id="497" w:author="Manilo Franklin" w:date="2020-11-20T13:54:00Z">
        <w:r w:rsidR="00655CBC">
          <w:t>ly</w:t>
        </w:r>
      </w:ins>
      <w:r>
        <w:t xml:space="preserve">, unexpected effects of institutional reforms of the Brazilian state, between 1970-1990 decades, fostered changes in social and cultural norms </w:t>
      </w:r>
      <w:del w:id="498" w:author="Manilo Franklin" w:date="2020-11-20T13:13:00Z">
        <w:r w:rsidDel="007422CB">
          <w:delText>of the</w:delText>
        </w:r>
      </w:del>
      <w:ins w:id="499" w:author="Manilo Franklin" w:date="2020-11-20T13:13:00Z">
        <w:r w:rsidR="007422CB">
          <w:t>in</w:t>
        </w:r>
      </w:ins>
      <w:r>
        <w:t xml:space="preserve"> Brazilian society, which in turn </w:t>
      </w:r>
      <w:ins w:id="500" w:author="Manilo Franklin" w:date="2020-11-20T13:13:00Z">
        <w:r w:rsidR="00ED7196">
          <w:t xml:space="preserve">led to an </w:t>
        </w:r>
      </w:ins>
      <w:r>
        <w:t>increase</w:t>
      </w:r>
      <w:ins w:id="501" w:author="Manilo Franklin" w:date="2020-11-20T13:13:00Z">
        <w:r w:rsidR="00ED7196">
          <w:t xml:space="preserve"> in</w:t>
        </w:r>
      </w:ins>
      <w:del w:id="502" w:author="Manilo Franklin" w:date="2020-11-20T13:13:00Z">
        <w:r w:rsidDel="00ED7196">
          <w:delText>d</w:delText>
        </w:r>
      </w:del>
      <w:r>
        <w:t xml:space="preserve"> female autonomy in family planning (</w:t>
      </w:r>
      <w:proofErr w:type="spellStart"/>
      <w:r>
        <w:t>Faria</w:t>
      </w:r>
      <w:proofErr w:type="spellEnd"/>
      <w:r>
        <w:t xml:space="preserve"> 1989, 1997; Martine 1996). </w:t>
      </w:r>
      <w:del w:id="503" w:author="Manilo Franklin" w:date="2020-11-20T13:14:00Z">
        <w:r w:rsidDel="00F06F37">
          <w:delText xml:space="preserve">This </w:delText>
        </w:r>
      </w:del>
      <w:ins w:id="504" w:author="Manilo Franklin" w:date="2020-11-20T13:14:00Z">
        <w:r w:rsidR="00F06F37">
          <w:t xml:space="preserve">These </w:t>
        </w:r>
      </w:ins>
      <w:r>
        <w:t>transformations in Brazilian society were related to the development of a communications system infrastructure, which connected distant regions of the country and contributed for the diffusion of higher social strata</w:t>
      </w:r>
      <w:ins w:id="505" w:author="Manilo Franklin" w:date="2020-11-20T13:14:00Z">
        <w:r w:rsidR="001C7CDB">
          <w:t>’s</w:t>
        </w:r>
      </w:ins>
      <w:r>
        <w:t xml:space="preserve"> reproductive behavior through soap operas (</w:t>
      </w:r>
      <w:proofErr w:type="spellStart"/>
      <w:r>
        <w:t>Faria</w:t>
      </w:r>
      <w:proofErr w:type="spellEnd"/>
      <w:r>
        <w:t xml:space="preserve"> and Potter 1999; La Ferrara, Chong, and Duryea 2012), and to the medicalization of female population, which led to </w:t>
      </w:r>
      <w:ins w:id="506" w:author="Manilo Franklin" w:date="2020-11-20T13:15:00Z">
        <w:r w:rsidR="00104C7D">
          <w:t xml:space="preserve">a </w:t>
        </w:r>
      </w:ins>
      <w:r>
        <w:t>higher adoption of contraceptive methods, even by the most vulnerable social groups (</w:t>
      </w:r>
      <w:proofErr w:type="spellStart"/>
      <w:r>
        <w:t>Faria</w:t>
      </w:r>
      <w:proofErr w:type="spellEnd"/>
      <w:r>
        <w:t xml:space="preserve"> 1997; Martine 1996; </w:t>
      </w:r>
      <w:proofErr w:type="spellStart"/>
      <w:r>
        <w:t>Perpétuo</w:t>
      </w:r>
      <w:proofErr w:type="spellEnd"/>
      <w:r>
        <w:t xml:space="preserve"> and </w:t>
      </w:r>
      <w:proofErr w:type="spellStart"/>
      <w:r>
        <w:t>Wajnman</w:t>
      </w:r>
      <w:proofErr w:type="spellEnd"/>
      <w:r>
        <w:t xml:space="preserve"> 1998; </w:t>
      </w:r>
      <w:proofErr w:type="spellStart"/>
      <w:r>
        <w:t>Perpétuo</w:t>
      </w:r>
      <w:proofErr w:type="spellEnd"/>
      <w:r>
        <w:t xml:space="preserve"> and Wong 2009).</w:t>
      </w:r>
    </w:p>
    <w:p w14:paraId="632B7B85" w14:textId="77777777" w:rsidR="000F7F6A" w:rsidRDefault="00952983">
      <w:pPr>
        <w:pStyle w:val="Corpodetexto"/>
      </w:pPr>
      <w:r>
        <w:t>The regional disparities we observed follows the historical patterns of socioeconomic inequalities. North</w:t>
      </w:r>
      <w:ins w:id="507" w:author="Manilo Franklin" w:date="2020-11-20T13:33:00Z">
        <w:r w:rsidR="00592E33">
          <w:t>ern</w:t>
        </w:r>
      </w:ins>
      <w:ins w:id="508" w:author="Manilo Franklin" w:date="2020-11-20T13:34:00Z">
        <w:r w:rsidR="00592E33">
          <w:t xml:space="preserve"> and </w:t>
        </w:r>
      </w:ins>
      <w:del w:id="509" w:author="Manilo Franklin" w:date="2020-11-20T13:33:00Z">
        <w:r w:rsidDel="00592E33">
          <w:delText>-</w:delText>
        </w:r>
      </w:del>
      <w:r>
        <w:t>Northeast</w:t>
      </w:r>
      <w:ins w:id="510" w:author="Manilo Franklin" w:date="2020-11-20T13:34:00Z">
        <w:r w:rsidR="00592E33">
          <w:t>ern</w:t>
        </w:r>
      </w:ins>
      <w:r>
        <w:t xml:space="preserve"> regions </w:t>
      </w:r>
      <w:ins w:id="511" w:author="Manilo Franklin" w:date="2020-11-20T13:34:00Z">
        <w:r w:rsidR="00C36E0F">
          <w:t xml:space="preserve">have </w:t>
        </w:r>
      </w:ins>
      <w:r>
        <w:t>show</w:t>
      </w:r>
      <w:ins w:id="512" w:author="Manilo Franklin" w:date="2020-11-20T13:34:00Z">
        <w:r w:rsidR="00C36E0F">
          <w:t>n</w:t>
        </w:r>
      </w:ins>
      <w:del w:id="513" w:author="Manilo Franklin" w:date="2020-11-20T13:34:00Z">
        <w:r w:rsidDel="00C36E0F">
          <w:delText>ed</w:delText>
        </w:r>
      </w:del>
      <w:r>
        <w:t xml:space="preserve"> the highest CFR levels among all educational pairings. For instance, they also presented higher and steady differentials among educational pairings, even for higher educated women. We speculate that female reproductive autonomy in these regions </w:t>
      </w:r>
      <w:del w:id="514" w:author="Manilo Franklin" w:date="2020-11-20T13:54:00Z">
        <w:r w:rsidDel="00AE36D5">
          <w:delText xml:space="preserve">are </w:delText>
        </w:r>
      </w:del>
      <w:ins w:id="515" w:author="Manilo Franklin" w:date="2020-11-20T13:54:00Z">
        <w:r w:rsidR="00AE36D5">
          <w:t xml:space="preserve">is either </w:t>
        </w:r>
      </w:ins>
      <w:r>
        <w:t xml:space="preserve">lower or </w:t>
      </w:r>
      <w:del w:id="516" w:author="Manilo Franklin" w:date="2020-11-20T13:54:00Z">
        <w:r w:rsidDel="00AE36D5">
          <w:delText xml:space="preserve">they </w:delText>
        </w:r>
      </w:del>
      <w:r>
        <w:t xml:space="preserve">present lower opportunity costs to reproductive control (Becker 1993; </w:t>
      </w:r>
      <w:proofErr w:type="spellStart"/>
      <w:r>
        <w:t>Jejeebhoy</w:t>
      </w:r>
      <w:proofErr w:type="spellEnd"/>
      <w:r>
        <w:t xml:space="preserve"> 1995), and thus, the partner’s education acts as an important driver of fertility control inside the family by a higher involvement of educated males in family planning decisions (Oliveira, </w:t>
      </w:r>
      <w:proofErr w:type="spellStart"/>
      <w:r>
        <w:lastRenderedPageBreak/>
        <w:t>Bilac</w:t>
      </w:r>
      <w:proofErr w:type="spellEnd"/>
      <w:r>
        <w:t xml:space="preserve">, and </w:t>
      </w:r>
      <w:proofErr w:type="spellStart"/>
      <w:r>
        <w:t>Muszkat</w:t>
      </w:r>
      <w:proofErr w:type="spellEnd"/>
      <w:r>
        <w:t xml:space="preserve"> 2002). Furthermore, the converging trends of fertility levels of pairings with lower educated males is weaker in these areas. A possible explanation is that these regions were not completely integrated to the new urban-industrial economy that was established in São Paulo, due to their export-agricultural roots and ruling local elites (Merrick and Graham 1981; Singer 1973). In this sense, we observe lower formal labor market engagement of women in these areas (Barbosa 2014; Gonçalves, Perez, and </w:t>
      </w:r>
      <w:proofErr w:type="spellStart"/>
      <w:r>
        <w:t>Wajnman</w:t>
      </w:r>
      <w:proofErr w:type="spellEnd"/>
      <w:r>
        <w:t xml:space="preserve"> 2004), which resulted in lower social constraints to reproduction (</w:t>
      </w:r>
      <w:proofErr w:type="spellStart"/>
      <w:r>
        <w:t>Patarra</w:t>
      </w:r>
      <w:proofErr w:type="spellEnd"/>
      <w:r>
        <w:t xml:space="preserve"> and Oliveira 1988). We may say that the North and Northeast were under influence of a patriarchal family model (Aguiar 2000), characterized by lower participation of women in the public sphere of society and lower autonomy in family planning decisions, consequently resulting in higher fertility levels (Becker 1993; </w:t>
      </w:r>
      <w:proofErr w:type="spellStart"/>
      <w:r>
        <w:t>Folbre</w:t>
      </w:r>
      <w:proofErr w:type="spellEnd"/>
      <w:r>
        <w:t xml:space="preserve"> 1994).</w:t>
      </w:r>
    </w:p>
    <w:p w14:paraId="162E91FC" w14:textId="77777777" w:rsidR="000F7F6A" w:rsidRDefault="00952983">
      <w:pPr>
        <w:pStyle w:val="Corpodetexto"/>
      </w:pPr>
      <w:r>
        <w:t>On the other hand, Southern regions exhibited the lowest CFR levels and the lowest differentials among educational pairings for all cohorts. The differences between educational pairings CFRs were even smaller for couples with high</w:t>
      </w:r>
      <w:ins w:id="517" w:author="Manilo Franklin" w:date="2020-11-20T13:56:00Z">
        <w:r w:rsidR="00AE36D5">
          <w:t>ly</w:t>
        </w:r>
      </w:ins>
      <w:del w:id="518" w:author="Manilo Franklin" w:date="2020-11-20T13:56:00Z">
        <w:r w:rsidDel="00AE36D5">
          <w:delText>er</w:delText>
        </w:r>
      </w:del>
      <w:r>
        <w:t xml:space="preserve"> educated females, which converged faster towards replacement fertility levels. This seems to be a result of school expansion (reduction of illiteracy) and faster transition of economy to the urban-industrial model, centered in the São Paulo area, which demanded more educated labor force and female participation in the labor market (Romanelli 1986; Singer 1973). As these processes took off </w:t>
      </w:r>
      <w:r>
        <w:lastRenderedPageBreak/>
        <w:t xml:space="preserve">in São Paulo state, these areas of the country were the first ones to experience fertility decline due to new rising social norms of urban centers (Gonçalves et al. 2019; Guzmán and Rodríguez 1993). Additionally, for the lower educational level groups, the years of schooling range from 0 to 8. Since Southern areas present the lowest illiteracy rates </w:t>
      </w:r>
      <w:del w:id="519" w:author="Manilo Franklin" w:date="2020-11-20T14:04:00Z">
        <w:r w:rsidDel="00AE36D5">
          <w:delText xml:space="preserve">of </w:delText>
        </w:r>
      </w:del>
      <w:ins w:id="520" w:author="Manilo Franklin" w:date="2020-11-20T14:04:00Z">
        <w:r w:rsidR="00AE36D5">
          <w:t xml:space="preserve">in </w:t>
        </w:r>
      </w:ins>
      <w:r>
        <w:t>the country for older cohorts (Castro 1998), the lower CFR levels are reflected in higher literacy rates in these regions. Finally, younger female cohorts with complete secondary school show below replacement fertility levels, independently of the partner’s educational level, once more supporting the argument that education favors female reproductive autonomy (</w:t>
      </w:r>
      <w:proofErr w:type="spellStart"/>
      <w:r>
        <w:t>Jejeebhoy</w:t>
      </w:r>
      <w:proofErr w:type="spellEnd"/>
      <w:r>
        <w:t xml:space="preserve"> 1995).</w:t>
      </w:r>
    </w:p>
    <w:p w14:paraId="13A31CE8" w14:textId="77777777" w:rsidR="000F7F6A" w:rsidRDefault="00952983">
      <w:pPr>
        <w:pStyle w:val="Corpodetexto"/>
      </w:pPr>
      <w:r>
        <w:t xml:space="preserve">In addition, the educational pairing composition changed significantly </w:t>
      </w:r>
      <w:del w:id="521" w:author="Manilo Franklin" w:date="2020-11-20T14:05:00Z">
        <w:r w:rsidDel="005B0F47">
          <w:delText xml:space="preserve">through </w:delText>
        </w:r>
      </w:del>
      <w:ins w:id="522" w:author="Manilo Franklin" w:date="2020-11-20T14:05:00Z">
        <w:r w:rsidR="005B0F47">
          <w:t xml:space="preserve">across </w:t>
        </w:r>
      </w:ins>
      <w:r>
        <w:t>cohorts. Homogamy was high in the past, because of the overall lower levels of education of the population (</w:t>
      </w:r>
      <w:proofErr w:type="spellStart"/>
      <w:r>
        <w:t>Esteve</w:t>
      </w:r>
      <w:proofErr w:type="spellEnd"/>
      <w:r>
        <w:t xml:space="preserve"> and McCaa 2007; Ribeiro and Silva 2009). Additionally, as women benefited the most from educational expansion (</w:t>
      </w:r>
      <w:proofErr w:type="spellStart"/>
      <w:r>
        <w:t>Beltrão</w:t>
      </w:r>
      <w:proofErr w:type="spellEnd"/>
      <w:r>
        <w:t xml:space="preserve"> and Alves 2009), Brazil observed considerable compositional changes in population education levels (</w:t>
      </w:r>
      <w:proofErr w:type="spellStart"/>
      <w:r>
        <w:t>Fígoli</w:t>
      </w:r>
      <w:proofErr w:type="spellEnd"/>
      <w:r>
        <w:t xml:space="preserve"> 2006), and the prevalence of hypogamic couples rose significantly over the period as hypergamy showed a steady decline (</w:t>
      </w:r>
      <w:proofErr w:type="spellStart"/>
      <w:r>
        <w:t>Esteve</w:t>
      </w:r>
      <w:proofErr w:type="spellEnd"/>
      <w:r>
        <w:t xml:space="preserve"> et al. 2016). </w:t>
      </w:r>
      <w:del w:id="523" w:author="Manilo Franklin" w:date="2020-11-20T14:05:00Z">
        <w:r w:rsidDel="005B0F47">
          <w:delText>As a consequence</w:delText>
        </w:r>
      </w:del>
      <w:ins w:id="524" w:author="Manilo Franklin" w:date="2020-11-20T14:05:00Z">
        <w:r w:rsidR="005B0F47">
          <w:t>Consequently</w:t>
        </w:r>
      </w:ins>
      <w:r>
        <w:t xml:space="preserve">, the disparities in terms of educational pairing among Northern and Southern regions </w:t>
      </w:r>
      <w:ins w:id="525" w:author="Manilo Franklin" w:date="2020-11-20T14:06:00Z">
        <w:r w:rsidR="002D1339">
          <w:t>became more</w:t>
        </w:r>
        <w:r w:rsidR="00044B77">
          <w:t xml:space="preserve"> </w:t>
        </w:r>
      </w:ins>
      <w:del w:id="526" w:author="Manilo Franklin" w:date="2020-11-20T14:06:00Z">
        <w:r w:rsidDel="00044B77">
          <w:delText>kept marked</w:delText>
        </w:r>
      </w:del>
      <w:ins w:id="527" w:author="Manilo Franklin" w:date="2020-11-20T14:06:00Z">
        <w:r w:rsidR="00044B77">
          <w:t>accentuated</w:t>
        </w:r>
      </w:ins>
      <w:r>
        <w:t xml:space="preserve">. The Southern area was a forerunner of the educational expansion in the </w:t>
      </w:r>
      <w:proofErr w:type="gramStart"/>
      <w:r>
        <w:t>country, because</w:t>
      </w:r>
      <w:proofErr w:type="gramEnd"/>
      <w:r>
        <w:t xml:space="preserve"> it </w:t>
      </w:r>
      <w:r>
        <w:lastRenderedPageBreak/>
        <w:t xml:space="preserve">experienced first the industrialization process of Brazil (Komatsu et al. 2017; Romanelli 1986). The industrial labor market was </w:t>
      </w:r>
      <w:proofErr w:type="gramStart"/>
      <w:r>
        <w:t>male-dominated</w:t>
      </w:r>
      <w:proofErr w:type="gramEnd"/>
      <w:r>
        <w:t xml:space="preserve"> (Teixeira 2014) and it required technical skills achieved through professional education (Romanelli 1986). Hence, the highly educated male population of the Southern regions resulted in the later process of hypogamy increase.</w:t>
      </w:r>
    </w:p>
    <w:p w14:paraId="7398B822" w14:textId="77777777" w:rsidR="000F7F6A" w:rsidRDefault="00952983">
      <w:pPr>
        <w:pStyle w:val="Corpodetexto"/>
      </w:pPr>
      <w:r>
        <w:t>The slow pace of decreasing low</w:t>
      </w:r>
      <w:ins w:id="528" w:author="Manilo Franklin" w:date="2020-11-20T14:07:00Z">
        <w:r w:rsidR="00DE49E7">
          <w:t>-</w:t>
        </w:r>
      </w:ins>
      <w:del w:id="529" w:author="Manilo Franklin" w:date="2020-11-20T14:07:00Z">
        <w:r w:rsidDel="00DE49E7">
          <w:delText xml:space="preserve"> </w:delText>
        </w:r>
      </w:del>
      <w:r>
        <w:t>education homogamic couples, common in the North</w:t>
      </w:r>
      <w:ins w:id="530" w:author="Manilo Franklin" w:date="2020-11-20T14:07:00Z">
        <w:r w:rsidR="00966DD1">
          <w:t xml:space="preserve">ern and </w:t>
        </w:r>
      </w:ins>
      <w:del w:id="531" w:author="Manilo Franklin" w:date="2020-11-20T14:07:00Z">
        <w:r w:rsidDel="00966DD1">
          <w:delText>-</w:delText>
        </w:r>
      </w:del>
      <w:r>
        <w:t>Northeast</w:t>
      </w:r>
      <w:ins w:id="532" w:author="Manilo Franklin" w:date="2020-11-20T14:07:00Z">
        <w:r w:rsidR="00966DD1">
          <w:t>ern</w:t>
        </w:r>
      </w:ins>
      <w:r>
        <w:t xml:space="preserve"> regions, was the result of a belated educational expansion. However, these areas also displayed a faster transition towards hypogamy than others. In these regions, there was a lower market demand for schooling of the usually male workers in the primary industrial sector who, due to income inequalities, had few alternatives rather than working in the informal lower paid markets (Merrick and Graham 1981; Romanelli 1986; Wood and Carvalho 1988). On the other hand, women had easier access to schooling, since they usually performed household or professional activities that were more compatible with formal education, such as teacher formation schools (Azevedo and Ferreira 2006; Guedes 2015).</w:t>
      </w:r>
    </w:p>
    <w:p w14:paraId="44DCF7F9" w14:textId="77777777" w:rsidR="000F7F6A" w:rsidRDefault="00952983">
      <w:pPr>
        <w:pStyle w:val="Corpodetexto"/>
      </w:pPr>
      <w:r>
        <w:t xml:space="preserve">In a decomposition exercise, we estimated that 30% of the cohort fertility decline between forerunners of fertility transition cohorts (female cohorts born in 1925-39) and medium-low fertility cohorts (female cohorts born in 1955-69) were a result of changes in educational pairing composition. For this reason, we argue that educational </w:t>
      </w:r>
      <w:r>
        <w:lastRenderedPageBreak/>
        <w:t xml:space="preserve">attainment contributes </w:t>
      </w:r>
      <w:del w:id="533" w:author="Manilo Franklin" w:date="2020-11-20T14:12:00Z">
        <w:r w:rsidDel="003548AC">
          <w:delText xml:space="preserve">for </w:delText>
        </w:r>
      </w:del>
      <w:ins w:id="534" w:author="Manilo Franklin" w:date="2020-11-20T14:12:00Z">
        <w:r w:rsidR="003548AC">
          <w:t xml:space="preserve">towards the attitude of </w:t>
        </w:r>
      </w:ins>
      <w:r>
        <w:t>both male</w:t>
      </w:r>
      <w:ins w:id="535" w:author="Manilo Franklin" w:date="2020-11-20T14:12:00Z">
        <w:r w:rsidR="003548AC">
          <w:t>s</w:t>
        </w:r>
      </w:ins>
      <w:del w:id="536" w:author="Manilo Franklin" w:date="2020-11-20T14:11:00Z">
        <w:r w:rsidDel="00C57725">
          <w:delText>s</w:delText>
        </w:r>
      </w:del>
      <w:r>
        <w:t xml:space="preserve"> and female</w:t>
      </w:r>
      <w:ins w:id="537" w:author="Manilo Franklin" w:date="2020-11-20T14:12:00Z">
        <w:r w:rsidR="003548AC">
          <w:t>s</w:t>
        </w:r>
      </w:ins>
      <w:del w:id="538" w:author="Manilo Franklin" w:date="2020-11-20T14:12:00Z">
        <w:r w:rsidDel="003548AC">
          <w:delText>s</w:delText>
        </w:r>
      </w:del>
      <w:r>
        <w:t xml:space="preserve"> </w:t>
      </w:r>
      <w:del w:id="539" w:author="Manilo Franklin" w:date="2020-11-20T14:12:00Z">
        <w:r w:rsidDel="003548AC">
          <w:delText xml:space="preserve">attitudes </w:delText>
        </w:r>
      </w:del>
      <w:r>
        <w:t xml:space="preserve">towards family planning and fertility control. In this sense, </w:t>
      </w:r>
      <w:ins w:id="540" w:author="Manilo Franklin" w:date="2020-11-20T14:12:00Z">
        <w:r w:rsidR="00423978">
          <w:t xml:space="preserve">a </w:t>
        </w:r>
      </w:ins>
      <w:r>
        <w:t>male’s educational attainment also contributes for fertility reduction, since higher education means more commitment of men to household activities (</w:t>
      </w:r>
      <w:proofErr w:type="spellStart"/>
      <w:r>
        <w:t>Esping</w:t>
      </w:r>
      <w:proofErr w:type="spellEnd"/>
      <w:r>
        <w:t>-Andersen 2009; McDonald 2000), and this lowers</w:t>
      </w:r>
      <w:ins w:id="541" w:author="Manilo Franklin" w:date="2020-11-20T14:12:00Z">
        <w:r w:rsidR="008039F9">
          <w:t>,</w:t>
        </w:r>
      </w:ins>
      <w:r>
        <w:t xml:space="preserve"> in turn</w:t>
      </w:r>
      <w:ins w:id="542" w:author="Manilo Franklin" w:date="2020-11-20T14:12:00Z">
        <w:r w:rsidR="008039F9">
          <w:t>, the</w:t>
        </w:r>
      </w:ins>
      <w:r>
        <w:t xml:space="preserve"> constraints to female reproduction and promotes the fulfillment of fertility intentions (</w:t>
      </w:r>
      <w:proofErr w:type="spellStart"/>
      <w:r>
        <w:t>Folbre</w:t>
      </w:r>
      <w:proofErr w:type="spellEnd"/>
      <w:r>
        <w:t xml:space="preserve"> 1994). In regions where the education expansion of males lagged in relation to others (as example the North-Northeastern parts of the country), the fertility transition was slower and females reproductive autonomy was also weaker, due to cultural aspects and prevailing patriarchal social norms of the region in the past (Aguiar 2000; </w:t>
      </w:r>
      <w:proofErr w:type="spellStart"/>
      <w:r>
        <w:t>Folbre</w:t>
      </w:r>
      <w:proofErr w:type="spellEnd"/>
      <w:r>
        <w:t xml:space="preserve"> 1983). In sum, we may say that the slower educational expansion for men in the less developed areas of the country might have delayed the fertility transition in the country, especially in locations where men lagged in educational attainment levels in relation to women.</w:t>
      </w:r>
    </w:p>
    <w:p w14:paraId="6C21DC9A" w14:textId="77777777" w:rsidR="000F7F6A" w:rsidRDefault="00952983">
      <w:pPr>
        <w:pStyle w:val="Corpodetexto"/>
      </w:pPr>
      <w:r>
        <w:t>It is important to mention that the lack of information o</w:t>
      </w:r>
      <w:ins w:id="543" w:author="Manilo Franklin" w:date="2020-11-20T14:47:00Z">
        <w:r w:rsidR="004B0000">
          <w:t xml:space="preserve">n the </w:t>
        </w:r>
      </w:ins>
      <w:ins w:id="544" w:author="Manilo Franklin" w:date="2020-11-20T14:50:00Z">
        <w:r w:rsidR="00A32325">
          <w:t xml:space="preserve">particular </w:t>
        </w:r>
      </w:ins>
      <w:ins w:id="545" w:author="Manilo Franklin" w:date="2020-11-20T14:51:00Z">
        <w:r w:rsidR="00A32325">
          <w:t>histories</w:t>
        </w:r>
      </w:ins>
      <w:ins w:id="546" w:author="Manilo Franklin" w:date="2020-11-20T14:47:00Z">
        <w:r w:rsidR="004B0000">
          <w:t xml:space="preserve"> of matrimonial unions</w:t>
        </w:r>
      </w:ins>
      <w:del w:id="547" w:author="Manilo Franklin" w:date="2020-11-20T14:47:00Z">
        <w:r w:rsidDel="004B0000">
          <w:delText>f union histories</w:delText>
        </w:r>
      </w:del>
      <w:r>
        <w:t xml:space="preserve"> </w:t>
      </w:r>
      <w:ins w:id="548" w:author="Manilo Franklin" w:date="2020-11-20T14:51:00Z">
        <w:r w:rsidR="00A32325">
          <w:t>(</w:t>
        </w:r>
        <w:r w:rsidR="002E7D5E">
          <w:t xml:space="preserve">duration, remarriages, divorces, </w:t>
        </w:r>
        <w:proofErr w:type="spellStart"/>
        <w:r w:rsidR="002E7D5E">
          <w:t>etc</w:t>
        </w:r>
        <w:proofErr w:type="spellEnd"/>
        <w:r w:rsidR="002E7D5E">
          <w:t xml:space="preserve">) </w:t>
        </w:r>
      </w:ins>
      <w:r>
        <w:t xml:space="preserve">lead to the main limitation of our analysis: all children reported by women are linked to current unions’ partners. Also, CFRs are likely to be underestimated due to differential mortality among educational categories (Silva, Freire, and Pereira 2016). Yet, this work brings major contributions to </w:t>
      </w:r>
      <w:ins w:id="549" w:author="Manilo Franklin" w:date="2020-11-20T14:49:00Z">
        <w:r w:rsidR="00F1351B">
          <w:t xml:space="preserve">the analysis of </w:t>
        </w:r>
      </w:ins>
      <w:r>
        <w:t xml:space="preserve">Brazilian fertility </w:t>
      </w:r>
      <w:del w:id="550" w:author="Manilo Franklin" w:date="2020-11-20T14:49:00Z">
        <w:r w:rsidDel="00F1351B">
          <w:delText xml:space="preserve">analysis </w:delText>
        </w:r>
      </w:del>
      <w:r>
        <w:lastRenderedPageBreak/>
        <w:t xml:space="preserve">and </w:t>
      </w:r>
      <w:del w:id="551" w:author="Manilo Franklin" w:date="2020-11-20T14:49:00Z">
        <w:r w:rsidDel="00865F47">
          <w:delText xml:space="preserve">provides </w:delText>
        </w:r>
      </w:del>
      <w:ins w:id="552" w:author="Manilo Franklin" w:date="2020-11-20T14:49:00Z">
        <w:r w:rsidR="00865F47">
          <w:t xml:space="preserve">offers </w:t>
        </w:r>
        <w:r w:rsidR="00F1351B">
          <w:t xml:space="preserve">an </w:t>
        </w:r>
      </w:ins>
      <w:r>
        <w:t>important insight</w:t>
      </w:r>
      <w:del w:id="553" w:author="Manilo Franklin" w:date="2020-11-20T14:49:00Z">
        <w:r w:rsidDel="00F1351B">
          <w:delText>s</w:delText>
        </w:r>
      </w:del>
      <w:r>
        <w:t xml:space="preserve"> on </w:t>
      </w:r>
      <w:del w:id="554" w:author="Manilo Franklin" w:date="2020-11-20T14:49:00Z">
        <w:r w:rsidDel="00F1351B">
          <w:delText xml:space="preserve">men’s </w:delText>
        </w:r>
      </w:del>
      <w:ins w:id="555" w:author="Manilo Franklin" w:date="2020-11-20T14:49:00Z">
        <w:r w:rsidR="00F1351B">
          <w:t xml:space="preserve">the </w:t>
        </w:r>
      </w:ins>
      <w:r>
        <w:t xml:space="preserve">role </w:t>
      </w:r>
      <w:ins w:id="556" w:author="Manilo Franklin" w:date="2020-11-20T14:49:00Z">
        <w:r w:rsidR="00F1351B">
          <w:t xml:space="preserve">of males </w:t>
        </w:r>
      </w:ins>
      <w:r>
        <w:t xml:space="preserve">in the fertility transition process. </w:t>
      </w:r>
      <w:del w:id="557" w:author="Manilo Franklin" w:date="2020-11-20T14:49:00Z">
        <w:r w:rsidDel="00DF0AF7">
          <w:delText>First of all</w:delText>
        </w:r>
      </w:del>
      <w:ins w:id="558" w:author="Manilo Franklin" w:date="2020-11-20T14:49:00Z">
        <w:r w:rsidR="00DF0AF7">
          <w:t>First</w:t>
        </w:r>
      </w:ins>
      <w:r>
        <w:t xml:space="preserve">, the use of a cohort approach is novel in demographic analysis of the country. </w:t>
      </w:r>
      <w:del w:id="559" w:author="Manilo Franklin" w:date="2020-11-20T14:50:00Z">
        <w:r w:rsidDel="00DF0AF7">
          <w:delText>In addition</w:delText>
        </w:r>
      </w:del>
      <w:ins w:id="560" w:author="Manilo Franklin" w:date="2020-11-20T14:50:00Z">
        <w:r w:rsidR="00DF0AF7">
          <w:t>Additionally</w:t>
        </w:r>
      </w:ins>
      <w:r>
        <w:t xml:space="preserve">, we address </w:t>
      </w:r>
      <w:ins w:id="561" w:author="Manilo Franklin" w:date="2020-11-20T14:50:00Z">
        <w:r w:rsidR="00DC0A87">
          <w:t xml:space="preserve">the </w:t>
        </w:r>
      </w:ins>
      <w:del w:id="562" w:author="Manilo Franklin" w:date="2020-11-20T14:50:00Z">
        <w:r w:rsidDel="00DC0A87">
          <w:delText xml:space="preserve">male’s </w:delText>
        </w:r>
      </w:del>
      <w:r>
        <w:t xml:space="preserve">educational characteristics </w:t>
      </w:r>
      <w:ins w:id="563" w:author="Manilo Franklin" w:date="2020-11-20T14:50:00Z">
        <w:r w:rsidR="00DC0A87">
          <w:t xml:space="preserve">of males </w:t>
        </w:r>
      </w:ins>
      <w:r>
        <w:t xml:space="preserve">within couples and we </w:t>
      </w:r>
      <w:proofErr w:type="gramStart"/>
      <w:r>
        <w:t>take into account</w:t>
      </w:r>
      <w:proofErr w:type="gramEnd"/>
      <w:r>
        <w:t xml:space="preserve"> the regional differences in terms of educational expansion and economic development. </w:t>
      </w:r>
      <w:ins w:id="564" w:author="Manilo Franklin" w:date="2020-11-20T14:50:00Z">
        <w:r w:rsidR="00DC0A87">
          <w:t xml:space="preserve">Finally, </w:t>
        </w:r>
      </w:ins>
      <w:del w:id="565" w:author="Manilo Franklin" w:date="2020-11-20T14:50:00Z">
        <w:r w:rsidDel="00DC0A87">
          <w:delText xml:space="preserve">We </w:delText>
        </w:r>
      </w:del>
      <w:ins w:id="566" w:author="Manilo Franklin" w:date="2020-11-20T14:50:00Z">
        <w:r w:rsidR="00DC0A87">
          <w:t xml:space="preserve">we </w:t>
        </w:r>
      </w:ins>
      <w:r>
        <w:t xml:space="preserve">expect </w:t>
      </w:r>
      <w:ins w:id="567" w:author="Manilo Franklin" w:date="2020-11-20T14:51:00Z">
        <w:r w:rsidR="00DB068F">
          <w:t xml:space="preserve">that </w:t>
        </w:r>
      </w:ins>
      <w:r>
        <w:t xml:space="preserve">this paper </w:t>
      </w:r>
      <w:ins w:id="568" w:author="Manilo Franklin" w:date="2020-11-20T14:51:00Z">
        <w:r w:rsidR="00DB068F">
          <w:t xml:space="preserve">will </w:t>
        </w:r>
      </w:ins>
      <w:r>
        <w:t>foment</w:t>
      </w:r>
      <w:del w:id="569" w:author="Manilo Franklin" w:date="2020-11-20T14:51:00Z">
        <w:r w:rsidDel="00DB068F">
          <w:delText>s</w:delText>
        </w:r>
      </w:del>
      <w:r>
        <w:t xml:space="preserve"> new studies on </w:t>
      </w:r>
      <w:del w:id="570" w:author="Manilo Franklin" w:date="2020-11-20T14:51:00Z">
        <w:r w:rsidDel="00DB068F">
          <w:delText xml:space="preserve">male’s </w:delText>
        </w:r>
      </w:del>
      <w:ins w:id="571" w:author="Manilo Franklin" w:date="2020-11-20T14:51:00Z">
        <w:r w:rsidR="00DB068F">
          <w:t xml:space="preserve">the </w:t>
        </w:r>
      </w:ins>
      <w:r>
        <w:t xml:space="preserve">role </w:t>
      </w:r>
      <w:ins w:id="572" w:author="Manilo Franklin" w:date="2020-11-20T14:51:00Z">
        <w:r w:rsidR="00DB068F">
          <w:t xml:space="preserve">of men </w:t>
        </w:r>
      </w:ins>
      <w:r>
        <w:t xml:space="preserve">in </w:t>
      </w:r>
      <w:ins w:id="573" w:author="Manilo Franklin" w:date="2020-11-20T14:52:00Z">
        <w:r w:rsidR="002D0116">
          <w:t xml:space="preserve">the </w:t>
        </w:r>
      </w:ins>
      <w:r>
        <w:t>reproductive intentions and behavior of Brazilian families.</w:t>
      </w:r>
    </w:p>
    <w:p w14:paraId="6A18F548" w14:textId="77777777" w:rsidR="000F7F6A" w:rsidRDefault="00952983">
      <w:pPr>
        <w:pStyle w:val="Ttulo1"/>
      </w:pPr>
      <w:bookmarkStart w:id="574" w:name="references"/>
      <w:r>
        <w:t>References</w:t>
      </w:r>
      <w:bookmarkEnd w:id="574"/>
    </w:p>
    <w:p w14:paraId="5A86B661" w14:textId="77777777" w:rsidR="000F7F6A" w:rsidRPr="000D223A" w:rsidRDefault="00952983">
      <w:pPr>
        <w:pStyle w:val="FirstParagraph"/>
        <w:rPr>
          <w:lang w:val="pt-BR"/>
        </w:rPr>
      </w:pPr>
      <w:proofErr w:type="spellStart"/>
      <w:r>
        <w:t>Adserà</w:t>
      </w:r>
      <w:proofErr w:type="spellEnd"/>
      <w:r>
        <w:t xml:space="preserve">, A. (2018). The future fertility of highly educated women: the role of educational composition shifts and labor market barriers. </w:t>
      </w:r>
      <w:r w:rsidRPr="000D223A">
        <w:rPr>
          <w:i/>
          <w:lang w:val="pt-BR"/>
        </w:rPr>
        <w:t xml:space="preserve">Vienna </w:t>
      </w:r>
      <w:proofErr w:type="spellStart"/>
      <w:r w:rsidRPr="000D223A">
        <w:rPr>
          <w:i/>
          <w:lang w:val="pt-BR"/>
        </w:rPr>
        <w:t>Yearbook</w:t>
      </w:r>
      <w:proofErr w:type="spellEnd"/>
      <w:r w:rsidRPr="000D223A">
        <w:rPr>
          <w:i/>
          <w:lang w:val="pt-BR"/>
        </w:rPr>
        <w:t xml:space="preserve"> of Population Research</w:t>
      </w:r>
      <w:r w:rsidRPr="000D223A">
        <w:rPr>
          <w:lang w:val="pt-BR"/>
        </w:rPr>
        <w:t xml:space="preserve"> 15(1):19–25.</w:t>
      </w:r>
      <w:bookmarkStart w:id="575" w:name="ref-adsera2018"/>
      <w:bookmarkEnd w:id="575"/>
    </w:p>
    <w:p w14:paraId="7D0F7E4D" w14:textId="77777777" w:rsidR="000F7F6A" w:rsidRPr="000D223A" w:rsidRDefault="00952983">
      <w:pPr>
        <w:pStyle w:val="Corpodetexto"/>
        <w:rPr>
          <w:lang w:val="pt-BR"/>
        </w:rPr>
      </w:pPr>
      <w:r w:rsidRPr="000D223A">
        <w:rPr>
          <w:lang w:val="pt-BR"/>
        </w:rPr>
        <w:t xml:space="preserve">Aguiar, N. (2000). Patriarcado, sociedade e patrimonialismo. </w:t>
      </w:r>
      <w:r w:rsidRPr="000D223A">
        <w:rPr>
          <w:i/>
          <w:lang w:val="pt-BR"/>
        </w:rPr>
        <w:t>Sociedade e Estado</w:t>
      </w:r>
      <w:r w:rsidRPr="000D223A">
        <w:rPr>
          <w:lang w:val="pt-BR"/>
        </w:rPr>
        <w:t xml:space="preserve"> 15:303–330.</w:t>
      </w:r>
      <w:bookmarkStart w:id="576" w:name="ref-aguiar2000"/>
      <w:bookmarkEnd w:id="576"/>
    </w:p>
    <w:p w14:paraId="566D52B9" w14:textId="77777777" w:rsidR="000F7F6A" w:rsidRPr="000D223A" w:rsidRDefault="00952983">
      <w:pPr>
        <w:pStyle w:val="Corpodetexto"/>
        <w:rPr>
          <w:lang w:val="pt-BR"/>
        </w:rPr>
      </w:pPr>
      <w:r w:rsidRPr="000D223A">
        <w:rPr>
          <w:lang w:val="pt-BR"/>
        </w:rPr>
        <w:t xml:space="preserve">Alves, J.E.D. (1994). </w:t>
      </w:r>
      <w:r w:rsidRPr="000D223A">
        <w:rPr>
          <w:i/>
          <w:lang w:val="pt-BR"/>
        </w:rPr>
        <w:t>Transição da fecundidade e relações de gênero no Brasil</w:t>
      </w:r>
      <w:r w:rsidRPr="000D223A">
        <w:rPr>
          <w:lang w:val="pt-BR"/>
        </w:rPr>
        <w:t xml:space="preserve">. </w:t>
      </w:r>
      <w:r>
        <w:t xml:space="preserve">[PhD thesis]. </w:t>
      </w:r>
      <w:r w:rsidRPr="000D223A">
        <w:rPr>
          <w:lang w:val="pt-BR"/>
        </w:rPr>
        <w:t>Belo Horizonte: Centro de Desenvolvimento e Planejamento Regional, Universidade Federal de Minas Gerais.</w:t>
      </w:r>
      <w:bookmarkStart w:id="577" w:name="ref-alves1994"/>
      <w:bookmarkEnd w:id="577"/>
    </w:p>
    <w:p w14:paraId="3B0B5BB3" w14:textId="77777777" w:rsidR="000F7F6A" w:rsidRPr="000D223A" w:rsidRDefault="00952983">
      <w:pPr>
        <w:pStyle w:val="Corpodetexto"/>
        <w:rPr>
          <w:lang w:val="pt-BR"/>
        </w:rPr>
      </w:pPr>
      <w:proofErr w:type="spellStart"/>
      <w:r w:rsidRPr="000D223A">
        <w:rPr>
          <w:lang w:val="pt-BR"/>
        </w:rPr>
        <w:t>Ariès</w:t>
      </w:r>
      <w:proofErr w:type="spellEnd"/>
      <w:r w:rsidRPr="000D223A">
        <w:rPr>
          <w:lang w:val="pt-BR"/>
        </w:rPr>
        <w:t xml:space="preserve">, P. (1978). </w:t>
      </w:r>
      <w:r w:rsidRPr="000D223A">
        <w:rPr>
          <w:i/>
          <w:lang w:val="pt-BR"/>
        </w:rPr>
        <w:t>História Social Da Infância E Da Família</w:t>
      </w:r>
      <w:r w:rsidRPr="000D223A">
        <w:rPr>
          <w:lang w:val="pt-BR"/>
        </w:rPr>
        <w:t>. Rio de Janeiro: LCT.</w:t>
      </w:r>
      <w:bookmarkStart w:id="578" w:name="ref-aries1978"/>
      <w:bookmarkEnd w:id="578"/>
    </w:p>
    <w:p w14:paraId="3DC9A95C" w14:textId="77777777" w:rsidR="000F7F6A" w:rsidRPr="000D223A" w:rsidRDefault="00952983">
      <w:pPr>
        <w:pStyle w:val="Corpodetexto"/>
        <w:rPr>
          <w:lang w:val="pt-BR"/>
        </w:rPr>
      </w:pPr>
      <w:r w:rsidRPr="000D223A">
        <w:rPr>
          <w:lang w:val="pt-BR"/>
        </w:rPr>
        <w:lastRenderedPageBreak/>
        <w:t xml:space="preserve">Azevedo, N. and Ferreira, L.O. (2006). Modernização, políticas públicas e sistema de gênero no Brasil: educação e profissionalização feminina entre as décadas de 1920 e 1940. </w:t>
      </w:r>
      <w:r w:rsidRPr="000D223A">
        <w:rPr>
          <w:i/>
          <w:lang w:val="pt-BR"/>
        </w:rPr>
        <w:t xml:space="preserve">Cadernos </w:t>
      </w:r>
      <w:proofErr w:type="spellStart"/>
      <w:r w:rsidRPr="000D223A">
        <w:rPr>
          <w:i/>
          <w:lang w:val="pt-BR"/>
        </w:rPr>
        <w:t>Pagu</w:t>
      </w:r>
      <w:proofErr w:type="spellEnd"/>
      <w:r w:rsidRPr="000D223A">
        <w:rPr>
          <w:lang w:val="pt-BR"/>
        </w:rPr>
        <w:t xml:space="preserve"> 27:213–254.</w:t>
      </w:r>
      <w:bookmarkStart w:id="579" w:name="ref-azevedo_ferreira2006"/>
      <w:bookmarkEnd w:id="579"/>
    </w:p>
    <w:p w14:paraId="7C730543" w14:textId="77777777" w:rsidR="000F7F6A" w:rsidRDefault="00952983">
      <w:pPr>
        <w:pStyle w:val="Corpodetexto"/>
      </w:pPr>
      <w:proofErr w:type="spellStart"/>
      <w:r w:rsidRPr="000D223A">
        <w:rPr>
          <w:lang w:val="pt-BR"/>
        </w:rPr>
        <w:t>Baeninger</w:t>
      </w:r>
      <w:proofErr w:type="spellEnd"/>
      <w:r w:rsidRPr="000D223A">
        <w:rPr>
          <w:lang w:val="pt-BR"/>
        </w:rPr>
        <w:t xml:space="preserve">, R. (2012). Rotatividade </w:t>
      </w:r>
      <w:proofErr w:type="spellStart"/>
      <w:r w:rsidRPr="000D223A">
        <w:rPr>
          <w:lang w:val="pt-BR"/>
        </w:rPr>
        <w:t>migratórria</w:t>
      </w:r>
      <w:proofErr w:type="spellEnd"/>
      <w:r w:rsidRPr="000D223A">
        <w:rPr>
          <w:lang w:val="pt-BR"/>
        </w:rPr>
        <w:t xml:space="preserve">: um novo olhar para as migrações internas no Brasil. </w:t>
      </w:r>
      <w:r>
        <w:rPr>
          <w:i/>
        </w:rPr>
        <w:t xml:space="preserve">REMHU: </w:t>
      </w:r>
      <w:proofErr w:type="spellStart"/>
      <w:r>
        <w:rPr>
          <w:i/>
        </w:rPr>
        <w:t>Revista</w:t>
      </w:r>
      <w:proofErr w:type="spellEnd"/>
      <w:r>
        <w:rPr>
          <w:i/>
        </w:rPr>
        <w:t xml:space="preserve"> </w:t>
      </w:r>
      <w:proofErr w:type="spellStart"/>
      <w:r>
        <w:rPr>
          <w:i/>
        </w:rPr>
        <w:t>Interdisciplinar</w:t>
      </w:r>
      <w:proofErr w:type="spellEnd"/>
      <w:r>
        <w:rPr>
          <w:i/>
        </w:rPr>
        <w:t xml:space="preserve"> da </w:t>
      </w:r>
      <w:proofErr w:type="spellStart"/>
      <w:r>
        <w:rPr>
          <w:i/>
        </w:rPr>
        <w:t>Mobilidade</w:t>
      </w:r>
      <w:proofErr w:type="spellEnd"/>
      <w:r>
        <w:rPr>
          <w:i/>
        </w:rPr>
        <w:t xml:space="preserve"> Humana </w:t>
      </w:r>
      <w:r>
        <w:t>20:77–100.</w:t>
      </w:r>
      <w:bookmarkStart w:id="580" w:name="ref-baeninger2012"/>
      <w:bookmarkEnd w:id="580"/>
    </w:p>
    <w:p w14:paraId="639DC92F" w14:textId="77777777" w:rsidR="000F7F6A" w:rsidRPr="000D223A" w:rsidRDefault="00952983">
      <w:pPr>
        <w:pStyle w:val="Corpodetexto"/>
        <w:rPr>
          <w:lang w:val="pt-BR"/>
        </w:rPr>
      </w:pPr>
      <w:r w:rsidRPr="000D223A">
        <w:rPr>
          <w:lang w:val="pt-BR"/>
        </w:rPr>
        <w:t xml:space="preserve">Barbosa, A.L.N.H. (2014). </w:t>
      </w:r>
      <w:r w:rsidRPr="000D223A">
        <w:rPr>
          <w:i/>
          <w:lang w:val="pt-BR"/>
        </w:rPr>
        <w:t xml:space="preserve">Participação Feminina no Mercado de Trabalho </w:t>
      </w:r>
      <w:proofErr w:type="gramStart"/>
      <w:r w:rsidRPr="000D223A">
        <w:rPr>
          <w:i/>
          <w:lang w:val="pt-BR"/>
        </w:rPr>
        <w:t>Brasileiro</w:t>
      </w:r>
      <w:proofErr w:type="gramEnd"/>
      <w:r w:rsidRPr="000D223A">
        <w:rPr>
          <w:lang w:val="pt-BR"/>
        </w:rPr>
        <w:t xml:space="preserve">. IPEA, Instituto de Pesquisa Econômica Aplicada.: </w:t>
      </w:r>
      <w:proofErr w:type="spellStart"/>
      <w:r w:rsidRPr="000D223A">
        <w:rPr>
          <w:lang w:val="pt-BR"/>
        </w:rPr>
        <w:t>pages</w:t>
      </w:r>
      <w:proofErr w:type="spellEnd"/>
      <w:r w:rsidRPr="000D223A">
        <w:rPr>
          <w:lang w:val="pt-BR"/>
        </w:rPr>
        <w:t>.</w:t>
      </w:r>
      <w:bookmarkStart w:id="581" w:name="ref-barbosa2014"/>
      <w:bookmarkEnd w:id="581"/>
    </w:p>
    <w:p w14:paraId="373BF501" w14:textId="77777777" w:rsidR="000F7F6A" w:rsidRDefault="00952983">
      <w:pPr>
        <w:pStyle w:val="Corpodetexto"/>
      </w:pPr>
      <w:r w:rsidRPr="000D223A">
        <w:rPr>
          <w:lang w:val="pt-BR"/>
        </w:rPr>
        <w:t xml:space="preserve">Barros, R.P. and Mendonça, R.S.P. (1995). </w:t>
      </w:r>
      <w:r w:rsidRPr="000D223A">
        <w:rPr>
          <w:i/>
          <w:lang w:val="pt-BR"/>
        </w:rPr>
        <w:t>Os Determinantes da desigualdade no Brasil</w:t>
      </w:r>
      <w:r w:rsidRPr="000D223A">
        <w:rPr>
          <w:lang w:val="pt-BR"/>
        </w:rPr>
        <w:t xml:space="preserve">. </w:t>
      </w:r>
      <w:r>
        <w:t xml:space="preserve">IPEA, Instituto de </w:t>
      </w:r>
      <w:proofErr w:type="spellStart"/>
      <w:r>
        <w:t>Pesquisa</w:t>
      </w:r>
      <w:proofErr w:type="spellEnd"/>
      <w:r>
        <w:t xml:space="preserve"> </w:t>
      </w:r>
      <w:proofErr w:type="spellStart"/>
      <w:r>
        <w:t>Econômica</w:t>
      </w:r>
      <w:proofErr w:type="spellEnd"/>
      <w:r>
        <w:t xml:space="preserve"> </w:t>
      </w:r>
      <w:proofErr w:type="spellStart"/>
      <w:r>
        <w:t>Aplicada</w:t>
      </w:r>
      <w:proofErr w:type="spellEnd"/>
      <w:r>
        <w:t>.: pages.</w:t>
      </w:r>
      <w:bookmarkStart w:id="582" w:name="ref-barros_mendonca1995"/>
      <w:bookmarkEnd w:id="582"/>
    </w:p>
    <w:p w14:paraId="1232F48B" w14:textId="77777777" w:rsidR="000F7F6A" w:rsidRDefault="00952983">
      <w:pPr>
        <w:pStyle w:val="Corpodetexto"/>
      </w:pPr>
      <w:r>
        <w:t xml:space="preserve">Becker, G. (1993). </w:t>
      </w:r>
      <w:r>
        <w:rPr>
          <w:i/>
        </w:rPr>
        <w:t>A treatise on the family</w:t>
      </w:r>
      <w:r>
        <w:t>. Cambridge, Massachusetts: Harvard University Press.</w:t>
      </w:r>
      <w:bookmarkStart w:id="583" w:name="ref-becker1993"/>
      <w:bookmarkEnd w:id="583"/>
    </w:p>
    <w:p w14:paraId="47DC2F6B" w14:textId="77777777" w:rsidR="000F7F6A" w:rsidRPr="000D223A" w:rsidRDefault="00952983">
      <w:pPr>
        <w:pStyle w:val="Corpodetexto"/>
        <w:rPr>
          <w:lang w:val="pt-BR"/>
        </w:rPr>
      </w:pPr>
      <w:proofErr w:type="spellStart"/>
      <w:r>
        <w:t>Beltrão</w:t>
      </w:r>
      <w:proofErr w:type="spellEnd"/>
      <w:r>
        <w:t xml:space="preserve">, K.I. and Alves, J.E.D. (2009). </w:t>
      </w:r>
      <w:r w:rsidRPr="000D223A">
        <w:rPr>
          <w:lang w:val="pt-BR"/>
        </w:rPr>
        <w:t xml:space="preserve">A reversão do hiato de gênero na educação Brasileira no século XX. </w:t>
      </w:r>
      <w:r w:rsidRPr="000D223A">
        <w:rPr>
          <w:i/>
          <w:lang w:val="pt-BR"/>
        </w:rPr>
        <w:t>Cadernos de Pesquisa</w:t>
      </w:r>
      <w:r w:rsidRPr="000D223A">
        <w:rPr>
          <w:lang w:val="pt-BR"/>
        </w:rPr>
        <w:t xml:space="preserve"> 39(136):125–156.</w:t>
      </w:r>
      <w:bookmarkStart w:id="584" w:name="ref-beltrao_alves2009"/>
      <w:bookmarkEnd w:id="584"/>
    </w:p>
    <w:p w14:paraId="6513FB2E" w14:textId="77777777" w:rsidR="000F7F6A" w:rsidRDefault="00952983">
      <w:pPr>
        <w:pStyle w:val="Corpodetexto"/>
      </w:pPr>
      <w:r w:rsidRPr="000D223A">
        <w:rPr>
          <w:lang w:val="pt-BR"/>
        </w:rPr>
        <w:t xml:space="preserve">Berquó, E. and Cavenaghi, S.M. (2014). Notas sobre os diferenciais educacionais e econômicos da fecundidade no Brasil. </w:t>
      </w:r>
      <w:proofErr w:type="spellStart"/>
      <w:r>
        <w:rPr>
          <w:i/>
        </w:rPr>
        <w:t>Revista</w:t>
      </w:r>
      <w:proofErr w:type="spellEnd"/>
      <w:r>
        <w:rPr>
          <w:i/>
        </w:rPr>
        <w:t xml:space="preserve"> </w:t>
      </w:r>
      <w:proofErr w:type="spellStart"/>
      <w:r>
        <w:rPr>
          <w:i/>
        </w:rPr>
        <w:t>Brasileira</w:t>
      </w:r>
      <w:proofErr w:type="spellEnd"/>
      <w:r>
        <w:rPr>
          <w:i/>
        </w:rPr>
        <w:t xml:space="preserve"> de </w:t>
      </w:r>
      <w:proofErr w:type="spellStart"/>
      <w:r>
        <w:rPr>
          <w:i/>
        </w:rPr>
        <w:t>Estudos</w:t>
      </w:r>
      <w:proofErr w:type="spellEnd"/>
      <w:r>
        <w:rPr>
          <w:i/>
        </w:rPr>
        <w:t xml:space="preserve"> de </w:t>
      </w:r>
      <w:proofErr w:type="spellStart"/>
      <w:r>
        <w:rPr>
          <w:i/>
        </w:rPr>
        <w:t>População</w:t>
      </w:r>
      <w:proofErr w:type="spellEnd"/>
      <w:r>
        <w:t xml:space="preserve"> 31(2):471–482.</w:t>
      </w:r>
      <w:bookmarkStart w:id="585" w:name="ref-berquo_cavenaghi2014"/>
      <w:bookmarkEnd w:id="585"/>
    </w:p>
    <w:p w14:paraId="4A97EF59" w14:textId="77777777" w:rsidR="000F7F6A" w:rsidRDefault="00952983">
      <w:pPr>
        <w:pStyle w:val="Corpodetexto"/>
      </w:pPr>
      <w:proofErr w:type="spellStart"/>
      <w:r w:rsidRPr="000D223A">
        <w:rPr>
          <w:lang w:val="pt-BR"/>
        </w:rPr>
        <w:t>Besse</w:t>
      </w:r>
      <w:proofErr w:type="spellEnd"/>
      <w:r w:rsidRPr="000D223A">
        <w:rPr>
          <w:lang w:val="pt-BR"/>
        </w:rPr>
        <w:t xml:space="preserve">, S.K. (1999). </w:t>
      </w:r>
      <w:r w:rsidRPr="000D223A">
        <w:rPr>
          <w:i/>
          <w:lang w:val="pt-BR"/>
        </w:rPr>
        <w:t>Modernizando a desigualdade: reestruturação da ideologia de gênero no Brasil, 1914-1940</w:t>
      </w:r>
      <w:r w:rsidRPr="000D223A">
        <w:rPr>
          <w:lang w:val="pt-BR"/>
        </w:rPr>
        <w:t xml:space="preserve">. </w:t>
      </w:r>
      <w:r>
        <w:t xml:space="preserve">São Paulo: </w:t>
      </w:r>
      <w:proofErr w:type="spellStart"/>
      <w:r>
        <w:t>Edusp</w:t>
      </w:r>
      <w:proofErr w:type="spellEnd"/>
      <w:r>
        <w:t>.</w:t>
      </w:r>
      <w:bookmarkStart w:id="586" w:name="ref-besse1999"/>
      <w:bookmarkEnd w:id="586"/>
    </w:p>
    <w:p w14:paraId="41C608CA" w14:textId="77777777" w:rsidR="000F7F6A" w:rsidRDefault="00952983">
      <w:pPr>
        <w:pStyle w:val="Corpodetexto"/>
      </w:pPr>
      <w:proofErr w:type="spellStart"/>
      <w:r>
        <w:lastRenderedPageBreak/>
        <w:t>Blau</w:t>
      </w:r>
      <w:proofErr w:type="spellEnd"/>
      <w:r>
        <w:t xml:space="preserve">, P.M. and Schwartz, J.E. (1997). </w:t>
      </w:r>
      <w:r>
        <w:rPr>
          <w:i/>
        </w:rPr>
        <w:t>Crosscutting Social Circles</w:t>
      </w:r>
      <w:r>
        <w:t>. New York: Routledge.</w:t>
      </w:r>
      <w:bookmarkStart w:id="587" w:name="ref-blau_schwartz1997"/>
      <w:bookmarkEnd w:id="587"/>
    </w:p>
    <w:p w14:paraId="654C16F4" w14:textId="77777777" w:rsidR="000F7F6A" w:rsidRDefault="00952983">
      <w:pPr>
        <w:pStyle w:val="Corpodetexto"/>
      </w:pPr>
      <w:r>
        <w:t xml:space="preserve">Bongaarts, J. (2003). Completing the Fertility Transition in the Developing World: The Role of Educational Differences and Fertility Preferences. </w:t>
      </w:r>
      <w:r>
        <w:rPr>
          <w:i/>
        </w:rPr>
        <w:t>Population Studies</w:t>
      </w:r>
      <w:r>
        <w:t xml:space="preserve"> 57(3):321–335.</w:t>
      </w:r>
      <w:bookmarkStart w:id="588" w:name="ref-bongaarts2003"/>
      <w:bookmarkEnd w:id="588"/>
    </w:p>
    <w:p w14:paraId="33198C39" w14:textId="77777777" w:rsidR="000F7F6A" w:rsidRDefault="00952983">
      <w:pPr>
        <w:pStyle w:val="Corpodetexto"/>
      </w:pPr>
      <w:r>
        <w:t xml:space="preserve">Brass, W., Coale, A.J., </w:t>
      </w:r>
      <w:proofErr w:type="spellStart"/>
      <w:r>
        <w:t>Demeny</w:t>
      </w:r>
      <w:proofErr w:type="spellEnd"/>
      <w:r>
        <w:t xml:space="preserve">, P., </w:t>
      </w:r>
      <w:proofErr w:type="spellStart"/>
      <w:r>
        <w:t>Heisel</w:t>
      </w:r>
      <w:proofErr w:type="spellEnd"/>
      <w:r>
        <w:t xml:space="preserve">, D.F., Lorimer, F., Romaniuk, A., and </w:t>
      </w:r>
      <w:proofErr w:type="spellStart"/>
      <w:r>
        <w:t>Walle</w:t>
      </w:r>
      <w:proofErr w:type="spellEnd"/>
      <w:r>
        <w:t xml:space="preserve">, E.V.D. (1968). </w:t>
      </w:r>
      <w:r>
        <w:rPr>
          <w:i/>
        </w:rPr>
        <w:t>Demography of Tropical Africa</w:t>
      </w:r>
      <w:r>
        <w:t>. Princeton University Press.</w:t>
      </w:r>
      <w:bookmarkStart w:id="589" w:name="ref-brass_etal1968"/>
      <w:bookmarkEnd w:id="589"/>
    </w:p>
    <w:p w14:paraId="76252AAA" w14:textId="77777777" w:rsidR="000F7F6A" w:rsidRDefault="00952983">
      <w:pPr>
        <w:pStyle w:val="Corpodetexto"/>
      </w:pPr>
      <w:r>
        <w:t xml:space="preserve">Caldwell, J.C. (1980). Mass Education as a Determinant of the Timing of Fertility Decline. </w:t>
      </w:r>
      <w:r>
        <w:rPr>
          <w:i/>
        </w:rPr>
        <w:t>Population and Development Review</w:t>
      </w:r>
      <w:r>
        <w:t xml:space="preserve"> 2(6):225–255.</w:t>
      </w:r>
      <w:bookmarkStart w:id="590" w:name="ref-caldwell1980"/>
      <w:bookmarkEnd w:id="590"/>
    </w:p>
    <w:p w14:paraId="0AE2B24C" w14:textId="77777777" w:rsidR="000F7F6A" w:rsidRDefault="00952983">
      <w:pPr>
        <w:pStyle w:val="Corpodetexto"/>
      </w:pPr>
      <w:r>
        <w:t xml:space="preserve">Caldwell, J.C. (2006). The Globalization of Fertility Behaviour. In: Caldwell, J. C. (ed.). </w:t>
      </w:r>
      <w:r>
        <w:rPr>
          <w:i/>
        </w:rPr>
        <w:t>Demographic Transition Theory</w:t>
      </w:r>
      <w:r>
        <w:t>. Dordrecht, The Netherlands: Springer: 249–271.</w:t>
      </w:r>
      <w:bookmarkStart w:id="591" w:name="ref-caldwell2006"/>
      <w:bookmarkEnd w:id="591"/>
    </w:p>
    <w:p w14:paraId="35DECEDF" w14:textId="77777777" w:rsidR="000F7F6A" w:rsidRPr="000D223A" w:rsidRDefault="00952983">
      <w:pPr>
        <w:pStyle w:val="Corpodetexto"/>
        <w:rPr>
          <w:lang w:val="pt-BR"/>
        </w:rPr>
      </w:pPr>
      <w:r w:rsidRPr="000D223A">
        <w:rPr>
          <w:lang w:val="pt-BR"/>
        </w:rPr>
        <w:t xml:space="preserve">Camarano, A.A. (2014). </w:t>
      </w:r>
      <w:r w:rsidRPr="000D223A">
        <w:rPr>
          <w:i/>
          <w:lang w:val="pt-BR"/>
        </w:rPr>
        <w:t>Novo Regime Demográfico: uma nova relação entre população e desenvolvimento?</w:t>
      </w:r>
      <w:r w:rsidRPr="000D223A">
        <w:rPr>
          <w:lang w:val="pt-BR"/>
        </w:rPr>
        <w:t xml:space="preserve"> Rio de Janeiro, Brasil: IPEA, Instituto de Pesquisa Econômica e Aplicada.</w:t>
      </w:r>
      <w:bookmarkStart w:id="592" w:name="ref-camarano2014"/>
      <w:bookmarkEnd w:id="592"/>
    </w:p>
    <w:p w14:paraId="3FB322DE" w14:textId="77777777" w:rsidR="000F7F6A" w:rsidRPr="000D223A" w:rsidRDefault="00952983">
      <w:pPr>
        <w:pStyle w:val="Corpodetexto"/>
        <w:rPr>
          <w:lang w:val="pt-BR"/>
        </w:rPr>
      </w:pPr>
      <w:r w:rsidRPr="000D223A">
        <w:rPr>
          <w:lang w:val="pt-BR"/>
        </w:rPr>
        <w:t xml:space="preserve">Carvalho, J.A.M. and Brito, F. (2005). A demografia Brasileira e o declínio da fecundidade no Brasil: contribuições, equívocos e silêncios. </w:t>
      </w:r>
      <w:r w:rsidRPr="000D223A">
        <w:rPr>
          <w:i/>
          <w:lang w:val="pt-BR"/>
        </w:rPr>
        <w:t>Revista Brasileira de Estudos de População</w:t>
      </w:r>
      <w:r w:rsidRPr="000D223A">
        <w:rPr>
          <w:lang w:val="pt-BR"/>
        </w:rPr>
        <w:t xml:space="preserve"> 22(2):351–369.</w:t>
      </w:r>
      <w:bookmarkStart w:id="593" w:name="ref-carvalho_brito2005"/>
      <w:bookmarkEnd w:id="593"/>
    </w:p>
    <w:p w14:paraId="564D8107" w14:textId="77777777" w:rsidR="000F7F6A" w:rsidRPr="000D223A" w:rsidRDefault="00952983">
      <w:pPr>
        <w:pStyle w:val="Corpodetexto"/>
        <w:rPr>
          <w:lang w:val="pt-BR"/>
        </w:rPr>
      </w:pPr>
      <w:r w:rsidRPr="000D223A">
        <w:rPr>
          <w:lang w:val="pt-BR"/>
        </w:rPr>
        <w:t xml:space="preserve">Carvalho, J.A.M. and Wong, L.R. (1992). La </w:t>
      </w:r>
      <w:proofErr w:type="spellStart"/>
      <w:r w:rsidRPr="000D223A">
        <w:rPr>
          <w:lang w:val="pt-BR"/>
        </w:rPr>
        <w:t>transición</w:t>
      </w:r>
      <w:proofErr w:type="spellEnd"/>
      <w:r w:rsidRPr="000D223A">
        <w:rPr>
          <w:lang w:val="pt-BR"/>
        </w:rPr>
        <w:t xml:space="preserve"> de </w:t>
      </w:r>
      <w:proofErr w:type="spellStart"/>
      <w:r w:rsidRPr="000D223A">
        <w:rPr>
          <w:lang w:val="pt-BR"/>
        </w:rPr>
        <w:t>la</w:t>
      </w:r>
      <w:proofErr w:type="spellEnd"/>
      <w:r w:rsidRPr="000D223A">
        <w:rPr>
          <w:lang w:val="pt-BR"/>
        </w:rPr>
        <w:t xml:space="preserve"> </w:t>
      </w:r>
      <w:proofErr w:type="spellStart"/>
      <w:r w:rsidRPr="000D223A">
        <w:rPr>
          <w:lang w:val="pt-BR"/>
        </w:rPr>
        <w:t>fecundidad</w:t>
      </w:r>
      <w:proofErr w:type="spellEnd"/>
      <w:r w:rsidRPr="000D223A">
        <w:rPr>
          <w:lang w:val="pt-BR"/>
        </w:rPr>
        <w:t xml:space="preserve"> </w:t>
      </w:r>
      <w:proofErr w:type="spellStart"/>
      <w:r w:rsidRPr="000D223A">
        <w:rPr>
          <w:lang w:val="pt-BR"/>
        </w:rPr>
        <w:t>en</w:t>
      </w:r>
      <w:proofErr w:type="spellEnd"/>
      <w:r w:rsidRPr="000D223A">
        <w:rPr>
          <w:lang w:val="pt-BR"/>
        </w:rPr>
        <w:t xml:space="preserve"> Brasil: causas y </w:t>
      </w:r>
      <w:proofErr w:type="spellStart"/>
      <w:r w:rsidRPr="000D223A">
        <w:rPr>
          <w:lang w:val="pt-BR"/>
        </w:rPr>
        <w:t>consecuencias</w:t>
      </w:r>
      <w:proofErr w:type="spellEnd"/>
      <w:r w:rsidRPr="000D223A">
        <w:rPr>
          <w:lang w:val="pt-BR"/>
        </w:rPr>
        <w:t xml:space="preserve">. </w:t>
      </w:r>
      <w:r w:rsidRPr="000D223A">
        <w:rPr>
          <w:i/>
          <w:lang w:val="pt-BR"/>
        </w:rPr>
        <w:t xml:space="preserve">Notas de </w:t>
      </w:r>
      <w:proofErr w:type="spellStart"/>
      <w:r w:rsidRPr="000D223A">
        <w:rPr>
          <w:i/>
          <w:lang w:val="pt-BR"/>
        </w:rPr>
        <w:t>Población</w:t>
      </w:r>
      <w:proofErr w:type="spellEnd"/>
      <w:r w:rsidRPr="000D223A">
        <w:rPr>
          <w:lang w:val="pt-BR"/>
        </w:rPr>
        <w:t>.</w:t>
      </w:r>
      <w:bookmarkStart w:id="594" w:name="ref-carvalho_wong1992"/>
      <w:bookmarkEnd w:id="594"/>
    </w:p>
    <w:p w14:paraId="765BD656" w14:textId="77777777" w:rsidR="000F7F6A" w:rsidRDefault="00952983">
      <w:pPr>
        <w:pStyle w:val="Corpodetexto"/>
      </w:pPr>
      <w:r w:rsidRPr="000D223A">
        <w:rPr>
          <w:lang w:val="pt-BR"/>
        </w:rPr>
        <w:lastRenderedPageBreak/>
        <w:t xml:space="preserve">Castanheira, H.C. and </w:t>
      </w:r>
      <w:proofErr w:type="spellStart"/>
      <w:r w:rsidRPr="000D223A">
        <w:rPr>
          <w:lang w:val="pt-BR"/>
        </w:rPr>
        <w:t>Kohler</w:t>
      </w:r>
      <w:proofErr w:type="spellEnd"/>
      <w:r w:rsidRPr="000D223A">
        <w:rPr>
          <w:lang w:val="pt-BR"/>
        </w:rPr>
        <w:t xml:space="preserve">, H.P. (2015). </w:t>
      </w:r>
      <w:r>
        <w:t xml:space="preserve">It is Lower Than You Think it is: Recent Total Fertility Rates in Brazil and Possibly Other Latin American Countries. </w:t>
      </w:r>
      <w:r>
        <w:rPr>
          <w:i/>
        </w:rPr>
        <w:t xml:space="preserve">PSC Working </w:t>
      </w:r>
      <w:proofErr w:type="spellStart"/>
      <w:proofErr w:type="gramStart"/>
      <w:r>
        <w:rPr>
          <w:i/>
        </w:rPr>
        <w:t>PaperSeries</w:t>
      </w:r>
      <w:proofErr w:type="spellEnd"/>
      <w:r>
        <w:t>(</w:t>
      </w:r>
      <w:proofErr w:type="gramEnd"/>
      <w:r>
        <w:t>63).</w:t>
      </w:r>
      <w:bookmarkStart w:id="595" w:name="ref-castanheira_kohler2015"/>
      <w:bookmarkEnd w:id="595"/>
    </w:p>
    <w:p w14:paraId="3C3A978E" w14:textId="77777777" w:rsidR="000F7F6A" w:rsidRDefault="00952983">
      <w:pPr>
        <w:pStyle w:val="Corpodetexto"/>
      </w:pPr>
      <w:r>
        <w:t xml:space="preserve">Castanheira, H.C. and Kohler, H.-P. (2017). Social Determinants of Low Fertility in Brazil. </w:t>
      </w:r>
      <w:r>
        <w:rPr>
          <w:i/>
        </w:rPr>
        <w:t>Journal of Biosocial Science</w:t>
      </w:r>
      <w:r>
        <w:t xml:space="preserve"> 49(S1</w:t>
      </w:r>
      <w:proofErr w:type="gramStart"/>
      <w:r>
        <w:t>):S</w:t>
      </w:r>
      <w:proofErr w:type="gramEnd"/>
      <w:r>
        <w:t>131–S155.</w:t>
      </w:r>
      <w:bookmarkStart w:id="596" w:name="ref-castanheira_kohler2017"/>
      <w:bookmarkEnd w:id="596"/>
    </w:p>
    <w:p w14:paraId="2ED4F53C" w14:textId="77777777" w:rsidR="000F7F6A" w:rsidRPr="000D223A" w:rsidRDefault="00952983">
      <w:pPr>
        <w:pStyle w:val="Corpodetexto"/>
        <w:rPr>
          <w:lang w:val="pt-BR"/>
        </w:rPr>
      </w:pPr>
      <w:r>
        <w:t xml:space="preserve">Castro, M.H.G. (1998). </w:t>
      </w:r>
      <w:r w:rsidRPr="000D223A">
        <w:rPr>
          <w:i/>
          <w:lang w:val="pt-BR"/>
        </w:rPr>
        <w:t>Avaliação do sistema educacional Brasileiro: tendências e perspectivas</w:t>
      </w:r>
      <w:r w:rsidRPr="000D223A">
        <w:rPr>
          <w:lang w:val="pt-BR"/>
        </w:rPr>
        <w:t xml:space="preserve">. Instituto Nacional de Estudos e Pesquisas Educacionais (INEP).: </w:t>
      </w:r>
      <w:proofErr w:type="spellStart"/>
      <w:r w:rsidRPr="000D223A">
        <w:rPr>
          <w:lang w:val="pt-BR"/>
        </w:rPr>
        <w:t>pages</w:t>
      </w:r>
      <w:proofErr w:type="spellEnd"/>
      <w:r w:rsidRPr="000D223A">
        <w:rPr>
          <w:lang w:val="pt-BR"/>
        </w:rPr>
        <w:t>.</w:t>
      </w:r>
      <w:bookmarkStart w:id="597" w:name="ref-castro1998"/>
      <w:bookmarkEnd w:id="597"/>
    </w:p>
    <w:p w14:paraId="3AD0BFAF" w14:textId="77777777" w:rsidR="000F7F6A" w:rsidRPr="000D223A" w:rsidRDefault="00952983">
      <w:pPr>
        <w:pStyle w:val="Corpodetexto"/>
        <w:rPr>
          <w:lang w:val="pt-BR"/>
        </w:rPr>
      </w:pPr>
      <w:r w:rsidRPr="000D223A">
        <w:rPr>
          <w:lang w:val="pt-BR"/>
        </w:rPr>
        <w:t xml:space="preserve">Castro-Martin, T. and Juarez, F. (1995). </w:t>
      </w:r>
      <w:r>
        <w:t xml:space="preserve">The Impact of Women’s Education on Fertility in Latin America: Searching for Explanations. </w:t>
      </w:r>
      <w:proofErr w:type="spellStart"/>
      <w:r w:rsidRPr="000D223A">
        <w:rPr>
          <w:i/>
          <w:lang w:val="pt-BR"/>
        </w:rPr>
        <w:t>International</w:t>
      </w:r>
      <w:proofErr w:type="spellEnd"/>
      <w:r w:rsidRPr="000D223A">
        <w:rPr>
          <w:i/>
          <w:lang w:val="pt-BR"/>
        </w:rPr>
        <w:t xml:space="preserve"> Family Planning Perspectives</w:t>
      </w:r>
      <w:r w:rsidRPr="000D223A">
        <w:rPr>
          <w:lang w:val="pt-BR"/>
        </w:rPr>
        <w:t xml:space="preserve"> 2(21):52–57.</w:t>
      </w:r>
      <w:bookmarkStart w:id="598" w:name="ref-martin_juarez1995"/>
      <w:bookmarkEnd w:id="598"/>
    </w:p>
    <w:p w14:paraId="755681F3" w14:textId="77777777" w:rsidR="000F7F6A" w:rsidRDefault="00952983">
      <w:pPr>
        <w:pStyle w:val="Corpodetexto"/>
      </w:pPr>
      <w:proofErr w:type="spellStart"/>
      <w:r w:rsidRPr="000D223A">
        <w:rPr>
          <w:lang w:val="pt-BR"/>
        </w:rPr>
        <w:t>Chackiel</w:t>
      </w:r>
      <w:proofErr w:type="spellEnd"/>
      <w:r w:rsidRPr="000D223A">
        <w:rPr>
          <w:lang w:val="pt-BR"/>
        </w:rPr>
        <w:t xml:space="preserve">, J. and </w:t>
      </w:r>
      <w:proofErr w:type="spellStart"/>
      <w:r w:rsidRPr="000D223A">
        <w:rPr>
          <w:lang w:val="pt-BR"/>
        </w:rPr>
        <w:t>Schkolnik</w:t>
      </w:r>
      <w:proofErr w:type="spellEnd"/>
      <w:r w:rsidRPr="000D223A">
        <w:rPr>
          <w:lang w:val="pt-BR"/>
        </w:rPr>
        <w:t xml:space="preserve">, S. (2003). América Latina: </w:t>
      </w:r>
      <w:proofErr w:type="spellStart"/>
      <w:r w:rsidRPr="000D223A">
        <w:rPr>
          <w:lang w:val="pt-BR"/>
        </w:rPr>
        <w:t>los</w:t>
      </w:r>
      <w:proofErr w:type="spellEnd"/>
      <w:r w:rsidRPr="000D223A">
        <w:rPr>
          <w:lang w:val="pt-BR"/>
        </w:rPr>
        <w:t xml:space="preserve"> sectores </w:t>
      </w:r>
      <w:proofErr w:type="spellStart"/>
      <w:r w:rsidRPr="000D223A">
        <w:rPr>
          <w:lang w:val="pt-BR"/>
        </w:rPr>
        <w:t>rezagados</w:t>
      </w:r>
      <w:proofErr w:type="spellEnd"/>
      <w:r w:rsidRPr="000D223A">
        <w:rPr>
          <w:lang w:val="pt-BR"/>
        </w:rPr>
        <w:t xml:space="preserve"> </w:t>
      </w:r>
      <w:proofErr w:type="spellStart"/>
      <w:r w:rsidRPr="000D223A">
        <w:rPr>
          <w:lang w:val="pt-BR"/>
        </w:rPr>
        <w:t>en</w:t>
      </w:r>
      <w:proofErr w:type="spellEnd"/>
      <w:r w:rsidRPr="000D223A">
        <w:rPr>
          <w:lang w:val="pt-BR"/>
        </w:rPr>
        <w:t xml:space="preserve"> </w:t>
      </w:r>
      <w:proofErr w:type="spellStart"/>
      <w:r w:rsidRPr="000D223A">
        <w:rPr>
          <w:lang w:val="pt-BR"/>
        </w:rPr>
        <w:t>la</w:t>
      </w:r>
      <w:proofErr w:type="spellEnd"/>
      <w:r w:rsidRPr="000D223A">
        <w:rPr>
          <w:lang w:val="pt-BR"/>
        </w:rPr>
        <w:t xml:space="preserve"> </w:t>
      </w:r>
      <w:proofErr w:type="spellStart"/>
      <w:r w:rsidRPr="000D223A">
        <w:rPr>
          <w:lang w:val="pt-BR"/>
        </w:rPr>
        <w:t>transición</w:t>
      </w:r>
      <w:proofErr w:type="spellEnd"/>
      <w:r w:rsidRPr="000D223A">
        <w:rPr>
          <w:lang w:val="pt-BR"/>
        </w:rPr>
        <w:t xml:space="preserve"> de </w:t>
      </w:r>
      <w:proofErr w:type="spellStart"/>
      <w:r w:rsidRPr="000D223A">
        <w:rPr>
          <w:lang w:val="pt-BR"/>
        </w:rPr>
        <w:t>la</w:t>
      </w:r>
      <w:proofErr w:type="spellEnd"/>
      <w:r w:rsidRPr="000D223A">
        <w:rPr>
          <w:lang w:val="pt-BR"/>
        </w:rPr>
        <w:t xml:space="preserve"> </w:t>
      </w:r>
      <w:proofErr w:type="spellStart"/>
      <w:r w:rsidRPr="000D223A">
        <w:rPr>
          <w:lang w:val="pt-BR"/>
        </w:rPr>
        <w:t>fecundidad</w:t>
      </w:r>
      <w:proofErr w:type="spellEnd"/>
      <w:r w:rsidRPr="000D223A">
        <w:rPr>
          <w:lang w:val="pt-BR"/>
        </w:rPr>
        <w:t xml:space="preserve">. In: Unidas, N. (ed.). </w:t>
      </w:r>
      <w:r w:rsidRPr="000D223A">
        <w:rPr>
          <w:i/>
          <w:lang w:val="pt-BR"/>
        </w:rPr>
        <w:t xml:space="preserve">La </w:t>
      </w:r>
      <w:proofErr w:type="spellStart"/>
      <w:r w:rsidRPr="000D223A">
        <w:rPr>
          <w:i/>
          <w:lang w:val="pt-BR"/>
        </w:rPr>
        <w:t>fecundidad</w:t>
      </w:r>
      <w:proofErr w:type="spellEnd"/>
      <w:r w:rsidRPr="000D223A">
        <w:rPr>
          <w:i/>
          <w:lang w:val="pt-BR"/>
        </w:rPr>
        <w:t xml:space="preserve"> </w:t>
      </w:r>
      <w:proofErr w:type="spellStart"/>
      <w:r w:rsidRPr="000D223A">
        <w:rPr>
          <w:i/>
          <w:lang w:val="pt-BR"/>
        </w:rPr>
        <w:t>en</w:t>
      </w:r>
      <w:proofErr w:type="spellEnd"/>
      <w:r w:rsidRPr="000D223A">
        <w:rPr>
          <w:i/>
          <w:lang w:val="pt-BR"/>
        </w:rPr>
        <w:t xml:space="preserve"> América Latina: ¿</w:t>
      </w:r>
      <w:proofErr w:type="spellStart"/>
      <w:r w:rsidRPr="000D223A">
        <w:rPr>
          <w:i/>
          <w:lang w:val="pt-BR"/>
        </w:rPr>
        <w:t>Transición</w:t>
      </w:r>
      <w:proofErr w:type="spellEnd"/>
      <w:r w:rsidRPr="000D223A">
        <w:rPr>
          <w:i/>
          <w:lang w:val="pt-BR"/>
        </w:rPr>
        <w:t xml:space="preserve"> o </w:t>
      </w:r>
      <w:proofErr w:type="spellStart"/>
      <w:r w:rsidRPr="000D223A">
        <w:rPr>
          <w:i/>
          <w:lang w:val="pt-BR"/>
        </w:rPr>
        <w:t>revolución</w:t>
      </w:r>
      <w:proofErr w:type="spellEnd"/>
      <w:r w:rsidRPr="000D223A">
        <w:rPr>
          <w:i/>
          <w:lang w:val="pt-BR"/>
        </w:rPr>
        <w:t xml:space="preserve">? </w:t>
      </w:r>
      <w:r>
        <w:rPr>
          <w:i/>
        </w:rPr>
        <w:t xml:space="preserve">Serie </w:t>
      </w:r>
      <w:proofErr w:type="spellStart"/>
      <w:r>
        <w:rPr>
          <w:i/>
        </w:rPr>
        <w:t>Seminarios</w:t>
      </w:r>
      <w:proofErr w:type="spellEnd"/>
      <w:r>
        <w:rPr>
          <w:i/>
        </w:rPr>
        <w:t xml:space="preserve"> y </w:t>
      </w:r>
      <w:proofErr w:type="spellStart"/>
      <w:r>
        <w:rPr>
          <w:i/>
        </w:rPr>
        <w:t>Conferencias</w:t>
      </w:r>
      <w:proofErr w:type="spellEnd"/>
      <w:r>
        <w:t>. Santiago, Chile: 51–74.</w:t>
      </w:r>
      <w:bookmarkStart w:id="599" w:name="ref-chackiel_schkolnik2003"/>
      <w:bookmarkEnd w:id="599"/>
    </w:p>
    <w:p w14:paraId="12C43E44" w14:textId="77777777" w:rsidR="000F7F6A" w:rsidRDefault="00952983">
      <w:pPr>
        <w:pStyle w:val="Corpodetexto"/>
      </w:pPr>
      <w:r>
        <w:t xml:space="preserve">Cleland, J. and Wilson, C. (1987). Demand Theories of the Fertility Transition: An Iconoclastic View. </w:t>
      </w:r>
      <w:r>
        <w:rPr>
          <w:i/>
        </w:rPr>
        <w:t>Population Studies</w:t>
      </w:r>
      <w:r>
        <w:t xml:space="preserve"> 41(1):5–30.</w:t>
      </w:r>
      <w:bookmarkStart w:id="600" w:name="ref-cleland_wilson1987"/>
      <w:bookmarkEnd w:id="600"/>
    </w:p>
    <w:p w14:paraId="0D957B44" w14:textId="77777777" w:rsidR="000F7F6A" w:rsidRDefault="00952983">
      <w:pPr>
        <w:pStyle w:val="Corpodetexto"/>
      </w:pPr>
      <w:r>
        <w:t xml:space="preserve">Das Gupta, P. (1993). </w:t>
      </w:r>
      <w:r>
        <w:rPr>
          <w:i/>
        </w:rPr>
        <w:t>Standardization and Decomposition of Rates: A User’s Manual</w:t>
      </w:r>
      <w:r>
        <w:t xml:space="preserve">. United States Census Bureau.: pages. </w:t>
      </w:r>
      <w:hyperlink r:id="rId8">
        <w:r>
          <w:rPr>
            <w:rStyle w:val="ListLabel148"/>
          </w:rPr>
          <w:t>https://www.census.gov/library/publications/1993/demo/p23-186.html</w:t>
        </w:r>
      </w:hyperlink>
      <w:r>
        <w:t>.</w:t>
      </w:r>
    </w:p>
    <w:p w14:paraId="3AA69AE6" w14:textId="77777777" w:rsidR="000F7F6A" w:rsidRDefault="00952983">
      <w:pPr>
        <w:pStyle w:val="Corpodetexto"/>
      </w:pPr>
      <w:proofErr w:type="spellStart"/>
      <w:r>
        <w:lastRenderedPageBreak/>
        <w:t>Eckland</w:t>
      </w:r>
      <w:proofErr w:type="spellEnd"/>
      <w:r>
        <w:t xml:space="preserve">, B.K. (1968). Theories of mate selection. </w:t>
      </w:r>
      <w:r>
        <w:rPr>
          <w:i/>
        </w:rPr>
        <w:t>Eugenics Quarterly</w:t>
      </w:r>
      <w:r>
        <w:t xml:space="preserve"> 15(2):71–84.</w:t>
      </w:r>
      <w:bookmarkStart w:id="601" w:name="ref-eckland1968"/>
      <w:bookmarkEnd w:id="601"/>
    </w:p>
    <w:p w14:paraId="24913010" w14:textId="77777777" w:rsidR="000F7F6A" w:rsidRDefault="00952983">
      <w:pPr>
        <w:pStyle w:val="Corpodetexto"/>
      </w:pPr>
      <w:r>
        <w:t xml:space="preserve">England, P. (2010). The Gender Revolution: Uneven and Stalled. </w:t>
      </w:r>
      <w:r>
        <w:rPr>
          <w:i/>
        </w:rPr>
        <w:t>Gender and Society</w:t>
      </w:r>
      <w:r>
        <w:t xml:space="preserve"> 24(2):149–166.</w:t>
      </w:r>
      <w:bookmarkStart w:id="602" w:name="ref-england2010"/>
      <w:bookmarkEnd w:id="602"/>
    </w:p>
    <w:p w14:paraId="70EDACBA" w14:textId="77777777" w:rsidR="000F7F6A" w:rsidRDefault="00952983">
      <w:pPr>
        <w:pStyle w:val="Corpodetexto"/>
      </w:pPr>
      <w:proofErr w:type="spellStart"/>
      <w:r>
        <w:t>Esping</w:t>
      </w:r>
      <w:proofErr w:type="spellEnd"/>
      <w:r>
        <w:t xml:space="preserve">-Andersen, G. (2009). </w:t>
      </w:r>
      <w:r>
        <w:rPr>
          <w:i/>
        </w:rPr>
        <w:t>Incomplete Revolution: Adapting Welfare States to Women’s New Roles</w:t>
      </w:r>
      <w:r>
        <w:t>. Cambridge: Polity Press.</w:t>
      </w:r>
      <w:bookmarkStart w:id="603" w:name="ref-esping-andersen2009"/>
      <w:bookmarkEnd w:id="603"/>
    </w:p>
    <w:p w14:paraId="69085062" w14:textId="77777777" w:rsidR="000F7F6A" w:rsidRDefault="00952983">
      <w:pPr>
        <w:pStyle w:val="Corpodetexto"/>
      </w:pPr>
      <w:proofErr w:type="spellStart"/>
      <w:r>
        <w:t>Esteve</w:t>
      </w:r>
      <w:proofErr w:type="spellEnd"/>
      <w:r>
        <w:t xml:space="preserve">, A., Garcia-Román, J., and </w:t>
      </w:r>
      <w:proofErr w:type="spellStart"/>
      <w:r>
        <w:t>Permanyer</w:t>
      </w:r>
      <w:proofErr w:type="spellEnd"/>
      <w:r>
        <w:t xml:space="preserve">, I. (2012). The gender-gap reversal in education and its effect on union formation: The end of hypergamy? </w:t>
      </w:r>
      <w:r>
        <w:rPr>
          <w:i/>
        </w:rPr>
        <w:t>Population and Development Review</w:t>
      </w:r>
      <w:r>
        <w:t xml:space="preserve"> 3(38):535–546.</w:t>
      </w:r>
      <w:bookmarkStart w:id="604" w:name="ref-esteve_etal2012_1"/>
      <w:bookmarkEnd w:id="604"/>
    </w:p>
    <w:p w14:paraId="7F00A055" w14:textId="77777777" w:rsidR="000F7F6A" w:rsidRDefault="00952983">
      <w:pPr>
        <w:pStyle w:val="Corpodetexto"/>
      </w:pPr>
      <w:proofErr w:type="spellStart"/>
      <w:r>
        <w:t>Esteve</w:t>
      </w:r>
      <w:proofErr w:type="spellEnd"/>
      <w:r>
        <w:t xml:space="preserve">, A. and McCaa, R. (2007). </w:t>
      </w:r>
      <w:proofErr w:type="spellStart"/>
      <w:r>
        <w:t>Homogamia</w:t>
      </w:r>
      <w:proofErr w:type="spellEnd"/>
      <w:r>
        <w:t xml:space="preserve"> </w:t>
      </w:r>
      <w:proofErr w:type="spellStart"/>
      <w:r>
        <w:t>educacional</w:t>
      </w:r>
      <w:proofErr w:type="spellEnd"/>
      <w:r>
        <w:t xml:space="preserve"> </w:t>
      </w:r>
      <w:proofErr w:type="spellStart"/>
      <w:r>
        <w:t>en</w:t>
      </w:r>
      <w:proofErr w:type="spellEnd"/>
      <w:r>
        <w:t xml:space="preserve"> México y Brasil, 1970-2000: </w:t>
      </w:r>
      <w:proofErr w:type="spellStart"/>
      <w:r>
        <w:t>Pautas</w:t>
      </w:r>
      <w:proofErr w:type="spellEnd"/>
      <w:r>
        <w:t xml:space="preserve"> y </w:t>
      </w:r>
      <w:proofErr w:type="spellStart"/>
      <w:r>
        <w:t>tendencias</w:t>
      </w:r>
      <w:proofErr w:type="spellEnd"/>
      <w:r>
        <w:t xml:space="preserve">. </w:t>
      </w:r>
      <w:r>
        <w:rPr>
          <w:i/>
        </w:rPr>
        <w:t>Latin American Research Review</w:t>
      </w:r>
      <w:r>
        <w:t xml:space="preserve"> 42(2):56–85.</w:t>
      </w:r>
      <w:bookmarkStart w:id="605" w:name="ref-esteve_mcaa2007"/>
      <w:bookmarkEnd w:id="605"/>
    </w:p>
    <w:p w14:paraId="5613C9D3" w14:textId="77777777" w:rsidR="000F7F6A" w:rsidRDefault="00952983">
      <w:pPr>
        <w:pStyle w:val="Corpodetexto"/>
      </w:pPr>
      <w:proofErr w:type="spellStart"/>
      <w:r>
        <w:t>Esteve</w:t>
      </w:r>
      <w:proofErr w:type="spellEnd"/>
      <w:r>
        <w:t xml:space="preserve">, A., Schwartz, C.R., Val </w:t>
      </w:r>
      <w:proofErr w:type="spellStart"/>
      <w:r>
        <w:t>Bavel</w:t>
      </w:r>
      <w:proofErr w:type="spellEnd"/>
      <w:r>
        <w:t xml:space="preserve">, J., </w:t>
      </w:r>
      <w:proofErr w:type="spellStart"/>
      <w:r>
        <w:t>Permanyer</w:t>
      </w:r>
      <w:proofErr w:type="spellEnd"/>
      <w:r>
        <w:t xml:space="preserve">, I., </w:t>
      </w:r>
      <w:proofErr w:type="spellStart"/>
      <w:r>
        <w:t>Klesment</w:t>
      </w:r>
      <w:proofErr w:type="spellEnd"/>
      <w:r>
        <w:t xml:space="preserve">, M., and García-Román, J. (2016). The End of Hypergamy: Global Trends and Implications. </w:t>
      </w:r>
      <w:r>
        <w:rPr>
          <w:i/>
        </w:rPr>
        <w:t>Population and Development Review</w:t>
      </w:r>
      <w:r>
        <w:t xml:space="preserve"> 42(4):615–625.</w:t>
      </w:r>
      <w:bookmarkStart w:id="606" w:name="ref-esteve_etal2016"/>
      <w:bookmarkEnd w:id="606"/>
    </w:p>
    <w:p w14:paraId="503281B0" w14:textId="77777777" w:rsidR="000F7F6A" w:rsidRDefault="00952983">
      <w:pPr>
        <w:pStyle w:val="Corpodetexto"/>
      </w:pPr>
      <w:proofErr w:type="spellStart"/>
      <w:r>
        <w:t>Esteve</w:t>
      </w:r>
      <w:proofErr w:type="spellEnd"/>
      <w:r>
        <w:t xml:space="preserve">, A. and Sobek, M. (2003). Challenges and Methods of International Census Harmonization. </w:t>
      </w:r>
      <w:r>
        <w:rPr>
          <w:i/>
        </w:rPr>
        <w:t>Historical Methods: A Journal of Quantitative and Interdisciplinary History</w:t>
      </w:r>
      <w:r>
        <w:t xml:space="preserve"> 36(2):66–79.</w:t>
      </w:r>
      <w:bookmarkStart w:id="607" w:name="ref-esteve_sobek2003"/>
      <w:bookmarkEnd w:id="607"/>
    </w:p>
    <w:p w14:paraId="3CA61534" w14:textId="77777777" w:rsidR="000F7F6A" w:rsidRDefault="00952983">
      <w:pPr>
        <w:pStyle w:val="Corpodetexto"/>
      </w:pPr>
      <w:proofErr w:type="spellStart"/>
      <w:r>
        <w:t>Faria</w:t>
      </w:r>
      <w:proofErr w:type="spellEnd"/>
      <w:r>
        <w:t xml:space="preserve">, V.E. (1989). </w:t>
      </w:r>
      <w:r w:rsidRPr="000D223A">
        <w:rPr>
          <w:lang w:val="pt-BR"/>
        </w:rPr>
        <w:t xml:space="preserve">Políticas de governo e regulação da fecundidade: Consequências não antecipadas e efeitos perversos. </w:t>
      </w:r>
      <w:proofErr w:type="spellStart"/>
      <w:r>
        <w:rPr>
          <w:i/>
        </w:rPr>
        <w:t>Ciências</w:t>
      </w:r>
      <w:proofErr w:type="spellEnd"/>
      <w:r>
        <w:rPr>
          <w:i/>
        </w:rPr>
        <w:t xml:space="preserve"> </w:t>
      </w:r>
      <w:proofErr w:type="spellStart"/>
      <w:r>
        <w:rPr>
          <w:i/>
        </w:rPr>
        <w:t>Sociais</w:t>
      </w:r>
      <w:proofErr w:type="spellEnd"/>
      <w:r>
        <w:rPr>
          <w:i/>
        </w:rPr>
        <w:t xml:space="preserve"> </w:t>
      </w:r>
      <w:proofErr w:type="spellStart"/>
      <w:proofErr w:type="gramStart"/>
      <w:r>
        <w:rPr>
          <w:i/>
        </w:rPr>
        <w:t>Hoje</w:t>
      </w:r>
      <w:proofErr w:type="spellEnd"/>
      <w:r>
        <w:t>(</w:t>
      </w:r>
      <w:proofErr w:type="gramEnd"/>
      <w:r>
        <w:t>5):62–103.</w:t>
      </w:r>
      <w:bookmarkStart w:id="608" w:name="ref-faria1989"/>
      <w:bookmarkEnd w:id="608"/>
    </w:p>
    <w:p w14:paraId="4A8844AE" w14:textId="77777777" w:rsidR="000F7F6A" w:rsidRPr="000D223A" w:rsidRDefault="00952983">
      <w:pPr>
        <w:pStyle w:val="Corpodetexto"/>
        <w:rPr>
          <w:lang w:val="pt-BR"/>
        </w:rPr>
      </w:pPr>
      <w:proofErr w:type="spellStart"/>
      <w:r>
        <w:lastRenderedPageBreak/>
        <w:t>Faria</w:t>
      </w:r>
      <w:proofErr w:type="spellEnd"/>
      <w:r>
        <w:t xml:space="preserve">, V.E. (1997). Government policy and fertility regulation: unintended consequences and perverse effects. </w:t>
      </w:r>
      <w:r w:rsidRPr="000D223A">
        <w:rPr>
          <w:i/>
          <w:lang w:val="pt-BR"/>
        </w:rPr>
        <w:t xml:space="preserve">Revista Brasileira de Estudos de </w:t>
      </w:r>
      <w:proofErr w:type="gramStart"/>
      <w:r w:rsidRPr="000D223A">
        <w:rPr>
          <w:i/>
          <w:lang w:val="pt-BR"/>
        </w:rPr>
        <w:t>População</w:t>
      </w:r>
      <w:r w:rsidRPr="000D223A">
        <w:rPr>
          <w:lang w:val="pt-BR"/>
        </w:rPr>
        <w:t>(</w:t>
      </w:r>
      <w:proofErr w:type="gramEnd"/>
      <w:r w:rsidRPr="000D223A">
        <w:rPr>
          <w:lang w:val="pt-BR"/>
        </w:rPr>
        <w:t>1):179–205.</w:t>
      </w:r>
      <w:bookmarkStart w:id="609" w:name="ref-faria1997"/>
      <w:bookmarkEnd w:id="609"/>
    </w:p>
    <w:p w14:paraId="68BFAA6A" w14:textId="77777777" w:rsidR="000F7F6A" w:rsidRPr="000D223A" w:rsidRDefault="00952983">
      <w:pPr>
        <w:pStyle w:val="Corpodetexto"/>
        <w:rPr>
          <w:lang w:val="pt-BR"/>
        </w:rPr>
      </w:pPr>
      <w:r w:rsidRPr="000D223A">
        <w:rPr>
          <w:lang w:val="pt-BR"/>
        </w:rPr>
        <w:t xml:space="preserve">Faria, V.E. and Potter, J.E. (1999). </w:t>
      </w:r>
      <w:r>
        <w:t xml:space="preserve">Television, Telenovelas, and Fertility change in North-East Brazil. In: </w:t>
      </w:r>
      <w:proofErr w:type="spellStart"/>
      <w:r>
        <w:t>Leete</w:t>
      </w:r>
      <w:proofErr w:type="spellEnd"/>
      <w:r>
        <w:t xml:space="preserve">, R. (ed.). </w:t>
      </w:r>
      <w:r>
        <w:rPr>
          <w:i/>
        </w:rPr>
        <w:t>Dynamics of Values in Fertility Change</w:t>
      </w:r>
      <w:r>
        <w:t xml:space="preserve">. </w:t>
      </w:r>
      <w:r w:rsidRPr="000D223A">
        <w:rPr>
          <w:lang w:val="pt-BR"/>
        </w:rPr>
        <w:t>Oxford: Oxford University Press.</w:t>
      </w:r>
      <w:bookmarkStart w:id="610" w:name="ref-faria_potter1999"/>
      <w:bookmarkEnd w:id="610"/>
    </w:p>
    <w:p w14:paraId="1BF9913B" w14:textId="77777777" w:rsidR="000F7F6A" w:rsidRPr="000D223A" w:rsidRDefault="00952983">
      <w:pPr>
        <w:pStyle w:val="Corpodetexto"/>
        <w:rPr>
          <w:lang w:val="pt-BR"/>
        </w:rPr>
      </w:pPr>
      <w:proofErr w:type="spellStart"/>
      <w:r w:rsidRPr="000D223A">
        <w:rPr>
          <w:lang w:val="pt-BR"/>
        </w:rPr>
        <w:t>Fígoli</w:t>
      </w:r>
      <w:proofErr w:type="spellEnd"/>
      <w:r w:rsidRPr="000D223A">
        <w:rPr>
          <w:lang w:val="pt-BR"/>
        </w:rPr>
        <w:t xml:space="preserve">, M.G.B. (2006). Evolução da educação no Brasil: uma análise das taxas entre 1970 e 2000 segundo o grau da última série concluída. </w:t>
      </w:r>
      <w:r w:rsidRPr="000D223A">
        <w:rPr>
          <w:i/>
          <w:lang w:val="pt-BR"/>
        </w:rPr>
        <w:t>Revista Brasileira de Estudos de População</w:t>
      </w:r>
      <w:r w:rsidRPr="000D223A">
        <w:rPr>
          <w:lang w:val="pt-BR"/>
        </w:rPr>
        <w:t xml:space="preserve"> 23(1):129–150.</w:t>
      </w:r>
      <w:bookmarkStart w:id="611" w:name="ref-figoli2006"/>
      <w:bookmarkEnd w:id="611"/>
    </w:p>
    <w:p w14:paraId="50454D6A" w14:textId="77777777" w:rsidR="000F7F6A" w:rsidRPr="000D223A" w:rsidRDefault="00952983">
      <w:pPr>
        <w:pStyle w:val="Corpodetexto"/>
        <w:rPr>
          <w:lang w:val="pt-BR"/>
        </w:rPr>
      </w:pPr>
      <w:proofErr w:type="spellStart"/>
      <w:r w:rsidRPr="000D223A">
        <w:rPr>
          <w:lang w:val="pt-BR"/>
        </w:rPr>
        <w:t>Folbre</w:t>
      </w:r>
      <w:proofErr w:type="spellEnd"/>
      <w:r w:rsidRPr="000D223A">
        <w:rPr>
          <w:lang w:val="pt-BR"/>
        </w:rPr>
        <w:t xml:space="preserve">, N. (1983). Of </w:t>
      </w:r>
      <w:proofErr w:type="spellStart"/>
      <w:r w:rsidRPr="000D223A">
        <w:rPr>
          <w:lang w:val="pt-BR"/>
        </w:rPr>
        <w:t>Patriarchy</w:t>
      </w:r>
      <w:proofErr w:type="spellEnd"/>
      <w:r w:rsidRPr="000D223A">
        <w:rPr>
          <w:lang w:val="pt-BR"/>
        </w:rPr>
        <w:t xml:space="preserve"> Born: The </w:t>
      </w:r>
      <w:proofErr w:type="spellStart"/>
      <w:r w:rsidRPr="000D223A">
        <w:rPr>
          <w:lang w:val="pt-BR"/>
        </w:rPr>
        <w:t>Political</w:t>
      </w:r>
      <w:proofErr w:type="spellEnd"/>
      <w:r w:rsidRPr="000D223A">
        <w:rPr>
          <w:lang w:val="pt-BR"/>
        </w:rPr>
        <w:t xml:space="preserve"> </w:t>
      </w:r>
      <w:proofErr w:type="spellStart"/>
      <w:r w:rsidRPr="000D223A">
        <w:rPr>
          <w:lang w:val="pt-BR"/>
        </w:rPr>
        <w:t>Economy</w:t>
      </w:r>
      <w:proofErr w:type="spellEnd"/>
      <w:r w:rsidRPr="000D223A">
        <w:rPr>
          <w:lang w:val="pt-BR"/>
        </w:rPr>
        <w:t xml:space="preserve"> of Fertility </w:t>
      </w:r>
      <w:proofErr w:type="spellStart"/>
      <w:r w:rsidRPr="000D223A">
        <w:rPr>
          <w:lang w:val="pt-BR"/>
        </w:rPr>
        <w:t>Decisions</w:t>
      </w:r>
      <w:proofErr w:type="spellEnd"/>
      <w:r w:rsidRPr="000D223A">
        <w:rPr>
          <w:lang w:val="pt-BR"/>
        </w:rPr>
        <w:t xml:space="preserve">. </w:t>
      </w:r>
      <w:proofErr w:type="spellStart"/>
      <w:r w:rsidRPr="000D223A">
        <w:rPr>
          <w:i/>
          <w:lang w:val="pt-BR"/>
        </w:rPr>
        <w:t>Feminist</w:t>
      </w:r>
      <w:proofErr w:type="spellEnd"/>
      <w:r w:rsidRPr="000D223A">
        <w:rPr>
          <w:i/>
          <w:lang w:val="pt-BR"/>
        </w:rPr>
        <w:t xml:space="preserve"> </w:t>
      </w:r>
      <w:proofErr w:type="spellStart"/>
      <w:r w:rsidRPr="000D223A">
        <w:rPr>
          <w:i/>
          <w:lang w:val="pt-BR"/>
        </w:rPr>
        <w:t>Studies</w:t>
      </w:r>
      <w:proofErr w:type="spellEnd"/>
      <w:r w:rsidRPr="000D223A">
        <w:rPr>
          <w:lang w:val="pt-BR"/>
        </w:rPr>
        <w:t xml:space="preserve"> 9(2):261–284.</w:t>
      </w:r>
      <w:bookmarkStart w:id="612" w:name="ref-folbre1983"/>
      <w:bookmarkEnd w:id="612"/>
    </w:p>
    <w:p w14:paraId="0DB7B234" w14:textId="77777777" w:rsidR="000F7F6A" w:rsidRDefault="00952983">
      <w:pPr>
        <w:pStyle w:val="Corpodetexto"/>
      </w:pPr>
      <w:proofErr w:type="spellStart"/>
      <w:r w:rsidRPr="000D223A">
        <w:rPr>
          <w:lang w:val="pt-BR"/>
        </w:rPr>
        <w:t>Folbre</w:t>
      </w:r>
      <w:proofErr w:type="spellEnd"/>
      <w:r w:rsidRPr="000D223A">
        <w:rPr>
          <w:lang w:val="pt-BR"/>
        </w:rPr>
        <w:t xml:space="preserve">, N. (1994). </w:t>
      </w:r>
      <w:r>
        <w:rPr>
          <w:i/>
        </w:rPr>
        <w:t>Who Pays for the Kids? Gender and the Structures of Constraint</w:t>
      </w:r>
      <w:r>
        <w:t>. New York: Routledge.</w:t>
      </w:r>
      <w:bookmarkStart w:id="613" w:name="ref-folbre1994"/>
      <w:bookmarkEnd w:id="613"/>
    </w:p>
    <w:p w14:paraId="5B3C2E6F" w14:textId="77777777" w:rsidR="000F7F6A" w:rsidRPr="000D223A" w:rsidRDefault="00952983">
      <w:pPr>
        <w:pStyle w:val="Corpodetexto"/>
        <w:rPr>
          <w:lang w:val="pt-BR"/>
        </w:rPr>
      </w:pPr>
      <w:proofErr w:type="spellStart"/>
      <w:r>
        <w:t>Godinho</w:t>
      </w:r>
      <w:proofErr w:type="spellEnd"/>
      <w:r>
        <w:t xml:space="preserve">, T., </w:t>
      </w:r>
      <w:proofErr w:type="spellStart"/>
      <w:r>
        <w:t>Ristoff</w:t>
      </w:r>
      <w:proofErr w:type="spellEnd"/>
      <w:r>
        <w:t xml:space="preserve">, D., Fontes, Â., Xavier, I.M., and Sampaio, C.E.M. (2006). </w:t>
      </w:r>
      <w:r w:rsidRPr="000D223A">
        <w:rPr>
          <w:i/>
          <w:lang w:val="pt-BR"/>
        </w:rPr>
        <w:t>Trajetória da Mulher na Educação Brasileira, 1996-2003</w:t>
      </w:r>
      <w:r w:rsidRPr="000D223A">
        <w:rPr>
          <w:lang w:val="pt-BR"/>
        </w:rPr>
        <w:t>. Brasília: Inep/MEC – Instituto Nacional de Estudos e Pesquisas Educacionais Anísio Teixeira.</w:t>
      </w:r>
      <w:bookmarkStart w:id="614" w:name="ref-godinho_etal2006"/>
      <w:bookmarkEnd w:id="614"/>
    </w:p>
    <w:p w14:paraId="2ECE4559" w14:textId="77777777" w:rsidR="000F7F6A" w:rsidRDefault="00952983">
      <w:pPr>
        <w:pStyle w:val="Corpodetexto"/>
      </w:pPr>
      <w:r>
        <w:t xml:space="preserve">Goldin, C. (2006). The Quiet Revolution That Transformed Women’s Employment, Education, and Family. </w:t>
      </w:r>
      <w:r>
        <w:rPr>
          <w:i/>
        </w:rPr>
        <w:t>American Economic Review</w:t>
      </w:r>
      <w:r>
        <w:t xml:space="preserve"> 96(2):1–21.</w:t>
      </w:r>
      <w:bookmarkStart w:id="615" w:name="ref-goldin2006"/>
      <w:bookmarkEnd w:id="615"/>
    </w:p>
    <w:p w14:paraId="3A4725D3" w14:textId="77777777" w:rsidR="000F7F6A" w:rsidRDefault="00952983">
      <w:pPr>
        <w:pStyle w:val="Corpodetexto"/>
      </w:pPr>
      <w:r>
        <w:lastRenderedPageBreak/>
        <w:t xml:space="preserve">Goldin, </w:t>
      </w:r>
      <w:proofErr w:type="gramStart"/>
      <w:r>
        <w:t>C.</w:t>
      </w:r>
      <w:proofErr w:type="gramEnd"/>
      <w:r>
        <w:t xml:space="preserve"> and Katz, L.F. (2002). The power of the pill: Oral contraceptives and women’s career and marriage decisions. </w:t>
      </w:r>
      <w:r>
        <w:rPr>
          <w:i/>
        </w:rPr>
        <w:t>Journal of Political Economy</w:t>
      </w:r>
      <w:r>
        <w:t xml:space="preserve"> 110(4):730–770.</w:t>
      </w:r>
      <w:bookmarkStart w:id="616" w:name="ref-goldin_katz2002"/>
      <w:bookmarkEnd w:id="616"/>
    </w:p>
    <w:p w14:paraId="5682D5DC" w14:textId="77777777" w:rsidR="000F7F6A" w:rsidRDefault="00952983">
      <w:pPr>
        <w:pStyle w:val="Corpodetexto"/>
      </w:pPr>
      <w:proofErr w:type="spellStart"/>
      <w:r>
        <w:t>Goldscheider</w:t>
      </w:r>
      <w:proofErr w:type="spellEnd"/>
      <w:r>
        <w:t xml:space="preserve">, F., Bernhardt, E., and </w:t>
      </w:r>
      <w:proofErr w:type="spellStart"/>
      <w:r>
        <w:t>Lappegård</w:t>
      </w:r>
      <w:proofErr w:type="spellEnd"/>
      <w:r>
        <w:t xml:space="preserve">, T. (2015). The Gender Revolution: A Framework for Understanding Changing Family and Demographic Behavior. </w:t>
      </w:r>
      <w:r>
        <w:rPr>
          <w:i/>
        </w:rPr>
        <w:t>Population and Development Review</w:t>
      </w:r>
      <w:r>
        <w:t xml:space="preserve"> 41(2):207–239.</w:t>
      </w:r>
      <w:bookmarkStart w:id="617" w:name="ref-goldscheider_etal2015"/>
      <w:bookmarkEnd w:id="617"/>
    </w:p>
    <w:p w14:paraId="74533A53" w14:textId="77777777" w:rsidR="000F7F6A" w:rsidRDefault="00952983">
      <w:pPr>
        <w:pStyle w:val="Corpodetexto"/>
      </w:pPr>
      <w:proofErr w:type="spellStart"/>
      <w:r>
        <w:t>Goldscheider</w:t>
      </w:r>
      <w:proofErr w:type="spellEnd"/>
      <w:r>
        <w:t xml:space="preserve">, F.K. and Kaufman, G. (1996). Fertility and Commitment: Bringing Men Back In. </w:t>
      </w:r>
      <w:r>
        <w:rPr>
          <w:i/>
        </w:rPr>
        <w:t>Population and Development Review</w:t>
      </w:r>
      <w:r>
        <w:t xml:space="preserve"> 22:87–99.</w:t>
      </w:r>
      <w:bookmarkStart w:id="618" w:name="ref-goldscheider_kaufman1996"/>
      <w:bookmarkEnd w:id="618"/>
    </w:p>
    <w:p w14:paraId="37F18773" w14:textId="77777777" w:rsidR="000F7F6A" w:rsidRPr="000D223A" w:rsidRDefault="00952983">
      <w:pPr>
        <w:pStyle w:val="Corpodetexto"/>
        <w:rPr>
          <w:lang w:val="pt-BR"/>
        </w:rPr>
      </w:pPr>
      <w:r>
        <w:t xml:space="preserve">Gonçalves, G.Q., Carvalho, J.A.M., Wong, L.L.R., and </w:t>
      </w:r>
      <w:proofErr w:type="spellStart"/>
      <w:r>
        <w:t>Turra</w:t>
      </w:r>
      <w:proofErr w:type="spellEnd"/>
      <w:r>
        <w:t xml:space="preserve">, C.M. (2019). </w:t>
      </w:r>
      <w:r w:rsidRPr="000D223A">
        <w:rPr>
          <w:lang w:val="pt-BR"/>
        </w:rPr>
        <w:t xml:space="preserve">A transição da fecundidade no Brasil ao longo do século XX – uma perspectiva regional. </w:t>
      </w:r>
      <w:r w:rsidRPr="000D223A">
        <w:rPr>
          <w:i/>
          <w:lang w:val="pt-BR"/>
        </w:rPr>
        <w:t>Revista Brasileira de Estudos de População</w:t>
      </w:r>
      <w:r w:rsidRPr="000D223A">
        <w:rPr>
          <w:lang w:val="pt-BR"/>
        </w:rPr>
        <w:t xml:space="preserve"> 36.</w:t>
      </w:r>
      <w:bookmarkStart w:id="619" w:name="ref-goncalves_etal2019"/>
      <w:bookmarkEnd w:id="619"/>
    </w:p>
    <w:p w14:paraId="47E62603" w14:textId="77777777" w:rsidR="000F7F6A" w:rsidRPr="000D223A" w:rsidRDefault="00952983">
      <w:pPr>
        <w:pStyle w:val="Corpodetexto"/>
        <w:rPr>
          <w:lang w:val="pt-BR"/>
        </w:rPr>
      </w:pPr>
      <w:r w:rsidRPr="000D223A">
        <w:rPr>
          <w:lang w:val="pt-BR"/>
        </w:rPr>
        <w:t xml:space="preserve">Gonçalves, M., Perez, E., and </w:t>
      </w:r>
      <w:proofErr w:type="spellStart"/>
      <w:r w:rsidRPr="000D223A">
        <w:rPr>
          <w:lang w:val="pt-BR"/>
        </w:rPr>
        <w:t>Wajnman</w:t>
      </w:r>
      <w:proofErr w:type="spellEnd"/>
      <w:r w:rsidRPr="000D223A">
        <w:rPr>
          <w:lang w:val="pt-BR"/>
        </w:rPr>
        <w:t xml:space="preserve">, S. (2004). Taxas de participação (formal e informal) feminina no mercado de trabalho das regiões Sudeste e Nordeste: uma análise a partir das </w:t>
      </w:r>
      <w:proofErr w:type="spellStart"/>
      <w:r w:rsidRPr="000D223A">
        <w:rPr>
          <w:lang w:val="pt-BR"/>
        </w:rPr>
        <w:t>PNADs</w:t>
      </w:r>
      <w:proofErr w:type="spellEnd"/>
      <w:r w:rsidRPr="000D223A">
        <w:rPr>
          <w:lang w:val="pt-BR"/>
        </w:rPr>
        <w:t xml:space="preserve"> 1992-2002. In: </w:t>
      </w:r>
      <w:r w:rsidRPr="000D223A">
        <w:rPr>
          <w:i/>
          <w:lang w:val="pt-BR"/>
        </w:rPr>
        <w:t>XIV Encontro Nacional de Estudos Populacionais</w:t>
      </w:r>
      <w:r w:rsidRPr="000D223A">
        <w:rPr>
          <w:lang w:val="pt-BR"/>
        </w:rPr>
        <w:t>. Caxambu.</w:t>
      </w:r>
      <w:bookmarkStart w:id="620" w:name="ref-goncalves_etal2004"/>
      <w:bookmarkEnd w:id="620"/>
    </w:p>
    <w:p w14:paraId="634D15C2" w14:textId="77777777" w:rsidR="000F7F6A" w:rsidRPr="000D223A" w:rsidRDefault="00952983">
      <w:pPr>
        <w:pStyle w:val="Corpodetexto"/>
        <w:rPr>
          <w:lang w:val="pt-BR"/>
        </w:rPr>
      </w:pPr>
      <w:r w:rsidRPr="000D223A">
        <w:rPr>
          <w:lang w:val="pt-BR"/>
        </w:rPr>
        <w:t xml:space="preserve">Guedes, M.C. (2015). </w:t>
      </w:r>
      <w:proofErr w:type="spellStart"/>
      <w:r w:rsidRPr="000D223A">
        <w:rPr>
          <w:lang w:val="pt-BR"/>
        </w:rPr>
        <w:t>Heterogeneização</w:t>
      </w:r>
      <w:proofErr w:type="spellEnd"/>
      <w:r w:rsidRPr="000D223A">
        <w:rPr>
          <w:lang w:val="pt-BR"/>
        </w:rPr>
        <w:t xml:space="preserve"> da mão-de-obra feminina: o que mudou no período recente? </w:t>
      </w:r>
      <w:r w:rsidRPr="000D223A">
        <w:rPr>
          <w:i/>
          <w:lang w:val="pt-BR"/>
        </w:rPr>
        <w:t>Gênero</w:t>
      </w:r>
      <w:r w:rsidRPr="000D223A">
        <w:rPr>
          <w:lang w:val="pt-BR"/>
        </w:rPr>
        <w:t xml:space="preserve"> 15(2):139–154.</w:t>
      </w:r>
      <w:bookmarkStart w:id="621" w:name="ref-guedes2015"/>
      <w:bookmarkEnd w:id="621"/>
    </w:p>
    <w:p w14:paraId="1F48970F" w14:textId="77777777" w:rsidR="000F7F6A" w:rsidRPr="000D223A" w:rsidRDefault="00952983">
      <w:pPr>
        <w:pStyle w:val="Corpodetexto"/>
        <w:rPr>
          <w:lang w:val="pt-BR"/>
        </w:rPr>
      </w:pPr>
      <w:r w:rsidRPr="000D223A">
        <w:rPr>
          <w:lang w:val="pt-BR"/>
        </w:rPr>
        <w:t xml:space="preserve">Guzmán, J.M. and Rodríguez, J. (1993). La </w:t>
      </w:r>
      <w:proofErr w:type="spellStart"/>
      <w:r w:rsidRPr="000D223A">
        <w:rPr>
          <w:lang w:val="pt-BR"/>
        </w:rPr>
        <w:t>Fecundidad</w:t>
      </w:r>
      <w:proofErr w:type="spellEnd"/>
      <w:r w:rsidRPr="000D223A">
        <w:rPr>
          <w:lang w:val="pt-BR"/>
        </w:rPr>
        <w:t xml:space="preserve"> </w:t>
      </w:r>
      <w:proofErr w:type="spellStart"/>
      <w:r w:rsidRPr="000D223A">
        <w:rPr>
          <w:lang w:val="pt-BR"/>
        </w:rPr>
        <w:t>Pre</w:t>
      </w:r>
      <w:proofErr w:type="spellEnd"/>
      <w:r w:rsidRPr="000D223A">
        <w:rPr>
          <w:lang w:val="pt-BR"/>
        </w:rPr>
        <w:t xml:space="preserve">-Transicional </w:t>
      </w:r>
      <w:proofErr w:type="spellStart"/>
      <w:r w:rsidRPr="000D223A">
        <w:rPr>
          <w:lang w:val="pt-BR"/>
        </w:rPr>
        <w:t>en</w:t>
      </w:r>
      <w:proofErr w:type="spellEnd"/>
      <w:r w:rsidRPr="000D223A">
        <w:rPr>
          <w:lang w:val="pt-BR"/>
        </w:rPr>
        <w:t xml:space="preserve"> América Latina: </w:t>
      </w:r>
      <w:proofErr w:type="spellStart"/>
      <w:r w:rsidRPr="000D223A">
        <w:rPr>
          <w:lang w:val="pt-BR"/>
        </w:rPr>
        <w:t>Un</w:t>
      </w:r>
      <w:proofErr w:type="spellEnd"/>
      <w:r w:rsidRPr="000D223A">
        <w:rPr>
          <w:lang w:val="pt-BR"/>
        </w:rPr>
        <w:t xml:space="preserve"> Capítulo Olvidado. </w:t>
      </w:r>
      <w:r w:rsidRPr="000D223A">
        <w:rPr>
          <w:i/>
          <w:lang w:val="pt-BR"/>
        </w:rPr>
        <w:t xml:space="preserve">Notas de </w:t>
      </w:r>
      <w:proofErr w:type="spellStart"/>
      <w:proofErr w:type="gramStart"/>
      <w:r w:rsidRPr="000D223A">
        <w:rPr>
          <w:i/>
          <w:lang w:val="pt-BR"/>
        </w:rPr>
        <w:t>Población</w:t>
      </w:r>
      <w:proofErr w:type="spellEnd"/>
      <w:r w:rsidRPr="000D223A">
        <w:rPr>
          <w:lang w:val="pt-BR"/>
        </w:rPr>
        <w:t>(</w:t>
      </w:r>
      <w:proofErr w:type="gramEnd"/>
      <w:r w:rsidRPr="000D223A">
        <w:rPr>
          <w:lang w:val="pt-BR"/>
        </w:rPr>
        <w:t>57):217–235.</w:t>
      </w:r>
      <w:bookmarkStart w:id="622" w:name="ref-guzman_rodriguez1993"/>
      <w:bookmarkEnd w:id="622"/>
    </w:p>
    <w:p w14:paraId="3ED7DD49" w14:textId="77777777" w:rsidR="000F7F6A" w:rsidRPr="000D223A" w:rsidRDefault="00952983">
      <w:pPr>
        <w:pStyle w:val="Corpodetexto"/>
        <w:rPr>
          <w:lang w:val="pt-BR"/>
        </w:rPr>
      </w:pPr>
      <w:r w:rsidRPr="000D223A">
        <w:rPr>
          <w:lang w:val="pt-BR"/>
        </w:rPr>
        <w:lastRenderedPageBreak/>
        <w:t xml:space="preserve">IBGE (2014). </w:t>
      </w:r>
      <w:r w:rsidRPr="000D223A">
        <w:rPr>
          <w:i/>
          <w:lang w:val="pt-BR"/>
        </w:rPr>
        <w:t>Estatísticas do Registro Civil</w:t>
      </w:r>
      <w:r w:rsidRPr="000D223A">
        <w:rPr>
          <w:lang w:val="pt-BR"/>
        </w:rPr>
        <w:t xml:space="preserve">. Instituto Brasileiro de Geografia e Estatística.: </w:t>
      </w:r>
      <w:proofErr w:type="spellStart"/>
      <w:r w:rsidRPr="000D223A">
        <w:rPr>
          <w:lang w:val="pt-BR"/>
        </w:rPr>
        <w:t>pages</w:t>
      </w:r>
      <w:proofErr w:type="spellEnd"/>
      <w:r w:rsidRPr="000D223A">
        <w:rPr>
          <w:lang w:val="pt-BR"/>
        </w:rPr>
        <w:t>.</w:t>
      </w:r>
      <w:bookmarkStart w:id="623" w:name="ref-ibge2014"/>
      <w:bookmarkEnd w:id="623"/>
    </w:p>
    <w:p w14:paraId="7A511441" w14:textId="77777777" w:rsidR="000F7F6A" w:rsidRPr="000D223A" w:rsidRDefault="00952983">
      <w:pPr>
        <w:pStyle w:val="Corpodetexto"/>
        <w:rPr>
          <w:lang w:val="pt-BR"/>
        </w:rPr>
      </w:pPr>
      <w:r w:rsidRPr="000D223A">
        <w:rPr>
          <w:lang w:val="pt-BR"/>
        </w:rPr>
        <w:t xml:space="preserve">Itaboraí, N.R. (2015). </w:t>
      </w:r>
      <w:r w:rsidRPr="000D223A">
        <w:rPr>
          <w:i/>
          <w:lang w:val="pt-BR"/>
        </w:rPr>
        <w:t>Mudanças nas famílias Brasileiras (1976-2012): uma perspectiva de classe e gênero</w:t>
      </w:r>
      <w:r w:rsidRPr="000D223A">
        <w:rPr>
          <w:lang w:val="pt-BR"/>
        </w:rPr>
        <w:t xml:space="preserve">. [PhD </w:t>
      </w:r>
      <w:proofErr w:type="spellStart"/>
      <w:r w:rsidRPr="000D223A">
        <w:rPr>
          <w:lang w:val="pt-BR"/>
        </w:rPr>
        <w:t>thesis</w:t>
      </w:r>
      <w:proofErr w:type="spellEnd"/>
      <w:r w:rsidRPr="000D223A">
        <w:rPr>
          <w:lang w:val="pt-BR"/>
        </w:rPr>
        <w:t>]. Rio de Janeiro: Instituto de Estudos Sociais e Políticos, Universidade do Estado do Rio de Janeiro.</w:t>
      </w:r>
      <w:bookmarkStart w:id="624" w:name="ref-itaborai2015"/>
      <w:bookmarkEnd w:id="624"/>
    </w:p>
    <w:p w14:paraId="1383008B" w14:textId="77777777" w:rsidR="000F7F6A" w:rsidRPr="000D223A" w:rsidRDefault="00952983">
      <w:pPr>
        <w:pStyle w:val="Corpodetexto"/>
        <w:rPr>
          <w:lang w:val="pt-BR"/>
        </w:rPr>
      </w:pPr>
      <w:r w:rsidRPr="000D223A">
        <w:rPr>
          <w:lang w:val="pt-BR"/>
        </w:rPr>
        <w:t xml:space="preserve">Itaboraí, N.R. (2016). Temporalidades plurais: desigualdades de gênero e classe nos usos do tempo das famílias Brasileiras. In: Fontoura, N. and Araújo, C. (eds.). </w:t>
      </w:r>
      <w:r w:rsidRPr="000D223A">
        <w:rPr>
          <w:i/>
          <w:lang w:val="pt-BR"/>
        </w:rPr>
        <w:t>Uso Do Tempo E Gênero</w:t>
      </w:r>
      <w:r w:rsidRPr="000D223A">
        <w:rPr>
          <w:lang w:val="pt-BR"/>
        </w:rPr>
        <w:t>. Rio de Janeiro: UERJ, Universidade do Estado do Rio de Janeiro: 101–138.</w:t>
      </w:r>
      <w:bookmarkStart w:id="625" w:name="ref-itaborai2016"/>
      <w:bookmarkEnd w:id="625"/>
    </w:p>
    <w:p w14:paraId="23B8A2F3" w14:textId="77777777" w:rsidR="000F7F6A" w:rsidRDefault="00952983">
      <w:pPr>
        <w:pStyle w:val="Corpodetexto"/>
      </w:pPr>
      <w:proofErr w:type="spellStart"/>
      <w:r>
        <w:t>Jejeebhoy</w:t>
      </w:r>
      <w:proofErr w:type="spellEnd"/>
      <w:r>
        <w:t xml:space="preserve">, S. (1995). </w:t>
      </w:r>
      <w:r>
        <w:rPr>
          <w:i/>
        </w:rPr>
        <w:t>Women’s Education, Autonomy, and Reproductive Behaviour: Experience from Developing Countries</w:t>
      </w:r>
      <w:r>
        <w:t>. Oxford: Clarendon Press.</w:t>
      </w:r>
      <w:bookmarkStart w:id="626" w:name="ref-jejeebhoy1995"/>
      <w:bookmarkEnd w:id="626"/>
    </w:p>
    <w:p w14:paraId="7D4FFE91" w14:textId="77777777" w:rsidR="000F7F6A" w:rsidRPr="000D223A" w:rsidRDefault="00952983">
      <w:pPr>
        <w:pStyle w:val="Corpodetexto"/>
        <w:rPr>
          <w:lang w:val="pt-BR"/>
        </w:rPr>
      </w:pPr>
      <w:proofErr w:type="spellStart"/>
      <w:r>
        <w:t>Kalmijn</w:t>
      </w:r>
      <w:proofErr w:type="spellEnd"/>
      <w:r>
        <w:t xml:space="preserve">, M. (1998). Intermarriage and Homogamy: Causes, Patterns, Trends. </w:t>
      </w:r>
      <w:r w:rsidRPr="000D223A">
        <w:rPr>
          <w:i/>
          <w:lang w:val="pt-BR"/>
        </w:rPr>
        <w:t xml:space="preserve">Annual Review of </w:t>
      </w:r>
      <w:proofErr w:type="spellStart"/>
      <w:r w:rsidRPr="000D223A">
        <w:rPr>
          <w:i/>
          <w:lang w:val="pt-BR"/>
        </w:rPr>
        <w:t>Sociology</w:t>
      </w:r>
      <w:proofErr w:type="spellEnd"/>
      <w:r w:rsidRPr="000D223A">
        <w:rPr>
          <w:lang w:val="pt-BR"/>
        </w:rPr>
        <w:t xml:space="preserve"> 24(1):395–421.</w:t>
      </w:r>
      <w:bookmarkStart w:id="627" w:name="ref-kalmijn1998"/>
      <w:bookmarkEnd w:id="627"/>
    </w:p>
    <w:p w14:paraId="00E60D05" w14:textId="77777777" w:rsidR="000F7F6A" w:rsidRDefault="00952983">
      <w:pPr>
        <w:pStyle w:val="Corpodetexto"/>
      </w:pPr>
      <w:proofErr w:type="spellStart"/>
      <w:r w:rsidRPr="000D223A">
        <w:rPr>
          <w:lang w:val="pt-BR"/>
        </w:rPr>
        <w:t>Kang</w:t>
      </w:r>
      <w:proofErr w:type="spellEnd"/>
      <w:r w:rsidRPr="000D223A">
        <w:rPr>
          <w:lang w:val="pt-BR"/>
        </w:rPr>
        <w:t xml:space="preserve">, T.H. (2006). Educação para as elites, financiamento e ensino primário no Brasil, 1930–1964. </w:t>
      </w:r>
      <w:r>
        <w:rPr>
          <w:i/>
        </w:rPr>
        <w:t>Latin American Research Review</w:t>
      </w:r>
      <w:r>
        <w:t xml:space="preserve"> 1(52):35–49. </w:t>
      </w:r>
      <w:proofErr w:type="spellStart"/>
      <w:r>
        <w:t>doi:</w:t>
      </w:r>
      <w:hyperlink r:id="rId9">
        <w:r>
          <w:rPr>
            <w:rStyle w:val="ListLabel148"/>
          </w:rPr>
          <w:t>https</w:t>
        </w:r>
        <w:proofErr w:type="spellEnd"/>
        <w:r>
          <w:rPr>
            <w:rStyle w:val="ListLabel148"/>
          </w:rPr>
          <w:t>://doi.org/10.25222/larr.42</w:t>
        </w:r>
      </w:hyperlink>
      <w:r>
        <w:t>.</w:t>
      </w:r>
    </w:p>
    <w:p w14:paraId="148E348A" w14:textId="77777777" w:rsidR="000F7F6A" w:rsidRPr="000D223A" w:rsidRDefault="00952983">
      <w:pPr>
        <w:pStyle w:val="Corpodetexto"/>
        <w:rPr>
          <w:lang w:val="pt-BR"/>
        </w:rPr>
      </w:pPr>
      <w:r>
        <w:t xml:space="preserve">Kang, T.H. (2011). </w:t>
      </w:r>
      <w:r w:rsidRPr="000D223A">
        <w:rPr>
          <w:lang w:val="pt-BR"/>
        </w:rPr>
        <w:t xml:space="preserve">Descentralização e financiamento da educação brasileira: uma análise comparativa, 1930-1964. </w:t>
      </w:r>
      <w:r w:rsidRPr="000D223A">
        <w:rPr>
          <w:i/>
          <w:lang w:val="pt-BR"/>
        </w:rPr>
        <w:t>Estudos Econômicos (São Paulo)</w:t>
      </w:r>
      <w:r w:rsidRPr="000D223A">
        <w:rPr>
          <w:lang w:val="pt-BR"/>
        </w:rPr>
        <w:t xml:space="preserve"> 41(3):573–598. </w:t>
      </w:r>
      <w:hyperlink r:id="rId10">
        <w:r w:rsidRPr="000D223A">
          <w:rPr>
            <w:rStyle w:val="ListLabel148"/>
            <w:lang w:val="pt-BR"/>
          </w:rPr>
          <w:t>http://www.scielo.br/scielo.php?script=sci_arttext&amp;pid=S0101-41612011000300004&amp;nrm=iso</w:t>
        </w:r>
      </w:hyperlink>
      <w:r w:rsidRPr="000D223A">
        <w:rPr>
          <w:lang w:val="pt-BR"/>
        </w:rPr>
        <w:t>.</w:t>
      </w:r>
    </w:p>
    <w:p w14:paraId="2E823CB2" w14:textId="77777777" w:rsidR="000F7F6A" w:rsidRPr="000D223A" w:rsidRDefault="00952983">
      <w:pPr>
        <w:pStyle w:val="Corpodetexto"/>
        <w:rPr>
          <w:lang w:val="pt-BR"/>
        </w:rPr>
      </w:pPr>
      <w:proofErr w:type="spellStart"/>
      <w:r w:rsidRPr="000D223A">
        <w:rPr>
          <w:lang w:val="pt-BR"/>
        </w:rPr>
        <w:t>Komatsu</w:t>
      </w:r>
      <w:proofErr w:type="spellEnd"/>
      <w:r w:rsidRPr="000D223A">
        <w:rPr>
          <w:lang w:val="pt-BR"/>
        </w:rPr>
        <w:t xml:space="preserve">, B., Menezes-Filho, N., Oliveira, P., and </w:t>
      </w:r>
      <w:proofErr w:type="spellStart"/>
      <w:r w:rsidRPr="000D223A">
        <w:rPr>
          <w:lang w:val="pt-BR"/>
        </w:rPr>
        <w:t>Viotti</w:t>
      </w:r>
      <w:proofErr w:type="spellEnd"/>
      <w:r w:rsidRPr="000D223A">
        <w:rPr>
          <w:lang w:val="pt-BR"/>
        </w:rPr>
        <w:t xml:space="preserve">, L. (2017). </w:t>
      </w:r>
      <w:r w:rsidRPr="000D223A">
        <w:rPr>
          <w:i/>
          <w:lang w:val="pt-BR"/>
        </w:rPr>
        <w:t xml:space="preserve"> A História da Educação e as Origens da Desigualdade Regional no Brasil</w:t>
      </w:r>
      <w:r w:rsidRPr="000D223A">
        <w:rPr>
          <w:lang w:val="pt-BR"/>
        </w:rPr>
        <w:t xml:space="preserve">. </w:t>
      </w:r>
      <w:proofErr w:type="spellStart"/>
      <w:r w:rsidRPr="000D223A">
        <w:rPr>
          <w:lang w:val="pt-BR"/>
        </w:rPr>
        <w:t>Insper</w:t>
      </w:r>
      <w:proofErr w:type="spellEnd"/>
      <w:r w:rsidRPr="000D223A">
        <w:rPr>
          <w:lang w:val="pt-BR"/>
        </w:rPr>
        <w:t xml:space="preserve"> (Instituto de Ensino e Pesquisa) - Centro de Políticas Públicas (CPP).: </w:t>
      </w:r>
      <w:proofErr w:type="spellStart"/>
      <w:r w:rsidRPr="000D223A">
        <w:rPr>
          <w:lang w:val="pt-BR"/>
        </w:rPr>
        <w:t>pages</w:t>
      </w:r>
      <w:proofErr w:type="spellEnd"/>
      <w:r w:rsidRPr="000D223A">
        <w:rPr>
          <w:lang w:val="pt-BR"/>
        </w:rPr>
        <w:t>.</w:t>
      </w:r>
      <w:bookmarkStart w:id="628" w:name="ref-komatsu_etal2017"/>
      <w:bookmarkEnd w:id="628"/>
    </w:p>
    <w:p w14:paraId="555F3E3C" w14:textId="77777777" w:rsidR="000F7F6A" w:rsidRDefault="00952983">
      <w:pPr>
        <w:pStyle w:val="Corpodetexto"/>
      </w:pPr>
      <w:r>
        <w:t xml:space="preserve">La Ferrara, E., Chong, A., and Duryea, S. (2012). Soap Operas and Fertility: Evidence from Brazil. </w:t>
      </w:r>
      <w:r>
        <w:rPr>
          <w:i/>
        </w:rPr>
        <w:t>American Economic Journal: Applied Economics</w:t>
      </w:r>
      <w:r>
        <w:t xml:space="preserve"> 4(4):1–31.</w:t>
      </w:r>
      <w:bookmarkStart w:id="629" w:name="ref-laferrara_etal2012"/>
      <w:bookmarkEnd w:id="629"/>
    </w:p>
    <w:p w14:paraId="41E36385" w14:textId="77777777" w:rsidR="000F7F6A" w:rsidRPr="000D223A" w:rsidRDefault="00952983">
      <w:pPr>
        <w:pStyle w:val="Corpodetexto"/>
        <w:rPr>
          <w:lang w:val="pt-BR"/>
        </w:rPr>
      </w:pPr>
      <w:r>
        <w:t xml:space="preserve">Lam, D., </w:t>
      </w:r>
      <w:proofErr w:type="spellStart"/>
      <w:r>
        <w:t>Sedlacek</w:t>
      </w:r>
      <w:proofErr w:type="spellEnd"/>
      <w:r>
        <w:t xml:space="preserve">, G., and Duryea, S. (1992). Increase in women´s education and fertility decline in Brazil. </w:t>
      </w:r>
      <w:r w:rsidRPr="000D223A">
        <w:rPr>
          <w:i/>
          <w:lang w:val="pt-BR"/>
        </w:rPr>
        <w:t>Anais do VIII Encontro Nacional de Estudos Populacionais</w:t>
      </w:r>
      <w:r w:rsidRPr="000D223A">
        <w:rPr>
          <w:lang w:val="pt-BR"/>
        </w:rPr>
        <w:t xml:space="preserve"> 1.</w:t>
      </w:r>
      <w:bookmarkStart w:id="630" w:name="ref-lam_etal1992"/>
      <w:bookmarkEnd w:id="630"/>
    </w:p>
    <w:p w14:paraId="4B6DADB2" w14:textId="77777777" w:rsidR="000F7F6A" w:rsidRDefault="00952983">
      <w:pPr>
        <w:pStyle w:val="Corpodetexto"/>
      </w:pPr>
      <w:proofErr w:type="spellStart"/>
      <w:r w:rsidRPr="000D223A">
        <w:rPr>
          <w:lang w:val="pt-BR"/>
        </w:rPr>
        <w:t>Laplante</w:t>
      </w:r>
      <w:proofErr w:type="spellEnd"/>
      <w:r w:rsidRPr="000D223A">
        <w:rPr>
          <w:lang w:val="pt-BR"/>
        </w:rPr>
        <w:t xml:space="preserve">, B., Castro-Martin, T., Cortina, C., and Martin-Garcia, T. (2015). </w:t>
      </w:r>
      <w:r>
        <w:t xml:space="preserve">Childbearing within Marriage and Consensual Union in Latin America, 1980–2010. </w:t>
      </w:r>
      <w:r>
        <w:rPr>
          <w:i/>
        </w:rPr>
        <w:t>Population and Development Review</w:t>
      </w:r>
      <w:r>
        <w:t xml:space="preserve"> 1(41):85–108.</w:t>
      </w:r>
      <w:bookmarkStart w:id="631" w:name="ref-laplante_etal2015"/>
      <w:bookmarkEnd w:id="631"/>
    </w:p>
    <w:p w14:paraId="49AD7156" w14:textId="77777777" w:rsidR="000F7F6A" w:rsidRDefault="00952983">
      <w:pPr>
        <w:pStyle w:val="Corpodetexto"/>
      </w:pPr>
      <w:r>
        <w:t xml:space="preserve">Lima, E.E.C., Zeman, K., Sobotka, T., Nathan, M., and Castro, R. (2018). The Emergence of Bimodal Fertility Profiles in Latin America. </w:t>
      </w:r>
      <w:r>
        <w:rPr>
          <w:i/>
        </w:rPr>
        <w:t>Population and Development Review</w:t>
      </w:r>
      <w:r>
        <w:t xml:space="preserve"> 44(4):723–743.</w:t>
      </w:r>
      <w:bookmarkStart w:id="632" w:name="ref-lima_etal2018"/>
      <w:bookmarkEnd w:id="632"/>
    </w:p>
    <w:p w14:paraId="1DE1CAC2" w14:textId="77777777" w:rsidR="000F7F6A" w:rsidRDefault="00952983">
      <w:pPr>
        <w:pStyle w:val="Corpodetexto"/>
      </w:pPr>
      <w:r>
        <w:t xml:space="preserve">Lutz, W. (2010). Education will be at the heart of 21st century demography. </w:t>
      </w:r>
      <w:r>
        <w:rPr>
          <w:i/>
        </w:rPr>
        <w:t xml:space="preserve">Vienna Yearbook of Population </w:t>
      </w:r>
      <w:proofErr w:type="gramStart"/>
      <w:r>
        <w:rPr>
          <w:i/>
        </w:rPr>
        <w:t>Research</w:t>
      </w:r>
      <w:r>
        <w:t>(</w:t>
      </w:r>
      <w:proofErr w:type="gramEnd"/>
      <w:r>
        <w:t>8):8–16.</w:t>
      </w:r>
      <w:bookmarkStart w:id="633" w:name="ref-lutz2010"/>
      <w:bookmarkEnd w:id="633"/>
    </w:p>
    <w:p w14:paraId="7A2C3822" w14:textId="77777777" w:rsidR="000F7F6A" w:rsidRPr="000D223A" w:rsidRDefault="00952983">
      <w:pPr>
        <w:pStyle w:val="Corpodetexto"/>
        <w:rPr>
          <w:lang w:val="pt-BR"/>
        </w:rPr>
      </w:pPr>
      <w:proofErr w:type="spellStart"/>
      <w:r>
        <w:lastRenderedPageBreak/>
        <w:t>Maluf</w:t>
      </w:r>
      <w:proofErr w:type="spellEnd"/>
      <w:r>
        <w:t xml:space="preserve">, M. and Mott, M.L. (1998). </w:t>
      </w:r>
      <w:r w:rsidRPr="000D223A">
        <w:rPr>
          <w:lang w:val="pt-BR"/>
        </w:rPr>
        <w:t xml:space="preserve">Recônditos do mundo feminino. In: Novais, F. A. (ed.). </w:t>
      </w:r>
      <w:r w:rsidRPr="000D223A">
        <w:rPr>
          <w:i/>
          <w:lang w:val="pt-BR"/>
        </w:rPr>
        <w:t>História da Vida Privada no Brasil, 3: República: da belle époque à era do rádio</w:t>
      </w:r>
      <w:r w:rsidRPr="000D223A">
        <w:rPr>
          <w:lang w:val="pt-BR"/>
        </w:rPr>
        <w:t>. São Paulo: Companhia das Letras: 367–421.</w:t>
      </w:r>
      <w:bookmarkStart w:id="634" w:name="ref-maluf_mott1998"/>
      <w:bookmarkEnd w:id="634"/>
    </w:p>
    <w:p w14:paraId="0D727162" w14:textId="77777777" w:rsidR="000F7F6A" w:rsidRDefault="00952983">
      <w:pPr>
        <w:pStyle w:val="Corpodetexto"/>
      </w:pPr>
      <w:r w:rsidRPr="000D223A">
        <w:rPr>
          <w:lang w:val="pt-BR"/>
        </w:rPr>
        <w:t xml:space="preserve">Marcílio, M.L. (2014). </w:t>
      </w:r>
      <w:r w:rsidRPr="000D223A">
        <w:rPr>
          <w:i/>
          <w:lang w:val="pt-BR"/>
        </w:rPr>
        <w:t>História da Escola em São Paulo e no Brasil</w:t>
      </w:r>
      <w:r w:rsidRPr="000D223A">
        <w:rPr>
          <w:lang w:val="pt-BR"/>
        </w:rPr>
        <w:t xml:space="preserve">. </w:t>
      </w:r>
      <w:r>
        <w:t>São Paulo: Instituto Fernand Braudel de Economia Mundial.</w:t>
      </w:r>
      <w:bookmarkStart w:id="635" w:name="ref-marcilio2014"/>
      <w:bookmarkEnd w:id="635"/>
    </w:p>
    <w:p w14:paraId="7A7467FB" w14:textId="77777777" w:rsidR="000F7F6A" w:rsidRDefault="00952983">
      <w:pPr>
        <w:pStyle w:val="Corpodetexto"/>
      </w:pPr>
      <w:r>
        <w:t xml:space="preserve">Mare, R.D. (1991). Five Decades of Educational Assortative Mating. </w:t>
      </w:r>
      <w:r>
        <w:rPr>
          <w:i/>
        </w:rPr>
        <w:t>American Sociological Review</w:t>
      </w:r>
      <w:r>
        <w:t xml:space="preserve"> 56(1):15–32.</w:t>
      </w:r>
      <w:bookmarkStart w:id="636" w:name="ref-mare1991"/>
      <w:bookmarkEnd w:id="636"/>
    </w:p>
    <w:p w14:paraId="5EC60EE7" w14:textId="77777777" w:rsidR="000F7F6A" w:rsidRDefault="00952983">
      <w:pPr>
        <w:pStyle w:val="Corpodetexto"/>
      </w:pPr>
      <w:r>
        <w:t xml:space="preserve">Martine, G. (1996). Brazil’s Fertility Decline, 1965-95: A Fresh Look at Key Factors. </w:t>
      </w:r>
      <w:r>
        <w:rPr>
          <w:i/>
        </w:rPr>
        <w:t>Population and Development Review</w:t>
      </w:r>
      <w:r>
        <w:t xml:space="preserve"> 22(1):47–75.</w:t>
      </w:r>
      <w:bookmarkStart w:id="637" w:name="ref-martine1996"/>
      <w:bookmarkEnd w:id="637"/>
    </w:p>
    <w:p w14:paraId="6F36A488" w14:textId="77777777" w:rsidR="000F7F6A" w:rsidRDefault="00952983">
      <w:pPr>
        <w:pStyle w:val="Corpodetexto"/>
      </w:pPr>
      <w:r>
        <w:t xml:space="preserve">McDonald, P. (2000). Gender Equity in Theories of Fertility Transition. </w:t>
      </w:r>
      <w:r>
        <w:rPr>
          <w:i/>
        </w:rPr>
        <w:t>Population and Development Review</w:t>
      </w:r>
      <w:r>
        <w:t xml:space="preserve"> 26(3):427–439.</w:t>
      </w:r>
      <w:bookmarkStart w:id="638" w:name="ref-mcdonald2000"/>
      <w:bookmarkEnd w:id="638"/>
    </w:p>
    <w:p w14:paraId="1E52F5D6" w14:textId="77777777" w:rsidR="000F7F6A" w:rsidRDefault="00952983">
      <w:pPr>
        <w:pStyle w:val="Corpodetexto"/>
      </w:pPr>
      <w:r>
        <w:t xml:space="preserve">Merrick, T. and Berquó, E. (1983). </w:t>
      </w:r>
      <w:r>
        <w:rPr>
          <w:i/>
        </w:rPr>
        <w:t>The determinants of Brazil´s recent rapid decline in fertility</w:t>
      </w:r>
      <w:r>
        <w:t>. Washington: National Academy.</w:t>
      </w:r>
      <w:bookmarkStart w:id="639" w:name="ref-merrick_berquo1983"/>
      <w:bookmarkEnd w:id="639"/>
    </w:p>
    <w:p w14:paraId="6FADD31A" w14:textId="77777777" w:rsidR="000F7F6A" w:rsidRPr="000D223A" w:rsidRDefault="00952983">
      <w:pPr>
        <w:pStyle w:val="Corpodetexto"/>
        <w:rPr>
          <w:lang w:val="pt-BR"/>
        </w:rPr>
      </w:pPr>
      <w:r>
        <w:t xml:space="preserve">Merrick, T.W. and Graham, D.H. (1981). </w:t>
      </w:r>
      <w:r w:rsidRPr="000D223A">
        <w:rPr>
          <w:i/>
          <w:lang w:val="pt-BR"/>
        </w:rPr>
        <w:t>População e Desenvolvimento Econômico no Brasil de 1800 até a atualidade</w:t>
      </w:r>
      <w:r w:rsidRPr="000D223A">
        <w:rPr>
          <w:lang w:val="pt-BR"/>
        </w:rPr>
        <w:t>. Rio de Janeiro: Zahar.</w:t>
      </w:r>
      <w:bookmarkStart w:id="640" w:name="ref-merrick_graham1981"/>
      <w:bookmarkEnd w:id="640"/>
    </w:p>
    <w:p w14:paraId="7A888DC5" w14:textId="77777777" w:rsidR="000F7F6A" w:rsidRPr="000D223A" w:rsidRDefault="00952983">
      <w:pPr>
        <w:pStyle w:val="Corpodetexto"/>
        <w:rPr>
          <w:lang w:val="pt-BR"/>
        </w:rPr>
      </w:pPr>
      <w:r w:rsidRPr="000D223A">
        <w:rPr>
          <w:lang w:val="pt-BR"/>
        </w:rPr>
        <w:t xml:space="preserve">Minnesota Population Center (2019). </w:t>
      </w:r>
      <w:proofErr w:type="spellStart"/>
      <w:r w:rsidRPr="000D223A">
        <w:rPr>
          <w:i/>
          <w:lang w:val="pt-BR"/>
        </w:rPr>
        <w:t>Integrated</w:t>
      </w:r>
      <w:proofErr w:type="spellEnd"/>
      <w:r w:rsidRPr="000D223A">
        <w:rPr>
          <w:i/>
          <w:lang w:val="pt-BR"/>
        </w:rPr>
        <w:t xml:space="preserve"> </w:t>
      </w:r>
      <w:proofErr w:type="spellStart"/>
      <w:r w:rsidRPr="000D223A">
        <w:rPr>
          <w:i/>
          <w:lang w:val="pt-BR"/>
        </w:rPr>
        <w:t>Public</w:t>
      </w:r>
      <w:proofErr w:type="spellEnd"/>
      <w:r w:rsidRPr="000D223A">
        <w:rPr>
          <w:i/>
          <w:lang w:val="pt-BR"/>
        </w:rPr>
        <w:t xml:space="preserve"> Use Microdata Series, </w:t>
      </w:r>
      <w:proofErr w:type="spellStart"/>
      <w:r w:rsidRPr="000D223A">
        <w:rPr>
          <w:i/>
          <w:lang w:val="pt-BR"/>
        </w:rPr>
        <w:t>International</w:t>
      </w:r>
      <w:proofErr w:type="spellEnd"/>
      <w:r w:rsidRPr="000D223A">
        <w:rPr>
          <w:i/>
          <w:lang w:val="pt-BR"/>
        </w:rPr>
        <w:t xml:space="preserve">: </w:t>
      </w:r>
      <w:proofErr w:type="spellStart"/>
      <w:r w:rsidRPr="000D223A">
        <w:rPr>
          <w:i/>
          <w:lang w:val="pt-BR"/>
        </w:rPr>
        <w:t>Version</w:t>
      </w:r>
      <w:proofErr w:type="spellEnd"/>
      <w:r w:rsidRPr="000D223A">
        <w:rPr>
          <w:i/>
          <w:lang w:val="pt-BR"/>
        </w:rPr>
        <w:t xml:space="preserve"> 7.2 [</w:t>
      </w:r>
      <w:proofErr w:type="spellStart"/>
      <w:r w:rsidRPr="000D223A">
        <w:rPr>
          <w:i/>
          <w:lang w:val="pt-BR"/>
        </w:rPr>
        <w:t>dataset</w:t>
      </w:r>
      <w:proofErr w:type="spellEnd"/>
      <w:r w:rsidRPr="000D223A">
        <w:rPr>
          <w:i/>
          <w:lang w:val="pt-BR"/>
        </w:rPr>
        <w:t>]</w:t>
      </w:r>
      <w:r w:rsidRPr="000D223A">
        <w:rPr>
          <w:lang w:val="pt-BR"/>
        </w:rPr>
        <w:t>. Minneapolis, MN: IPUMS. doi:</w:t>
      </w:r>
      <w:hyperlink r:id="rId11">
        <w:r w:rsidRPr="000D223A">
          <w:rPr>
            <w:rStyle w:val="ListLabel148"/>
            <w:lang w:val="pt-BR"/>
          </w:rPr>
          <w:t>doi.org/10.18128/D020.V7.2</w:t>
        </w:r>
      </w:hyperlink>
      <w:r w:rsidRPr="000D223A">
        <w:rPr>
          <w:lang w:val="pt-BR"/>
        </w:rPr>
        <w:t>.</w:t>
      </w:r>
    </w:p>
    <w:p w14:paraId="63B3AC2F" w14:textId="77777777" w:rsidR="000F7F6A" w:rsidRDefault="00952983">
      <w:pPr>
        <w:pStyle w:val="Corpodetexto"/>
      </w:pPr>
      <w:r w:rsidRPr="000D223A">
        <w:rPr>
          <w:lang w:val="pt-BR"/>
        </w:rPr>
        <w:t xml:space="preserve">Monteiro da Silva, J.H.C. (2019). </w:t>
      </w:r>
      <w:r>
        <w:rPr>
          <w:i/>
        </w:rPr>
        <w:t>Fertility and educational pairing in Brazil: a cohort analysis</w:t>
      </w:r>
      <w:r>
        <w:t xml:space="preserve">. [Master’s thesis]. Campinas: Institute of Philosophy; the Humanities, University of Campinas. </w:t>
      </w:r>
      <w:hyperlink r:id="rId12">
        <w:r>
          <w:rPr>
            <w:rStyle w:val="ListLabel148"/>
          </w:rPr>
          <w:t>http://repositorio.unicamp.br/jspui/bitstream/REPOSIP/333826/1/Silva_JoseHenriqueCostaMonteiroDa_M.pdf</w:t>
        </w:r>
      </w:hyperlink>
      <w:r>
        <w:t>.</w:t>
      </w:r>
    </w:p>
    <w:p w14:paraId="7EE17D62" w14:textId="77777777" w:rsidR="000F7F6A" w:rsidRDefault="00952983">
      <w:pPr>
        <w:pStyle w:val="Corpodetexto"/>
      </w:pPr>
      <w:r>
        <w:t xml:space="preserve">Moultrie, T., Dorrington, R., Hill, A., Hill, K., </w:t>
      </w:r>
      <w:proofErr w:type="spellStart"/>
      <w:r>
        <w:t>Timæus</w:t>
      </w:r>
      <w:proofErr w:type="spellEnd"/>
      <w:r>
        <w:t xml:space="preserve">, I., and </w:t>
      </w:r>
      <w:proofErr w:type="spellStart"/>
      <w:r>
        <w:t>Zaba</w:t>
      </w:r>
      <w:proofErr w:type="spellEnd"/>
      <w:r>
        <w:t xml:space="preserve">, B. (2013). </w:t>
      </w:r>
      <w:r>
        <w:rPr>
          <w:i/>
        </w:rPr>
        <w:t>Tools for Demographic Estimation</w:t>
      </w:r>
      <w:r>
        <w:t>. Paris: International Union for the Scientific Study of Population (IUSSP).</w:t>
      </w:r>
      <w:bookmarkStart w:id="641" w:name="ref-moultrie_etal2013"/>
      <w:bookmarkEnd w:id="641"/>
    </w:p>
    <w:p w14:paraId="2B94118A" w14:textId="77777777" w:rsidR="000F7F6A" w:rsidRDefault="00952983">
      <w:pPr>
        <w:pStyle w:val="Corpodetexto"/>
      </w:pPr>
      <w:proofErr w:type="spellStart"/>
      <w:r>
        <w:t>Myrskylä</w:t>
      </w:r>
      <w:proofErr w:type="spellEnd"/>
      <w:r>
        <w:t xml:space="preserve">, M., Kohler, H.-P., and </w:t>
      </w:r>
      <w:proofErr w:type="spellStart"/>
      <w:r>
        <w:t>Billari</w:t>
      </w:r>
      <w:proofErr w:type="spellEnd"/>
      <w:r>
        <w:t xml:space="preserve">, F.C. (2011). </w:t>
      </w:r>
      <w:r>
        <w:rPr>
          <w:i/>
        </w:rPr>
        <w:t>High development and fertility: fertility at older reproductive ages and gender equality explain the positive link</w:t>
      </w:r>
      <w:r>
        <w:t>. Max Planck Institute for Demographic Research, Rostock, Germany.: pages.</w:t>
      </w:r>
      <w:bookmarkStart w:id="642" w:name="ref-myrskyla_etal2011"/>
      <w:bookmarkEnd w:id="642"/>
    </w:p>
    <w:p w14:paraId="6A719533" w14:textId="77777777" w:rsidR="000F7F6A" w:rsidRDefault="00952983">
      <w:pPr>
        <w:pStyle w:val="Corpodetexto"/>
      </w:pPr>
      <w:r>
        <w:t xml:space="preserve">Neels, K., Murphy, M., </w:t>
      </w:r>
      <w:proofErr w:type="spellStart"/>
      <w:r>
        <w:t>Bhrolcháin</w:t>
      </w:r>
      <w:proofErr w:type="spellEnd"/>
      <w:r>
        <w:t xml:space="preserve">, M.N., and </w:t>
      </w:r>
      <w:proofErr w:type="spellStart"/>
      <w:r>
        <w:t>Beaujouan</w:t>
      </w:r>
      <w:proofErr w:type="spellEnd"/>
      <w:r>
        <w:t xml:space="preserve">, É. (2017). Rising educational participation and the trend to later childbearing. </w:t>
      </w:r>
      <w:r>
        <w:rPr>
          <w:i/>
        </w:rPr>
        <w:t>Population and Development Review</w:t>
      </w:r>
      <w:r>
        <w:t xml:space="preserve"> 43(4):667–693.</w:t>
      </w:r>
      <w:bookmarkStart w:id="643" w:name="ref-neels_etal2017"/>
      <w:bookmarkEnd w:id="643"/>
    </w:p>
    <w:p w14:paraId="2275BCF7" w14:textId="77777777" w:rsidR="000F7F6A" w:rsidRDefault="00952983">
      <w:pPr>
        <w:pStyle w:val="Corpodetexto"/>
      </w:pPr>
      <w:proofErr w:type="spellStart"/>
      <w:r>
        <w:t>Nitsche</w:t>
      </w:r>
      <w:proofErr w:type="spellEnd"/>
      <w:r>
        <w:t xml:space="preserve">, N., </w:t>
      </w:r>
      <w:proofErr w:type="spellStart"/>
      <w:r>
        <w:t>Matysiak</w:t>
      </w:r>
      <w:proofErr w:type="spellEnd"/>
      <w:r>
        <w:t xml:space="preserve">, A., Van </w:t>
      </w:r>
      <w:proofErr w:type="spellStart"/>
      <w:r>
        <w:t>Bavel</w:t>
      </w:r>
      <w:proofErr w:type="spellEnd"/>
      <w:r>
        <w:t xml:space="preserve">, J., and </w:t>
      </w:r>
      <w:proofErr w:type="spellStart"/>
      <w:r>
        <w:t>Vignoli</w:t>
      </w:r>
      <w:proofErr w:type="spellEnd"/>
      <w:r>
        <w:t xml:space="preserve">, D. (2018). Partners’ Educational Pairings and Fertility Across Europe. </w:t>
      </w:r>
      <w:r>
        <w:rPr>
          <w:i/>
        </w:rPr>
        <w:t>Demography</w:t>
      </w:r>
      <w:r>
        <w:t xml:space="preserve"> 55(4):1195–1232.</w:t>
      </w:r>
      <w:bookmarkStart w:id="644" w:name="ref-nitsche_etal2018"/>
      <w:bookmarkEnd w:id="644"/>
    </w:p>
    <w:p w14:paraId="19DF17BD" w14:textId="77777777" w:rsidR="000F7F6A" w:rsidRPr="000D223A" w:rsidRDefault="00952983">
      <w:pPr>
        <w:pStyle w:val="Corpodetexto"/>
        <w:rPr>
          <w:lang w:val="pt-BR"/>
        </w:rPr>
      </w:pPr>
      <w:r>
        <w:t xml:space="preserve">Oliveira, M.C.F.A. (1989). </w:t>
      </w:r>
      <w:r w:rsidRPr="000D223A">
        <w:rPr>
          <w:lang w:val="pt-BR"/>
        </w:rPr>
        <w:t xml:space="preserve">Trabalho, família e condição feminina: considerações sobre a demanda por filhos. </w:t>
      </w:r>
      <w:r w:rsidRPr="000D223A">
        <w:rPr>
          <w:i/>
          <w:lang w:val="pt-BR"/>
        </w:rPr>
        <w:t>Revista Brasileira de Estudos de População</w:t>
      </w:r>
      <w:r w:rsidRPr="000D223A">
        <w:rPr>
          <w:lang w:val="pt-BR"/>
        </w:rPr>
        <w:t xml:space="preserve"> 6(1):25–33.</w:t>
      </w:r>
      <w:bookmarkStart w:id="645" w:name="ref-oliveira1989"/>
      <w:bookmarkEnd w:id="645"/>
    </w:p>
    <w:p w14:paraId="1E9E767E" w14:textId="77777777" w:rsidR="000F7F6A" w:rsidRPr="000D223A" w:rsidRDefault="00952983">
      <w:pPr>
        <w:pStyle w:val="Corpodetexto"/>
        <w:rPr>
          <w:lang w:val="pt-BR"/>
        </w:rPr>
      </w:pPr>
      <w:r w:rsidRPr="000D223A">
        <w:rPr>
          <w:lang w:val="pt-BR"/>
        </w:rPr>
        <w:t xml:space="preserve">Oliveira, M.C.F.A., Bilac, E.D., and </w:t>
      </w:r>
      <w:proofErr w:type="spellStart"/>
      <w:r w:rsidRPr="000D223A">
        <w:rPr>
          <w:lang w:val="pt-BR"/>
        </w:rPr>
        <w:t>Muszkat</w:t>
      </w:r>
      <w:proofErr w:type="spellEnd"/>
      <w:r w:rsidRPr="000D223A">
        <w:rPr>
          <w:lang w:val="pt-BR"/>
        </w:rPr>
        <w:t xml:space="preserve">, M. (1994). Os Homens, esses desconhecidos... </w:t>
      </w:r>
      <w:r w:rsidRPr="000D223A">
        <w:rPr>
          <w:i/>
          <w:lang w:val="pt-BR"/>
        </w:rPr>
        <w:t>Revista Brasileira de Estudos de População</w:t>
      </w:r>
      <w:r w:rsidRPr="000D223A">
        <w:rPr>
          <w:lang w:val="pt-BR"/>
        </w:rPr>
        <w:t xml:space="preserve"> 11(1):89–93.</w:t>
      </w:r>
      <w:bookmarkStart w:id="646" w:name="ref-oliveira_etal1994"/>
      <w:bookmarkEnd w:id="646"/>
    </w:p>
    <w:p w14:paraId="40348887" w14:textId="77777777" w:rsidR="000F7F6A" w:rsidRDefault="00952983">
      <w:pPr>
        <w:pStyle w:val="Corpodetexto"/>
      </w:pPr>
      <w:r w:rsidRPr="000D223A">
        <w:rPr>
          <w:lang w:val="pt-BR"/>
        </w:rPr>
        <w:lastRenderedPageBreak/>
        <w:t xml:space="preserve">Oliveira, M.C.F.A., Bilac, E., and </w:t>
      </w:r>
      <w:proofErr w:type="spellStart"/>
      <w:r w:rsidRPr="000D223A">
        <w:rPr>
          <w:lang w:val="pt-BR"/>
        </w:rPr>
        <w:t>Muszkat</w:t>
      </w:r>
      <w:proofErr w:type="spellEnd"/>
      <w:r w:rsidRPr="000D223A">
        <w:rPr>
          <w:lang w:val="pt-BR"/>
        </w:rPr>
        <w:t xml:space="preserve">, M. (2002). Homens e anticoncepção: duas gerações de camadas médias no Brasil. </w:t>
      </w:r>
      <w:r>
        <w:rPr>
          <w:i/>
        </w:rPr>
        <w:t xml:space="preserve">Cahiers des </w:t>
      </w:r>
      <w:proofErr w:type="spellStart"/>
      <w:r>
        <w:rPr>
          <w:i/>
        </w:rPr>
        <w:t>Amériques</w:t>
      </w:r>
      <w:proofErr w:type="spellEnd"/>
      <w:r>
        <w:rPr>
          <w:i/>
        </w:rPr>
        <w:t xml:space="preserve"> </w:t>
      </w:r>
      <w:proofErr w:type="spellStart"/>
      <w:r>
        <w:rPr>
          <w:i/>
        </w:rPr>
        <w:t>Latines</w:t>
      </w:r>
      <w:proofErr w:type="spellEnd"/>
      <w:r>
        <w:t xml:space="preserve"> 39:59–82.</w:t>
      </w:r>
      <w:bookmarkStart w:id="647" w:name="ref-oliveira_etal2002"/>
      <w:bookmarkEnd w:id="647"/>
    </w:p>
    <w:p w14:paraId="3A668B32" w14:textId="77777777" w:rsidR="000F7F6A" w:rsidRDefault="00952983">
      <w:pPr>
        <w:pStyle w:val="Corpodetexto"/>
      </w:pPr>
      <w:r w:rsidRPr="000D223A">
        <w:rPr>
          <w:lang w:val="pt-BR"/>
        </w:rPr>
        <w:t xml:space="preserve">Paiva, P.T.A. (1987). O processo de proletarização e a transição da fecundidade no Brasil. </w:t>
      </w:r>
      <w:proofErr w:type="spellStart"/>
      <w:r>
        <w:rPr>
          <w:i/>
        </w:rPr>
        <w:t>Revista</w:t>
      </w:r>
      <w:proofErr w:type="spellEnd"/>
      <w:r>
        <w:rPr>
          <w:i/>
        </w:rPr>
        <w:t xml:space="preserve"> </w:t>
      </w:r>
      <w:proofErr w:type="spellStart"/>
      <w:r>
        <w:rPr>
          <w:i/>
        </w:rPr>
        <w:t>Brasileira</w:t>
      </w:r>
      <w:proofErr w:type="spellEnd"/>
      <w:r>
        <w:rPr>
          <w:i/>
        </w:rPr>
        <w:t xml:space="preserve"> de Economia</w:t>
      </w:r>
      <w:r>
        <w:t xml:space="preserve"> 41(4):383–414.</w:t>
      </w:r>
      <w:bookmarkStart w:id="648" w:name="ref-paiva1987"/>
      <w:bookmarkEnd w:id="648"/>
    </w:p>
    <w:p w14:paraId="0AF6C313" w14:textId="77777777" w:rsidR="000F7F6A" w:rsidRDefault="00952983">
      <w:pPr>
        <w:pStyle w:val="Corpodetexto"/>
      </w:pPr>
      <w:proofErr w:type="spellStart"/>
      <w:r w:rsidRPr="000D223A">
        <w:rPr>
          <w:lang w:val="pt-BR"/>
        </w:rPr>
        <w:t>Patarra</w:t>
      </w:r>
      <w:proofErr w:type="spellEnd"/>
      <w:r w:rsidRPr="000D223A">
        <w:rPr>
          <w:lang w:val="pt-BR"/>
        </w:rPr>
        <w:t xml:space="preserve">, N.L. and Oliveira, M.C.F.A. (1988). Transição, transições. In: </w:t>
      </w:r>
      <w:r w:rsidRPr="000D223A">
        <w:rPr>
          <w:i/>
          <w:lang w:val="pt-BR"/>
        </w:rPr>
        <w:t>VI Encontro Nacional de Estudos Populacionais</w:t>
      </w:r>
      <w:r w:rsidRPr="000D223A">
        <w:rPr>
          <w:lang w:val="pt-BR"/>
        </w:rPr>
        <w:t xml:space="preserve">. </w:t>
      </w:r>
      <w:r>
        <w:t>Olinda, Pernambuco.</w:t>
      </w:r>
      <w:bookmarkStart w:id="649" w:name="ref-patarra_oliveira1988"/>
      <w:bookmarkEnd w:id="649"/>
    </w:p>
    <w:p w14:paraId="37A67570" w14:textId="77777777" w:rsidR="000F7F6A" w:rsidRPr="000D223A" w:rsidRDefault="00952983">
      <w:pPr>
        <w:pStyle w:val="Corpodetexto"/>
        <w:rPr>
          <w:lang w:val="pt-BR"/>
        </w:rPr>
      </w:pPr>
      <w:proofErr w:type="spellStart"/>
      <w:r>
        <w:t>Perpétuo</w:t>
      </w:r>
      <w:proofErr w:type="spellEnd"/>
      <w:r>
        <w:t xml:space="preserve">, I.H.O. and </w:t>
      </w:r>
      <w:proofErr w:type="spellStart"/>
      <w:r>
        <w:t>Wajnman</w:t>
      </w:r>
      <w:proofErr w:type="spellEnd"/>
      <w:r>
        <w:t xml:space="preserve">, S. (1998). Socioeconomic correlates of female sterilization in Brazil. In: </w:t>
      </w:r>
      <w:r>
        <w:rPr>
          <w:i/>
        </w:rPr>
        <w:t>CICRED-</w:t>
      </w:r>
      <w:proofErr w:type="spellStart"/>
      <w:r>
        <w:rPr>
          <w:i/>
        </w:rPr>
        <w:t>Isunam</w:t>
      </w:r>
      <w:proofErr w:type="spellEnd"/>
      <w:r>
        <w:rPr>
          <w:i/>
        </w:rPr>
        <w:t xml:space="preserve"> Seminar on Poverty, Fertility and Family Planning</w:t>
      </w:r>
      <w:r>
        <w:t xml:space="preserve">. </w:t>
      </w:r>
      <w:proofErr w:type="spellStart"/>
      <w:r w:rsidRPr="000D223A">
        <w:rPr>
          <w:lang w:val="pt-BR"/>
        </w:rPr>
        <w:t>Mexico</w:t>
      </w:r>
      <w:proofErr w:type="spellEnd"/>
      <w:r w:rsidRPr="000D223A">
        <w:rPr>
          <w:lang w:val="pt-BR"/>
        </w:rPr>
        <w:t xml:space="preserve"> City, </w:t>
      </w:r>
      <w:proofErr w:type="spellStart"/>
      <w:r w:rsidRPr="000D223A">
        <w:rPr>
          <w:lang w:val="pt-BR"/>
        </w:rPr>
        <w:t>Mexico</w:t>
      </w:r>
      <w:proofErr w:type="spellEnd"/>
      <w:r w:rsidRPr="000D223A">
        <w:rPr>
          <w:lang w:val="pt-BR"/>
        </w:rPr>
        <w:t>.</w:t>
      </w:r>
      <w:bookmarkStart w:id="650" w:name="ref-perpetuo_wajnman1998"/>
      <w:bookmarkEnd w:id="650"/>
    </w:p>
    <w:p w14:paraId="07F412BF" w14:textId="77777777" w:rsidR="000F7F6A" w:rsidRPr="000D223A" w:rsidRDefault="00952983">
      <w:pPr>
        <w:pStyle w:val="Corpodetexto"/>
        <w:rPr>
          <w:lang w:val="pt-BR"/>
        </w:rPr>
      </w:pPr>
      <w:r w:rsidRPr="000D223A">
        <w:rPr>
          <w:lang w:val="pt-BR"/>
        </w:rPr>
        <w:t xml:space="preserve">Perpétuo, I.H.O. and Wong, L.R. (2009). Desigualdade socioeconômica na utilização de métodos anticoncepcionais no Brasil: uma análise comparativa com base nas PNDS 1996 e 2006. In: CEBRAP (ed.). </w:t>
      </w:r>
      <w:r w:rsidRPr="000D223A">
        <w:rPr>
          <w:i/>
          <w:lang w:val="pt-BR"/>
        </w:rPr>
        <w:t xml:space="preserve">Pesquisa Nacional de Demografia E Saúde Da Criança E Da Mulher – </w:t>
      </w:r>
      <w:proofErr w:type="spellStart"/>
      <w:r w:rsidRPr="000D223A">
        <w:rPr>
          <w:i/>
          <w:lang w:val="pt-BR"/>
        </w:rPr>
        <w:t>Pnds</w:t>
      </w:r>
      <w:proofErr w:type="spellEnd"/>
      <w:r w:rsidRPr="000D223A">
        <w:rPr>
          <w:i/>
          <w:lang w:val="pt-BR"/>
        </w:rPr>
        <w:t xml:space="preserve"> 2006: Dimensões Do Processo Reprodutivo E Da Saúde Da Criança</w:t>
      </w:r>
      <w:r w:rsidRPr="000D223A">
        <w:rPr>
          <w:lang w:val="pt-BR"/>
        </w:rPr>
        <w:t>. Brasília: Ministério da Saúde: 85–104.</w:t>
      </w:r>
      <w:bookmarkStart w:id="651" w:name="ref-perpetuo_wong2009"/>
      <w:bookmarkEnd w:id="651"/>
    </w:p>
    <w:p w14:paraId="397FE0AF" w14:textId="77777777" w:rsidR="000F7F6A" w:rsidRDefault="00952983">
      <w:pPr>
        <w:pStyle w:val="Corpodetexto"/>
      </w:pPr>
      <w:r w:rsidRPr="000D223A">
        <w:rPr>
          <w:lang w:val="pt-BR"/>
        </w:rPr>
        <w:t xml:space="preserve">Potter, J.E., Schmertmann, C.P., Assunção, R.M., and Cavenaghi, S.M. (2010). </w:t>
      </w:r>
      <w:r>
        <w:t xml:space="preserve">Mapping the Timing, Pace, and Scale of the Fertility Transition in Brazil. </w:t>
      </w:r>
      <w:r>
        <w:rPr>
          <w:i/>
        </w:rPr>
        <w:t>Population and Development Review</w:t>
      </w:r>
      <w:r>
        <w:t xml:space="preserve"> 36(2):283–307.</w:t>
      </w:r>
      <w:bookmarkStart w:id="652" w:name="ref-potter_etal2010"/>
      <w:bookmarkEnd w:id="652"/>
    </w:p>
    <w:p w14:paraId="79DB755C" w14:textId="77777777" w:rsidR="000F7F6A" w:rsidRPr="000D223A" w:rsidRDefault="00952983">
      <w:pPr>
        <w:pStyle w:val="Corpodetexto"/>
        <w:rPr>
          <w:lang w:val="pt-BR"/>
        </w:rPr>
      </w:pPr>
      <w:r>
        <w:t xml:space="preserve">Potter, J.E., Schmertmann, C.P., and </w:t>
      </w:r>
      <w:proofErr w:type="spellStart"/>
      <w:r>
        <w:t>Cavenaghi</w:t>
      </w:r>
      <w:proofErr w:type="spellEnd"/>
      <w:r>
        <w:t xml:space="preserve">, S. (2002). Fertility and Development: Evidence from Brazil. </w:t>
      </w:r>
      <w:proofErr w:type="spellStart"/>
      <w:r w:rsidRPr="000D223A">
        <w:rPr>
          <w:i/>
          <w:lang w:val="pt-BR"/>
        </w:rPr>
        <w:t>Demography</w:t>
      </w:r>
      <w:proofErr w:type="spellEnd"/>
      <w:r w:rsidRPr="000D223A">
        <w:rPr>
          <w:lang w:val="pt-BR"/>
        </w:rPr>
        <w:t xml:space="preserve"> 4(39):739–761.</w:t>
      </w:r>
      <w:bookmarkStart w:id="653" w:name="ref-potter_etal2002"/>
      <w:bookmarkEnd w:id="653"/>
    </w:p>
    <w:p w14:paraId="733237D0" w14:textId="77777777" w:rsidR="000F7F6A" w:rsidRPr="000D223A" w:rsidRDefault="00952983">
      <w:pPr>
        <w:pStyle w:val="Corpodetexto"/>
        <w:rPr>
          <w:lang w:val="pt-BR"/>
        </w:rPr>
      </w:pPr>
      <w:r w:rsidRPr="000D223A">
        <w:rPr>
          <w:lang w:val="pt-BR"/>
        </w:rPr>
        <w:lastRenderedPageBreak/>
        <w:t xml:space="preserve">Ribeiro, C.A.C. and Silva, N.V. (2009). Cor, educação e casamento: tendências da seletividade marital no Brasil, 1960 a 2000. </w:t>
      </w:r>
      <w:r w:rsidRPr="000D223A">
        <w:rPr>
          <w:i/>
          <w:lang w:val="pt-BR"/>
        </w:rPr>
        <w:t>Dados - Revista de Ciências Sociais</w:t>
      </w:r>
      <w:r w:rsidRPr="000D223A">
        <w:rPr>
          <w:lang w:val="pt-BR"/>
        </w:rPr>
        <w:t xml:space="preserve"> 52:7–51.</w:t>
      </w:r>
      <w:bookmarkStart w:id="654" w:name="ref-ribeiro_silva2009"/>
      <w:bookmarkEnd w:id="654"/>
    </w:p>
    <w:p w14:paraId="68942E41" w14:textId="77777777" w:rsidR="000F7F6A" w:rsidRPr="000D223A" w:rsidRDefault="00952983">
      <w:pPr>
        <w:pStyle w:val="Corpodetexto"/>
        <w:rPr>
          <w:lang w:val="pt-BR"/>
        </w:rPr>
      </w:pPr>
      <w:r w:rsidRPr="000D223A">
        <w:rPr>
          <w:lang w:val="pt-BR"/>
        </w:rPr>
        <w:t xml:space="preserve">Rios-Neto, E.L.G., Miranda-Ribeiro, A., and Miranda-Ribeiro, P. (2018). </w:t>
      </w:r>
      <w:r>
        <w:t xml:space="preserve">Fertility Differentials by Education in Brazil: From the Conclusion of Fertility to the Onset of Postponement Transition. </w:t>
      </w:r>
      <w:r w:rsidRPr="000D223A">
        <w:rPr>
          <w:i/>
          <w:lang w:val="pt-BR"/>
        </w:rPr>
        <w:t xml:space="preserve">Population and </w:t>
      </w:r>
      <w:proofErr w:type="spellStart"/>
      <w:r w:rsidRPr="000D223A">
        <w:rPr>
          <w:i/>
          <w:lang w:val="pt-BR"/>
        </w:rPr>
        <w:t>Development</w:t>
      </w:r>
      <w:proofErr w:type="spellEnd"/>
      <w:r w:rsidRPr="000D223A">
        <w:rPr>
          <w:i/>
          <w:lang w:val="pt-BR"/>
        </w:rPr>
        <w:t xml:space="preserve"> Review</w:t>
      </w:r>
      <w:r w:rsidRPr="000D223A">
        <w:rPr>
          <w:lang w:val="pt-BR"/>
        </w:rPr>
        <w:t xml:space="preserve"> 44(3):489–517.</w:t>
      </w:r>
      <w:bookmarkStart w:id="655" w:name="ref-rios-neto_etal2018"/>
      <w:bookmarkEnd w:id="655"/>
    </w:p>
    <w:p w14:paraId="17BF7205" w14:textId="77777777" w:rsidR="000F7F6A" w:rsidRPr="000D223A" w:rsidRDefault="00952983">
      <w:pPr>
        <w:pStyle w:val="Corpodetexto"/>
        <w:rPr>
          <w:lang w:val="pt-BR"/>
        </w:rPr>
      </w:pPr>
      <w:proofErr w:type="spellStart"/>
      <w:r w:rsidRPr="000D223A">
        <w:rPr>
          <w:lang w:val="pt-BR"/>
        </w:rPr>
        <w:t>Romanelli</w:t>
      </w:r>
      <w:proofErr w:type="spellEnd"/>
      <w:r w:rsidRPr="000D223A">
        <w:rPr>
          <w:lang w:val="pt-BR"/>
        </w:rPr>
        <w:t xml:space="preserve">, O.O. (1986). </w:t>
      </w:r>
      <w:r w:rsidRPr="000D223A">
        <w:rPr>
          <w:i/>
          <w:lang w:val="pt-BR"/>
        </w:rPr>
        <w:t>História Da Educação No Brasil (1930/1970)</w:t>
      </w:r>
      <w:r w:rsidRPr="000D223A">
        <w:rPr>
          <w:lang w:val="pt-BR"/>
        </w:rPr>
        <w:t>. Petrópolis: Editora Vozes.</w:t>
      </w:r>
      <w:bookmarkStart w:id="656" w:name="ref-romanelli1986"/>
      <w:bookmarkEnd w:id="656"/>
    </w:p>
    <w:p w14:paraId="2685EDB4" w14:textId="77777777" w:rsidR="000F7F6A" w:rsidRDefault="00952983">
      <w:pPr>
        <w:pStyle w:val="Corpodetexto"/>
      </w:pPr>
      <w:proofErr w:type="spellStart"/>
      <w:r>
        <w:t>Rosero</w:t>
      </w:r>
      <w:proofErr w:type="spellEnd"/>
      <w:r>
        <w:t xml:space="preserve">-Bixby, L., Castro-Martin, T., and Martin-Garcia, T. (2009). Is Latin America starting to retreat from early and universal childbearing? </w:t>
      </w:r>
      <w:r>
        <w:rPr>
          <w:i/>
        </w:rPr>
        <w:t xml:space="preserve">Demographic </w:t>
      </w:r>
      <w:proofErr w:type="gramStart"/>
      <w:r>
        <w:rPr>
          <w:i/>
        </w:rPr>
        <w:t>Research</w:t>
      </w:r>
      <w:r>
        <w:t>(</w:t>
      </w:r>
      <w:proofErr w:type="gramEnd"/>
      <w:r>
        <w:t>20):169–194.</w:t>
      </w:r>
      <w:bookmarkStart w:id="657" w:name="ref-bixby_etal2009"/>
      <w:bookmarkEnd w:id="657"/>
    </w:p>
    <w:p w14:paraId="7AFCDB98" w14:textId="77777777" w:rsidR="000F7F6A" w:rsidRDefault="00952983">
      <w:pPr>
        <w:pStyle w:val="Corpodetexto"/>
      </w:pPr>
      <w:proofErr w:type="spellStart"/>
      <w:r>
        <w:t>Schoumaker</w:t>
      </w:r>
      <w:proofErr w:type="spellEnd"/>
      <w:r>
        <w:t xml:space="preserve">, B. (2019). Male fertility around the world and over time: How different is it from female fertility? </w:t>
      </w:r>
      <w:r>
        <w:rPr>
          <w:i/>
        </w:rPr>
        <w:t>Population and Development Review</w:t>
      </w:r>
      <w:r>
        <w:t xml:space="preserve"> 45(3):459–487. doi:</w:t>
      </w:r>
      <w:hyperlink r:id="rId13">
        <w:r>
          <w:rPr>
            <w:rStyle w:val="ListLabel148"/>
          </w:rPr>
          <w:t>10.1111/padr.12273</w:t>
        </w:r>
      </w:hyperlink>
      <w:r>
        <w:t>.</w:t>
      </w:r>
    </w:p>
    <w:p w14:paraId="518141D1" w14:textId="77777777" w:rsidR="000F7F6A" w:rsidRPr="000D223A" w:rsidRDefault="00952983">
      <w:pPr>
        <w:pStyle w:val="Corpodetexto"/>
        <w:rPr>
          <w:lang w:val="pt-BR"/>
        </w:rPr>
      </w:pPr>
      <w:proofErr w:type="spellStart"/>
      <w:r>
        <w:t>Scorzafave</w:t>
      </w:r>
      <w:proofErr w:type="spellEnd"/>
      <w:r>
        <w:t xml:space="preserve">, L.G. and Menezes-Filho, N.A. (2001). </w:t>
      </w:r>
      <w:r w:rsidRPr="000D223A">
        <w:rPr>
          <w:lang w:val="pt-BR"/>
        </w:rPr>
        <w:t xml:space="preserve">Participação feminina no mercado de trabalho </w:t>
      </w:r>
      <w:proofErr w:type="gramStart"/>
      <w:r w:rsidRPr="000D223A">
        <w:rPr>
          <w:lang w:val="pt-BR"/>
        </w:rPr>
        <w:t>Brasileiro</w:t>
      </w:r>
      <w:proofErr w:type="gramEnd"/>
      <w:r w:rsidRPr="000D223A">
        <w:rPr>
          <w:lang w:val="pt-BR"/>
        </w:rPr>
        <w:t xml:space="preserve">: evolução e determinantes. </w:t>
      </w:r>
      <w:r w:rsidRPr="000D223A">
        <w:rPr>
          <w:i/>
          <w:lang w:val="pt-BR"/>
        </w:rPr>
        <w:t>Pesquisa e Planejamento Econômico</w:t>
      </w:r>
      <w:r w:rsidRPr="000D223A">
        <w:rPr>
          <w:lang w:val="pt-BR"/>
        </w:rPr>
        <w:t xml:space="preserve"> 31(3).</w:t>
      </w:r>
      <w:bookmarkStart w:id="658" w:name="ref-scorzafave2001"/>
      <w:bookmarkEnd w:id="658"/>
    </w:p>
    <w:p w14:paraId="66C6C278" w14:textId="77777777" w:rsidR="000F7F6A" w:rsidRPr="000D223A" w:rsidRDefault="00952983">
      <w:pPr>
        <w:pStyle w:val="Corpodetexto"/>
        <w:rPr>
          <w:lang w:val="pt-BR"/>
        </w:rPr>
      </w:pPr>
      <w:r w:rsidRPr="000D223A">
        <w:rPr>
          <w:lang w:val="pt-BR"/>
        </w:rPr>
        <w:t xml:space="preserve">Silva, L.E. da, Freire, F.H.M. de A., and Pereira, R.H.M. (2016). Diferenciais de mortalidade por escolaridade da população adulta brasileira, em 2010. </w:t>
      </w:r>
      <w:r w:rsidRPr="000D223A">
        <w:rPr>
          <w:i/>
          <w:lang w:val="pt-BR"/>
        </w:rPr>
        <w:t>Cadernos de Saúde Pública</w:t>
      </w:r>
      <w:r w:rsidRPr="000D223A">
        <w:rPr>
          <w:lang w:val="pt-BR"/>
        </w:rPr>
        <w:t xml:space="preserve"> 32.</w:t>
      </w:r>
      <w:bookmarkStart w:id="659" w:name="ref-silva_etal2016"/>
      <w:bookmarkEnd w:id="659"/>
    </w:p>
    <w:p w14:paraId="721F63BC" w14:textId="77777777" w:rsidR="000F7F6A" w:rsidRPr="000D223A" w:rsidRDefault="00952983">
      <w:pPr>
        <w:pStyle w:val="Corpodetexto"/>
        <w:rPr>
          <w:lang w:val="pt-BR"/>
        </w:rPr>
      </w:pPr>
      <w:r w:rsidRPr="000D223A">
        <w:rPr>
          <w:lang w:val="pt-BR"/>
        </w:rPr>
        <w:lastRenderedPageBreak/>
        <w:t xml:space="preserve">Singer, P. (1973). </w:t>
      </w:r>
      <w:r w:rsidRPr="000D223A">
        <w:rPr>
          <w:i/>
          <w:lang w:val="pt-BR"/>
        </w:rPr>
        <w:t>Economia Política da Urbanização</w:t>
      </w:r>
      <w:r w:rsidRPr="000D223A">
        <w:rPr>
          <w:lang w:val="pt-BR"/>
        </w:rPr>
        <w:t>. São Paulo: Editora Brasiliense.</w:t>
      </w:r>
      <w:bookmarkStart w:id="660" w:name="ref-singer1973"/>
      <w:bookmarkEnd w:id="660"/>
    </w:p>
    <w:p w14:paraId="394223F3" w14:textId="77777777" w:rsidR="000F7F6A" w:rsidRPr="000D223A" w:rsidRDefault="00952983">
      <w:pPr>
        <w:pStyle w:val="Corpodetexto"/>
        <w:rPr>
          <w:lang w:val="pt-BR"/>
        </w:rPr>
      </w:pPr>
      <w:proofErr w:type="spellStart"/>
      <w:r w:rsidRPr="000D223A">
        <w:rPr>
          <w:lang w:val="pt-BR"/>
        </w:rPr>
        <w:t>Sobotka</w:t>
      </w:r>
      <w:proofErr w:type="spellEnd"/>
      <w:r w:rsidRPr="000D223A">
        <w:rPr>
          <w:lang w:val="pt-BR"/>
        </w:rPr>
        <w:t xml:space="preserve">, T. (2004). </w:t>
      </w:r>
      <w:r>
        <w:t xml:space="preserve">Is Lowest-Low Fertility in Europe Explained by the Postponement of Childbearing? </w:t>
      </w:r>
      <w:r w:rsidRPr="000D223A">
        <w:rPr>
          <w:i/>
          <w:lang w:val="pt-BR"/>
        </w:rPr>
        <w:t xml:space="preserve">Population and </w:t>
      </w:r>
      <w:proofErr w:type="spellStart"/>
      <w:r w:rsidRPr="000D223A">
        <w:rPr>
          <w:i/>
          <w:lang w:val="pt-BR"/>
        </w:rPr>
        <w:t>Development</w:t>
      </w:r>
      <w:proofErr w:type="spellEnd"/>
      <w:r w:rsidRPr="000D223A">
        <w:rPr>
          <w:i/>
          <w:lang w:val="pt-BR"/>
        </w:rPr>
        <w:t xml:space="preserve"> Review</w:t>
      </w:r>
      <w:r w:rsidRPr="000D223A">
        <w:rPr>
          <w:lang w:val="pt-BR"/>
        </w:rPr>
        <w:t xml:space="preserve"> 30(2):195–220.</w:t>
      </w:r>
      <w:bookmarkStart w:id="661" w:name="ref-sobotka2004"/>
      <w:bookmarkEnd w:id="661"/>
    </w:p>
    <w:p w14:paraId="3969F679" w14:textId="77777777" w:rsidR="000F7F6A" w:rsidRDefault="00952983">
      <w:pPr>
        <w:pStyle w:val="Corpodetexto"/>
      </w:pPr>
      <w:r w:rsidRPr="000D223A">
        <w:rPr>
          <w:lang w:val="pt-BR"/>
        </w:rPr>
        <w:t xml:space="preserve">Teixeira, M.O. (2014). </w:t>
      </w:r>
      <w:r w:rsidRPr="000D223A">
        <w:rPr>
          <w:i/>
          <w:lang w:val="pt-BR"/>
        </w:rPr>
        <w:t>Formalização do emprego e permanência das desigualdades de gênero</w:t>
      </w:r>
      <w:r w:rsidRPr="000D223A">
        <w:rPr>
          <w:lang w:val="pt-BR"/>
        </w:rPr>
        <w:t xml:space="preserve">. </w:t>
      </w:r>
      <w:r>
        <w:t xml:space="preserve">Brasil: FES, </w:t>
      </w:r>
      <w:proofErr w:type="spellStart"/>
      <w:r>
        <w:t>Fundação</w:t>
      </w:r>
      <w:proofErr w:type="spellEnd"/>
      <w:r>
        <w:t xml:space="preserve"> Friedrich Ebert.: pages.</w:t>
      </w:r>
      <w:bookmarkStart w:id="662" w:name="ref-teixeira2014"/>
      <w:bookmarkEnd w:id="662"/>
    </w:p>
    <w:p w14:paraId="31214797" w14:textId="77777777" w:rsidR="000F7F6A" w:rsidRDefault="00952983">
      <w:pPr>
        <w:pStyle w:val="Corpodetexto"/>
      </w:pPr>
      <w:r>
        <w:t xml:space="preserve">Thomson, E. (1997). Couple childbearing desires, intentions, and births. </w:t>
      </w:r>
      <w:r>
        <w:rPr>
          <w:i/>
        </w:rPr>
        <w:t>Demography</w:t>
      </w:r>
      <w:r>
        <w:t xml:space="preserve"> 34(3):343–354.</w:t>
      </w:r>
      <w:bookmarkStart w:id="663" w:name="ref-thomson1997"/>
      <w:bookmarkEnd w:id="663"/>
    </w:p>
    <w:p w14:paraId="64C43835" w14:textId="77777777" w:rsidR="000F7F6A" w:rsidRDefault="00952983">
      <w:pPr>
        <w:pStyle w:val="Corpodetexto"/>
      </w:pPr>
      <w:proofErr w:type="spellStart"/>
      <w:r>
        <w:t>Torche</w:t>
      </w:r>
      <w:proofErr w:type="spellEnd"/>
      <w:r>
        <w:t xml:space="preserve">, F. (2010). Educational assortative mating and economic inequality: A comparative analysis of three </w:t>
      </w:r>
      <w:proofErr w:type="spellStart"/>
      <w:r>
        <w:t>latin</w:t>
      </w:r>
      <w:proofErr w:type="spellEnd"/>
      <w:r>
        <w:t xml:space="preserve"> </w:t>
      </w:r>
      <w:proofErr w:type="spellStart"/>
      <w:r>
        <w:t>american</w:t>
      </w:r>
      <w:proofErr w:type="spellEnd"/>
      <w:r>
        <w:t xml:space="preserve"> countries. </w:t>
      </w:r>
      <w:r>
        <w:rPr>
          <w:i/>
        </w:rPr>
        <w:t>Demography</w:t>
      </w:r>
      <w:r>
        <w:t xml:space="preserve"> 47(2):481–502.</w:t>
      </w:r>
      <w:bookmarkStart w:id="664" w:name="ref-torche2010"/>
      <w:bookmarkEnd w:id="664"/>
    </w:p>
    <w:p w14:paraId="56AD269D" w14:textId="77777777" w:rsidR="000F7F6A" w:rsidRDefault="00952983">
      <w:pPr>
        <w:pStyle w:val="Corpodetexto"/>
      </w:pPr>
      <w:r>
        <w:t xml:space="preserve">Van </w:t>
      </w:r>
      <w:proofErr w:type="spellStart"/>
      <w:r>
        <w:t>Bavel</w:t>
      </w:r>
      <w:proofErr w:type="spellEnd"/>
      <w:r>
        <w:t xml:space="preserve">, J. (2017). What do men want? The growing importance of men’s characteristics for fertility. </w:t>
      </w:r>
      <w:r>
        <w:rPr>
          <w:i/>
        </w:rPr>
        <w:t>Vienna Yearbook of Population Research</w:t>
      </w:r>
      <w:r>
        <w:t xml:space="preserve"> 15:41–47.</w:t>
      </w:r>
      <w:bookmarkStart w:id="665" w:name="ref-vanbavel2017"/>
      <w:bookmarkEnd w:id="665"/>
    </w:p>
    <w:p w14:paraId="4BAF3B50" w14:textId="77777777" w:rsidR="000F7F6A" w:rsidRPr="000D223A" w:rsidRDefault="00952983">
      <w:pPr>
        <w:pStyle w:val="Corpodetexto"/>
        <w:rPr>
          <w:lang w:val="pt-BR"/>
        </w:rPr>
      </w:pPr>
      <w:r>
        <w:t xml:space="preserve">Van </w:t>
      </w:r>
      <w:proofErr w:type="spellStart"/>
      <w:r>
        <w:t>Bavel</w:t>
      </w:r>
      <w:proofErr w:type="spellEnd"/>
      <w:r>
        <w:t xml:space="preserve">, J., Schwartz, C.R., and </w:t>
      </w:r>
      <w:proofErr w:type="spellStart"/>
      <w:r>
        <w:t>Esteve</w:t>
      </w:r>
      <w:proofErr w:type="spellEnd"/>
      <w:r>
        <w:t xml:space="preserve">, A. (2018). The Reversal of the Gender Gap in Education and its Consequences for Family Life. </w:t>
      </w:r>
      <w:r w:rsidRPr="000D223A">
        <w:rPr>
          <w:i/>
          <w:lang w:val="pt-BR"/>
        </w:rPr>
        <w:t xml:space="preserve">Annual Review of </w:t>
      </w:r>
      <w:proofErr w:type="spellStart"/>
      <w:r w:rsidRPr="000D223A">
        <w:rPr>
          <w:i/>
          <w:lang w:val="pt-BR"/>
        </w:rPr>
        <w:t>Sociology</w:t>
      </w:r>
      <w:proofErr w:type="spellEnd"/>
      <w:r w:rsidRPr="000D223A">
        <w:rPr>
          <w:lang w:val="pt-BR"/>
        </w:rPr>
        <w:t xml:space="preserve"> 44(1):</w:t>
      </w:r>
      <w:proofErr w:type="spellStart"/>
      <w:r w:rsidRPr="000D223A">
        <w:rPr>
          <w:lang w:val="pt-BR"/>
        </w:rPr>
        <w:t>null</w:t>
      </w:r>
      <w:proofErr w:type="spellEnd"/>
      <w:r w:rsidRPr="000D223A">
        <w:rPr>
          <w:lang w:val="pt-BR"/>
        </w:rPr>
        <w:t>.</w:t>
      </w:r>
      <w:bookmarkStart w:id="666" w:name="ref-vanbavel_etal2018"/>
      <w:bookmarkEnd w:id="666"/>
    </w:p>
    <w:p w14:paraId="1C834395" w14:textId="77777777" w:rsidR="000F7F6A" w:rsidRPr="000D223A" w:rsidRDefault="00952983">
      <w:pPr>
        <w:pStyle w:val="Corpodetexto"/>
        <w:rPr>
          <w:lang w:val="pt-BR"/>
        </w:rPr>
      </w:pPr>
      <w:r w:rsidRPr="000D223A">
        <w:rPr>
          <w:lang w:val="pt-BR"/>
        </w:rPr>
        <w:t xml:space="preserve">Vieira, J.M. (2016). </w:t>
      </w:r>
      <w:proofErr w:type="spellStart"/>
      <w:r w:rsidRPr="000D223A">
        <w:rPr>
          <w:lang w:val="pt-BR"/>
        </w:rPr>
        <w:t>Diferenciales</w:t>
      </w:r>
      <w:proofErr w:type="spellEnd"/>
      <w:r w:rsidRPr="000D223A">
        <w:rPr>
          <w:lang w:val="pt-BR"/>
        </w:rPr>
        <w:t xml:space="preserve"> </w:t>
      </w:r>
      <w:proofErr w:type="spellStart"/>
      <w:r w:rsidRPr="000D223A">
        <w:rPr>
          <w:lang w:val="pt-BR"/>
        </w:rPr>
        <w:t>en</w:t>
      </w:r>
      <w:proofErr w:type="spellEnd"/>
      <w:r w:rsidRPr="000D223A">
        <w:rPr>
          <w:lang w:val="pt-BR"/>
        </w:rPr>
        <w:t xml:space="preserve"> </w:t>
      </w:r>
      <w:proofErr w:type="spellStart"/>
      <w:r w:rsidRPr="000D223A">
        <w:rPr>
          <w:lang w:val="pt-BR"/>
        </w:rPr>
        <w:t>la</w:t>
      </w:r>
      <w:proofErr w:type="spellEnd"/>
      <w:r w:rsidRPr="000D223A">
        <w:rPr>
          <w:lang w:val="pt-BR"/>
        </w:rPr>
        <w:t xml:space="preserve"> </w:t>
      </w:r>
      <w:proofErr w:type="spellStart"/>
      <w:r w:rsidRPr="000D223A">
        <w:rPr>
          <w:lang w:val="pt-BR"/>
        </w:rPr>
        <w:t>fecundidad</w:t>
      </w:r>
      <w:proofErr w:type="spellEnd"/>
      <w:r w:rsidRPr="000D223A">
        <w:rPr>
          <w:lang w:val="pt-BR"/>
        </w:rPr>
        <w:t xml:space="preserve"> </w:t>
      </w:r>
      <w:proofErr w:type="spellStart"/>
      <w:r w:rsidRPr="000D223A">
        <w:rPr>
          <w:lang w:val="pt-BR"/>
        </w:rPr>
        <w:t>Brasileña</w:t>
      </w:r>
      <w:proofErr w:type="spellEnd"/>
      <w:r w:rsidRPr="000D223A">
        <w:rPr>
          <w:lang w:val="pt-BR"/>
        </w:rPr>
        <w:t xml:space="preserve"> </w:t>
      </w:r>
      <w:proofErr w:type="spellStart"/>
      <w:r w:rsidRPr="000D223A">
        <w:rPr>
          <w:lang w:val="pt-BR"/>
        </w:rPr>
        <w:t>según</w:t>
      </w:r>
      <w:proofErr w:type="spellEnd"/>
      <w:r w:rsidRPr="000D223A">
        <w:rPr>
          <w:lang w:val="pt-BR"/>
        </w:rPr>
        <w:t xml:space="preserve"> </w:t>
      </w:r>
      <w:proofErr w:type="spellStart"/>
      <w:r w:rsidRPr="000D223A">
        <w:rPr>
          <w:lang w:val="pt-BR"/>
        </w:rPr>
        <w:t>la</w:t>
      </w:r>
      <w:proofErr w:type="spellEnd"/>
      <w:r w:rsidRPr="000D223A">
        <w:rPr>
          <w:lang w:val="pt-BR"/>
        </w:rPr>
        <w:t xml:space="preserve"> </w:t>
      </w:r>
      <w:proofErr w:type="spellStart"/>
      <w:r w:rsidRPr="000D223A">
        <w:rPr>
          <w:lang w:val="pt-BR"/>
        </w:rPr>
        <w:t>naturaleza</w:t>
      </w:r>
      <w:proofErr w:type="spellEnd"/>
      <w:r w:rsidRPr="000D223A">
        <w:rPr>
          <w:lang w:val="pt-BR"/>
        </w:rPr>
        <w:t xml:space="preserve"> de </w:t>
      </w:r>
      <w:proofErr w:type="spellStart"/>
      <w:r w:rsidRPr="000D223A">
        <w:rPr>
          <w:lang w:val="pt-BR"/>
        </w:rPr>
        <w:t>la</w:t>
      </w:r>
      <w:proofErr w:type="spellEnd"/>
      <w:r w:rsidRPr="000D223A">
        <w:rPr>
          <w:lang w:val="pt-BR"/>
        </w:rPr>
        <w:t xml:space="preserve"> </w:t>
      </w:r>
      <w:proofErr w:type="spellStart"/>
      <w:r w:rsidRPr="000D223A">
        <w:rPr>
          <w:lang w:val="pt-BR"/>
        </w:rPr>
        <w:t>unión</w:t>
      </w:r>
      <w:proofErr w:type="spellEnd"/>
      <w:r w:rsidRPr="000D223A">
        <w:rPr>
          <w:lang w:val="pt-BR"/>
        </w:rPr>
        <w:t xml:space="preserve">: </w:t>
      </w:r>
      <w:proofErr w:type="spellStart"/>
      <w:r w:rsidRPr="000D223A">
        <w:rPr>
          <w:lang w:val="pt-BR"/>
        </w:rPr>
        <w:t>algunas</w:t>
      </w:r>
      <w:proofErr w:type="spellEnd"/>
      <w:r w:rsidRPr="000D223A">
        <w:rPr>
          <w:lang w:val="pt-BR"/>
        </w:rPr>
        <w:t xml:space="preserve"> reflexiones sobre </w:t>
      </w:r>
      <w:proofErr w:type="spellStart"/>
      <w:r w:rsidRPr="000D223A">
        <w:rPr>
          <w:lang w:val="pt-BR"/>
        </w:rPr>
        <w:t>decisiones</w:t>
      </w:r>
      <w:proofErr w:type="spellEnd"/>
      <w:r w:rsidRPr="000D223A">
        <w:rPr>
          <w:lang w:val="pt-BR"/>
        </w:rPr>
        <w:t xml:space="preserve"> </w:t>
      </w:r>
      <w:proofErr w:type="spellStart"/>
      <w:r w:rsidRPr="000D223A">
        <w:rPr>
          <w:lang w:val="pt-BR"/>
        </w:rPr>
        <w:t>reproductivas</w:t>
      </w:r>
      <w:proofErr w:type="spellEnd"/>
      <w:r w:rsidRPr="000D223A">
        <w:rPr>
          <w:lang w:val="pt-BR"/>
        </w:rPr>
        <w:t xml:space="preserve"> y </w:t>
      </w:r>
      <w:proofErr w:type="spellStart"/>
      <w:r w:rsidRPr="000D223A">
        <w:rPr>
          <w:lang w:val="pt-BR"/>
        </w:rPr>
        <w:t>convivencia</w:t>
      </w:r>
      <w:proofErr w:type="spellEnd"/>
      <w:r w:rsidRPr="000D223A">
        <w:rPr>
          <w:lang w:val="pt-BR"/>
        </w:rPr>
        <w:t xml:space="preserve">. </w:t>
      </w:r>
      <w:r w:rsidRPr="000D223A">
        <w:rPr>
          <w:i/>
          <w:lang w:val="pt-BR"/>
        </w:rPr>
        <w:t xml:space="preserve">Notas de </w:t>
      </w:r>
      <w:proofErr w:type="spellStart"/>
      <w:proofErr w:type="gramStart"/>
      <w:r w:rsidRPr="000D223A">
        <w:rPr>
          <w:i/>
          <w:lang w:val="pt-BR"/>
        </w:rPr>
        <w:t>Población</w:t>
      </w:r>
      <w:proofErr w:type="spellEnd"/>
      <w:r w:rsidRPr="000D223A">
        <w:rPr>
          <w:lang w:val="pt-BR"/>
        </w:rPr>
        <w:t>(</w:t>
      </w:r>
      <w:proofErr w:type="gramEnd"/>
      <w:r w:rsidRPr="000D223A">
        <w:rPr>
          <w:lang w:val="pt-BR"/>
        </w:rPr>
        <w:t>102):67–94.</w:t>
      </w:r>
      <w:bookmarkStart w:id="667" w:name="ref-vieira2016"/>
      <w:bookmarkEnd w:id="667"/>
    </w:p>
    <w:p w14:paraId="72C46499" w14:textId="77777777" w:rsidR="000F7F6A" w:rsidRDefault="00952983">
      <w:pPr>
        <w:pStyle w:val="Corpodetexto"/>
      </w:pPr>
      <w:r w:rsidRPr="000D223A">
        <w:rPr>
          <w:lang w:val="pt-BR"/>
        </w:rPr>
        <w:lastRenderedPageBreak/>
        <w:t xml:space="preserve">Vieira, J.M. and Alves, L.C. (2016). O comportamento da idade média à união e ao casamento no Brasil em 2000 e 2010. </w:t>
      </w:r>
      <w:proofErr w:type="spellStart"/>
      <w:r>
        <w:rPr>
          <w:i/>
        </w:rPr>
        <w:t>Revista</w:t>
      </w:r>
      <w:proofErr w:type="spellEnd"/>
      <w:r>
        <w:rPr>
          <w:i/>
        </w:rPr>
        <w:t xml:space="preserve"> Latinoamericana de </w:t>
      </w:r>
      <w:proofErr w:type="gramStart"/>
      <w:r>
        <w:rPr>
          <w:i/>
        </w:rPr>
        <w:t>Población</w:t>
      </w:r>
      <w:r>
        <w:t>(</w:t>
      </w:r>
      <w:proofErr w:type="gramEnd"/>
      <w:r>
        <w:t>19):107–126.</w:t>
      </w:r>
      <w:bookmarkStart w:id="668" w:name="ref-vieira_alves2016"/>
      <w:bookmarkEnd w:id="668"/>
    </w:p>
    <w:p w14:paraId="735427A2" w14:textId="77777777" w:rsidR="000F7F6A" w:rsidRDefault="00952983">
      <w:pPr>
        <w:pStyle w:val="Corpodetexto"/>
      </w:pPr>
      <w:r>
        <w:t xml:space="preserve">Warren, B.L. (1966). A multiple variable approach to the assortative mating phenomenon. </w:t>
      </w:r>
      <w:r>
        <w:rPr>
          <w:i/>
        </w:rPr>
        <w:t>Eugenics Quarterly</w:t>
      </w:r>
      <w:r>
        <w:t xml:space="preserve"> 13(4):285–290.</w:t>
      </w:r>
      <w:bookmarkStart w:id="669" w:name="ref-warren1966"/>
      <w:bookmarkEnd w:id="669"/>
    </w:p>
    <w:p w14:paraId="7E815AF9" w14:textId="77777777" w:rsidR="000F7F6A" w:rsidRPr="000D223A" w:rsidRDefault="00952983">
      <w:pPr>
        <w:pStyle w:val="Corpodetexto"/>
        <w:rPr>
          <w:lang w:val="pt-BR"/>
        </w:rPr>
      </w:pPr>
      <w:r>
        <w:t xml:space="preserve">Wong, L.L.R. and Carvalho, J.A.M. (2006). </w:t>
      </w:r>
      <w:r w:rsidRPr="000D223A">
        <w:rPr>
          <w:lang w:val="pt-BR"/>
        </w:rPr>
        <w:t xml:space="preserve">O rápido processo de envelhecimento populacional do Brasil: sérios desafios para as políticas públicas. </w:t>
      </w:r>
      <w:r w:rsidRPr="000D223A">
        <w:rPr>
          <w:i/>
          <w:lang w:val="pt-BR"/>
        </w:rPr>
        <w:t>Revista Brasileira de Estudos de População</w:t>
      </w:r>
      <w:r w:rsidRPr="000D223A">
        <w:rPr>
          <w:lang w:val="pt-BR"/>
        </w:rPr>
        <w:t xml:space="preserve"> 23(1):5–26.</w:t>
      </w:r>
      <w:bookmarkStart w:id="670" w:name="ref-wong_carvalho2006"/>
      <w:bookmarkEnd w:id="670"/>
    </w:p>
    <w:p w14:paraId="438BFCAA" w14:textId="77777777" w:rsidR="000F7F6A" w:rsidRDefault="00952983">
      <w:pPr>
        <w:pStyle w:val="Corpodetexto"/>
      </w:pPr>
      <w:r w:rsidRPr="000D223A">
        <w:rPr>
          <w:lang w:val="pt-BR"/>
        </w:rPr>
        <w:t xml:space="preserve">Wood, C.H. and Carvalho, J.A.M. (1988). </w:t>
      </w:r>
      <w:r>
        <w:rPr>
          <w:i/>
        </w:rPr>
        <w:t>The Demography of Inequality in Brazil</w:t>
      </w:r>
      <w:r>
        <w:t>. Cambridge: Cambridge University Press.</w:t>
      </w:r>
      <w:bookmarkStart w:id="671" w:name="ref-wood_carvalho1988"/>
      <w:bookmarkEnd w:id="671"/>
    </w:p>
    <w:p w14:paraId="6C68E97C" w14:textId="77777777" w:rsidR="000F7F6A" w:rsidRDefault="00952983">
      <w:pPr>
        <w:pStyle w:val="Corpodetexto"/>
      </w:pPr>
      <w:proofErr w:type="spellStart"/>
      <w:r>
        <w:t>Yoo</w:t>
      </w:r>
      <w:proofErr w:type="spellEnd"/>
      <w:r>
        <w:t xml:space="preserve">, S.H. (2014). Educational differentials in cohort fertility during the fertility transition in South Korea. </w:t>
      </w:r>
      <w:r>
        <w:rPr>
          <w:i/>
        </w:rPr>
        <w:t>Demographic Research</w:t>
      </w:r>
      <w:r>
        <w:t xml:space="preserve"> 30(53):1463–1494. doi:</w:t>
      </w:r>
      <w:hyperlink r:id="rId14">
        <w:r>
          <w:rPr>
            <w:rStyle w:val="ListLabel148"/>
          </w:rPr>
          <w:t>10.4054/DemRes.2014.30.53</w:t>
        </w:r>
      </w:hyperlink>
      <w:r>
        <w:t>.</w:t>
      </w:r>
    </w:p>
    <w:sectPr w:rsidR="000F7F6A">
      <w:headerReference w:type="even" r:id="rId15"/>
      <w:headerReference w:type="default" r:id="rId16"/>
      <w:footerReference w:type="even" r:id="rId17"/>
      <w:footerReference w:type="default" r:id="rId18"/>
      <w:headerReference w:type="first" r:id="rId19"/>
      <w:footerReference w:type="first" r:id="rId20"/>
      <w:pgSz w:w="12240" w:h="15840"/>
      <w:pgMar w:top="1440" w:right="1800" w:bottom="1440" w:left="180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EFAE93" w14:textId="77777777" w:rsidR="000B4A6A" w:rsidRDefault="000B4A6A" w:rsidP="0090714B">
      <w:pPr>
        <w:spacing w:after="0" w:line="240" w:lineRule="auto"/>
      </w:pPr>
      <w:r>
        <w:separator/>
      </w:r>
    </w:p>
  </w:endnote>
  <w:endnote w:type="continuationSeparator" w:id="0">
    <w:p w14:paraId="427534C1" w14:textId="77777777" w:rsidR="000B4A6A" w:rsidRDefault="000B4A6A" w:rsidP="00907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OpenSymbol">
    <w:altName w:val="Cambria"/>
    <w:panose1 w:val="05010000000000000000"/>
    <w:charset w:val="01"/>
    <w:family w:val="roman"/>
    <w:pitch w:val="variable"/>
  </w:font>
  <w:font w:name="Liberation Sans">
    <w:altName w:val="Arial"/>
    <w:panose1 w:val="020B0604020202020204"/>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755546" w14:textId="77777777" w:rsidR="00424DE5" w:rsidRDefault="00424DE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2E2BC9" w14:textId="77777777" w:rsidR="00424DE5" w:rsidRDefault="00424DE5">
    <w:pPr>
      <w:pStyle w:val="Rodap"/>
    </w:pPr>
    <w:r>
      <w:rPr>
        <w:noProof/>
      </w:rPr>
      <mc:AlternateContent>
        <mc:Choice Requires="wps">
          <w:drawing>
            <wp:anchor distT="0" distB="0" distL="114300" distR="114300" simplePos="0" relativeHeight="251658240" behindDoc="0" locked="0" layoutInCell="0" allowOverlap="1" wp14:anchorId="104A0DFA" wp14:editId="0406EBB1">
              <wp:simplePos x="0" y="0"/>
              <wp:positionH relativeFrom="page">
                <wp:posOffset>0</wp:posOffset>
              </wp:positionH>
              <wp:positionV relativeFrom="page">
                <wp:posOffset>9594215</wp:posOffset>
              </wp:positionV>
              <wp:extent cx="7772400" cy="273685"/>
              <wp:effectExtent l="0" t="2540" r="0" b="0"/>
              <wp:wrapNone/>
              <wp:docPr id="3" name="MSIPCM6d6646f196026a26775d720b" descr="{&quot;HashCode&quot;:442047029,&quot;Height&quot;:792.0,&quot;Width&quot;:612.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0"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8C9DCD" w14:textId="77777777" w:rsidR="00424DE5" w:rsidRPr="0090714B" w:rsidRDefault="00424DE5" w:rsidP="0090714B">
                          <w:pPr>
                            <w:spacing w:after="0"/>
                            <w:jc w:val="center"/>
                            <w:rPr>
                              <w:rFonts w:ascii="Calibri" w:hAnsi="Calibri" w:cs="Calibri"/>
                              <w:color w:val="000000"/>
                              <w:sz w:val="20"/>
                            </w:rPr>
                          </w:pPr>
                          <w:r w:rsidRPr="0090714B">
                            <w:rPr>
                              <w:rFonts w:ascii="Calibri" w:hAnsi="Calibri" w:cs="Calibri"/>
                              <w:color w:val="000000"/>
                              <w:sz w:val="20"/>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MSIPCM6d6646f196026a26775d720b" o:spid="_x0000_s1026" type="#_x0000_t202" alt="{&quot;HashCode&quot;:442047029,&quot;Height&quot;:792.0,&quot;Width&quot;:612.0,&quot;Placement&quot;:&quot;Footer&quot;,&quot;Index&quot;:&quot;Primary&quot;,&quot;Section&quot;:1,&quot;Top&quot;:0.0,&quot;Left&quot;:0.0}" style="position:absolute;left:0;text-align:left;margin-left:0;margin-top:755.45pt;width:612pt;height:21.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" o:allowincell="f" filled="f" stroked="f">
              <v:textbox inset=",0,,0">
                <w:txbxContent>
                  <w:p w:rsidR="00424DE5" w:rsidRPr="0090714B" w:rsidRDefault="00424DE5" w:rsidP="0090714B">
                    <w:pPr>
                      <w:spacing w:after="0"/>
                      <w:jc w:val="center"/>
                      <w:rPr>
                        <w:rFonts w:ascii="Calibri" w:hAnsi="Calibri" w:cs="Calibri"/>
                        <w:color w:val="000000"/>
                        <w:sz w:val="20"/>
                      </w:rPr>
                    </w:pPr>
                    <w:r w:rsidRPr="0090714B">
                      <w:rPr>
                        <w:rFonts w:ascii="Calibri" w:hAnsi="Calibri" w:cs="Calibri"/>
                        <w:color w:val="000000"/>
                        <w:sz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76799E" w14:textId="77777777" w:rsidR="00424DE5" w:rsidRDefault="00424DE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3D3271" w14:textId="77777777" w:rsidR="000B4A6A" w:rsidRDefault="000B4A6A" w:rsidP="0090714B">
      <w:pPr>
        <w:spacing w:after="0" w:line="240" w:lineRule="auto"/>
      </w:pPr>
      <w:r>
        <w:separator/>
      </w:r>
    </w:p>
  </w:footnote>
  <w:footnote w:type="continuationSeparator" w:id="0">
    <w:p w14:paraId="613D9058" w14:textId="77777777" w:rsidR="000B4A6A" w:rsidRDefault="000B4A6A" w:rsidP="00907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8869BD" w14:textId="77777777" w:rsidR="00424DE5" w:rsidRDefault="00424DE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5EEB9E" w14:textId="77777777" w:rsidR="00424DE5" w:rsidRDefault="00424DE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F6FDDF" w14:textId="77777777" w:rsidR="00424DE5" w:rsidRDefault="00424D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7A07B7"/>
    <w:multiLevelType w:val="multilevel"/>
    <w:tmpl w:val="5886A12A"/>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1" w15:restartNumberingAfterBreak="0">
    <w:nsid w:val="24E7701C"/>
    <w:multiLevelType w:val="multilevel"/>
    <w:tmpl w:val="6B38A17E"/>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2" w15:restartNumberingAfterBreak="0">
    <w:nsid w:val="74715EDA"/>
    <w:multiLevelType w:val="multilevel"/>
    <w:tmpl w:val="45309E9E"/>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7EC81B92"/>
    <w:multiLevelType w:val="multilevel"/>
    <w:tmpl w:val="C506EA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num w:numId="1">
    <w:abstractNumId w:val="3"/>
  </w:num>
  <w:num w:numId="2">
    <w:abstractNumId w:val="0"/>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Frank Japson">
    <w15:presenceInfo w15:providerId="AD" w15:userId="S::Frank.Japson@derivco.ee::9c7a4c35-1e92-4f2b-a555-2af454c062f4"/>
  </w15:person>
  <w15:person w15:author="Manilo Franklin">
    <w15:presenceInfo w15:providerId="AD" w15:userId="S::Frank.Japson@derivco.ee::9c7a4c35-1e92-4f2b-a555-2af454c062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F6A"/>
    <w:rsid w:val="0002067B"/>
    <w:rsid w:val="00044B77"/>
    <w:rsid w:val="000B4A6A"/>
    <w:rsid w:val="000D223A"/>
    <w:rsid w:val="000D3B53"/>
    <w:rsid w:val="000F19B2"/>
    <w:rsid w:val="000F7F6A"/>
    <w:rsid w:val="00104C7D"/>
    <w:rsid w:val="0011434E"/>
    <w:rsid w:val="00155473"/>
    <w:rsid w:val="00160C9F"/>
    <w:rsid w:val="001664F7"/>
    <w:rsid w:val="001760DB"/>
    <w:rsid w:val="001A411B"/>
    <w:rsid w:val="001C7CDB"/>
    <w:rsid w:val="001D63A1"/>
    <w:rsid w:val="00260E87"/>
    <w:rsid w:val="00270051"/>
    <w:rsid w:val="0027619D"/>
    <w:rsid w:val="002A52CE"/>
    <w:rsid w:val="002D0116"/>
    <w:rsid w:val="002D1339"/>
    <w:rsid w:val="002E2A59"/>
    <w:rsid w:val="002E7D5E"/>
    <w:rsid w:val="002F68A9"/>
    <w:rsid w:val="0031282D"/>
    <w:rsid w:val="003140E7"/>
    <w:rsid w:val="003548AC"/>
    <w:rsid w:val="0036098F"/>
    <w:rsid w:val="00384724"/>
    <w:rsid w:val="0039707F"/>
    <w:rsid w:val="003B39D0"/>
    <w:rsid w:val="00423978"/>
    <w:rsid w:val="00424DE5"/>
    <w:rsid w:val="004512E3"/>
    <w:rsid w:val="0046620B"/>
    <w:rsid w:val="0048433E"/>
    <w:rsid w:val="004B0000"/>
    <w:rsid w:val="004C3D25"/>
    <w:rsid w:val="004C56F7"/>
    <w:rsid w:val="005065EA"/>
    <w:rsid w:val="00510787"/>
    <w:rsid w:val="005910FE"/>
    <w:rsid w:val="00592E33"/>
    <w:rsid w:val="005B0F47"/>
    <w:rsid w:val="005C7585"/>
    <w:rsid w:val="00640622"/>
    <w:rsid w:val="00655CBC"/>
    <w:rsid w:val="00675A40"/>
    <w:rsid w:val="006A6B9B"/>
    <w:rsid w:val="006B38F4"/>
    <w:rsid w:val="006C1255"/>
    <w:rsid w:val="006D3308"/>
    <w:rsid w:val="006F6C0B"/>
    <w:rsid w:val="0072524F"/>
    <w:rsid w:val="00737B11"/>
    <w:rsid w:val="00741A83"/>
    <w:rsid w:val="007422CB"/>
    <w:rsid w:val="0075299E"/>
    <w:rsid w:val="00764EBF"/>
    <w:rsid w:val="007A00A9"/>
    <w:rsid w:val="007A10F9"/>
    <w:rsid w:val="008026B0"/>
    <w:rsid w:val="008039F9"/>
    <w:rsid w:val="00824E9F"/>
    <w:rsid w:val="00847A84"/>
    <w:rsid w:val="00865F47"/>
    <w:rsid w:val="00882B1E"/>
    <w:rsid w:val="008A25B6"/>
    <w:rsid w:val="008A4FFC"/>
    <w:rsid w:val="008B652F"/>
    <w:rsid w:val="008D4DA2"/>
    <w:rsid w:val="008E0711"/>
    <w:rsid w:val="008E1648"/>
    <w:rsid w:val="008E4E76"/>
    <w:rsid w:val="0090714B"/>
    <w:rsid w:val="00926946"/>
    <w:rsid w:val="009433B1"/>
    <w:rsid w:val="00952983"/>
    <w:rsid w:val="00966DD1"/>
    <w:rsid w:val="0099085A"/>
    <w:rsid w:val="009D0D3F"/>
    <w:rsid w:val="009F3C28"/>
    <w:rsid w:val="00A2203F"/>
    <w:rsid w:val="00A32325"/>
    <w:rsid w:val="00A6088C"/>
    <w:rsid w:val="00A85864"/>
    <w:rsid w:val="00A9456D"/>
    <w:rsid w:val="00AA0FAB"/>
    <w:rsid w:val="00AE36D5"/>
    <w:rsid w:val="00B37182"/>
    <w:rsid w:val="00B7176E"/>
    <w:rsid w:val="00B73717"/>
    <w:rsid w:val="00BA5EC8"/>
    <w:rsid w:val="00BD3597"/>
    <w:rsid w:val="00C057CF"/>
    <w:rsid w:val="00C36E0F"/>
    <w:rsid w:val="00C57725"/>
    <w:rsid w:val="00C72DFF"/>
    <w:rsid w:val="00C77286"/>
    <w:rsid w:val="00C77D51"/>
    <w:rsid w:val="00CA78B5"/>
    <w:rsid w:val="00CC1ECB"/>
    <w:rsid w:val="00CF32BA"/>
    <w:rsid w:val="00CF4EBB"/>
    <w:rsid w:val="00D3594F"/>
    <w:rsid w:val="00D45AE7"/>
    <w:rsid w:val="00D46ADD"/>
    <w:rsid w:val="00D5283F"/>
    <w:rsid w:val="00D97EA9"/>
    <w:rsid w:val="00DB068F"/>
    <w:rsid w:val="00DC0A87"/>
    <w:rsid w:val="00DE49E7"/>
    <w:rsid w:val="00DF0AF7"/>
    <w:rsid w:val="00E0169D"/>
    <w:rsid w:val="00E30B53"/>
    <w:rsid w:val="00E82862"/>
    <w:rsid w:val="00EA752C"/>
    <w:rsid w:val="00EB2A2E"/>
    <w:rsid w:val="00ED1814"/>
    <w:rsid w:val="00ED7196"/>
    <w:rsid w:val="00EF33E3"/>
    <w:rsid w:val="00F06F37"/>
    <w:rsid w:val="00F108E0"/>
    <w:rsid w:val="00F1351B"/>
    <w:rsid w:val="00F172AA"/>
    <w:rsid w:val="00F51666"/>
    <w:rsid w:val="00F75C56"/>
    <w:rsid w:val="00FB6A45"/>
    <w:rsid w:val="00FC2C7D"/>
    <w:rsid w:val="00FC3546"/>
    <w:rsid w:val="00FD79B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0D77E3"/>
  <w15:docId w15:val="{DB5C948E-4B7E-492D-80F2-3399535EF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Cs w:val="24"/>
        <w:lang w:val="en-US" w:eastAsia="en-US" w:bidi="ar-SA"/>
      </w:rPr>
    </w:rPrDefault>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480" w:lineRule="auto"/>
      <w:jc w:val="both"/>
    </w:pPr>
    <w:rPr>
      <w:rFonts w:ascii="DejaVu Sans" w:hAnsi="DejaVu Sans"/>
      <w:sz w:val="24"/>
    </w:rPr>
  </w:style>
  <w:style w:type="paragraph" w:styleId="Ttulo1">
    <w:name w:val="heading 1"/>
    <w:basedOn w:val="Normal"/>
    <w:uiPriority w:val="9"/>
    <w:qFormat/>
    <w:pPr>
      <w:keepNext/>
      <w:keepLines/>
      <w:spacing w:before="480" w:after="0"/>
      <w:outlineLvl w:val="0"/>
    </w:pPr>
    <w:rPr>
      <w:rFonts w:eastAsiaTheme="majorEastAsia" w:cstheme="majorBidi"/>
      <w:b/>
      <w:bCs/>
      <w:color w:val="000000"/>
    </w:rPr>
  </w:style>
  <w:style w:type="paragraph" w:styleId="Ttulo2">
    <w:name w:val="heading 2"/>
    <w:basedOn w:val="Normal"/>
    <w:uiPriority w:val="9"/>
    <w:unhideWhenUsed/>
    <w:qFormat/>
    <w:pPr>
      <w:keepNext/>
      <w:keepLines/>
      <w:spacing w:before="200" w:after="0"/>
      <w:outlineLvl w:val="1"/>
    </w:pPr>
    <w:rPr>
      <w:rFonts w:eastAsiaTheme="majorEastAsia" w:cstheme="majorBidi"/>
      <w:b/>
      <w:bCs/>
      <w:color w:val="000000"/>
    </w:rPr>
  </w:style>
  <w:style w:type="paragraph" w:styleId="Ttulo3">
    <w:name w:val="heading 3"/>
    <w:basedOn w:val="Normal"/>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Ttulo4">
    <w:name w:val="heading 4"/>
    <w:basedOn w:val="Normal"/>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tulo5">
    <w:name w:val="heading 5"/>
    <w:basedOn w:val="Normal"/>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tulo6">
    <w:name w:val="heading 6"/>
    <w:basedOn w:val="Normal"/>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egendaChar">
    <w:name w:val="Legenda Char"/>
    <w:basedOn w:val="Fontepargpadro"/>
    <w:link w:val="Legenda"/>
    <w:qFormat/>
  </w:style>
  <w:style w:type="character" w:customStyle="1" w:styleId="VerbatimChar">
    <w:name w:val="Verbatim Char"/>
    <w:basedOn w:val="LegendaChar"/>
    <w:link w:val="SourceCode"/>
    <w:qFormat/>
    <w:rPr>
      <w:rFonts w:ascii="Consolas" w:hAnsi="Consolas"/>
      <w:sz w:val="22"/>
    </w:rPr>
  </w:style>
  <w:style w:type="character" w:customStyle="1" w:styleId="FootnoteCharacters">
    <w:name w:val="Footnote Characters"/>
    <w:basedOn w:val="LegendaChar"/>
    <w:qFormat/>
    <w:rPr>
      <w:vertAlign w:val="superscript"/>
    </w:rPr>
  </w:style>
  <w:style w:type="character" w:customStyle="1" w:styleId="FootnoteAnchor">
    <w:name w:val="Footnote Anchor"/>
    <w:rPr>
      <w:vertAlign w:val="superscript"/>
    </w:rPr>
  </w:style>
  <w:style w:type="character" w:customStyle="1" w:styleId="InternetLink">
    <w:name w:val="Internet Link"/>
    <w:basedOn w:val="LegendaChar"/>
    <w:rPr>
      <w:color w:val="4F81BD" w:themeColor="accent1"/>
    </w:rPr>
  </w:style>
  <w:style w:type="character" w:customStyle="1" w:styleId="KeywordTok">
    <w:name w:val="KeywordTok"/>
    <w:basedOn w:val="VerbatimChar"/>
    <w:qFormat/>
    <w:rPr>
      <w:rFonts w:ascii="Consolas" w:hAnsi="Consolas"/>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000000"/>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color w:val="0000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qFormat/>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i/>
      <w:color w:val="8F5902"/>
      <w:sz w:val="22"/>
      <w:shd w:val="clear" w:color="auto" w:fill="F8F8F8"/>
    </w:rPr>
  </w:style>
  <w:style w:type="character" w:customStyle="1" w:styleId="AnnotationTok">
    <w:name w:val="AnnotationTok"/>
    <w:basedOn w:val="VerbatimChar"/>
    <w:qFormat/>
    <w:rPr>
      <w:rFonts w:ascii="Consolas" w:hAnsi="Consolas"/>
      <w:i/>
      <w:color w:val="8F5902"/>
      <w:sz w:val="22"/>
      <w:shd w:val="clear" w:color="auto" w:fill="F8F8F8"/>
    </w:rPr>
  </w:style>
  <w:style w:type="character" w:customStyle="1" w:styleId="CommentVarTok">
    <w:name w:val="CommentVarTok"/>
    <w:basedOn w:val="VerbatimChar"/>
    <w:qFormat/>
    <w:rPr>
      <w:rFonts w:ascii="Consolas" w:hAnsi="Consolas"/>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color w:val="000000"/>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color w:val="204A87"/>
      <w:sz w:val="22"/>
      <w:shd w:val="clear" w:color="auto" w:fill="F8F8F8"/>
    </w:rPr>
  </w:style>
  <w:style w:type="character" w:customStyle="1" w:styleId="OperatorTok">
    <w:name w:val="OperatorTok"/>
    <w:basedOn w:val="VerbatimChar"/>
    <w:qFormat/>
    <w:rPr>
      <w:rFonts w:ascii="Consolas" w:hAnsi="Consolas"/>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C4A000"/>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i/>
      <w:color w:val="8F5902"/>
      <w:sz w:val="22"/>
      <w:shd w:val="clear" w:color="auto" w:fill="F8F8F8"/>
    </w:rPr>
  </w:style>
  <w:style w:type="character" w:customStyle="1" w:styleId="WarningTok">
    <w:name w:val="WarningTok"/>
    <w:basedOn w:val="VerbatimChar"/>
    <w:qFormat/>
    <w:rPr>
      <w:rFonts w:ascii="Consolas" w:hAnsi="Consolas"/>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 w:type="character" w:customStyle="1" w:styleId="ListLabel1">
    <w:name w:val="ListLabel 1"/>
    <w:qFormat/>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ListLabel10">
    <w:name w:val="ListLabel 10"/>
    <w:qFormat/>
    <w:rPr>
      <w:rFonts w:cs="Symbol"/>
    </w:rPr>
  </w:style>
  <w:style w:type="character" w:customStyle="1" w:styleId="ListLabel11">
    <w:name w:val="ListLabel 11"/>
    <w:qFormat/>
    <w:rPr>
      <w:rFonts w:cs="Symbol"/>
    </w:rPr>
  </w:style>
  <w:style w:type="character" w:customStyle="1" w:styleId="ListLabel12">
    <w:name w:val="ListLabel 12"/>
    <w:qFormat/>
    <w:rPr>
      <w:rFonts w:cs="Symbol"/>
    </w:rPr>
  </w:style>
  <w:style w:type="character" w:customStyle="1" w:styleId="ListLabel13">
    <w:name w:val="ListLabel 13"/>
    <w:qFormat/>
    <w:rPr>
      <w:rFonts w:cs="Symbol"/>
    </w:rPr>
  </w:style>
  <w:style w:type="character" w:customStyle="1" w:styleId="ListLabel14">
    <w:name w:val="ListLabel 14"/>
    <w:qFormat/>
    <w:rPr>
      <w:rFonts w:cs="Symbol"/>
    </w:rPr>
  </w:style>
  <w:style w:type="character" w:customStyle="1" w:styleId="ListLabel15">
    <w:name w:val="ListLabel 15"/>
    <w:qFormat/>
    <w:rPr>
      <w:rFonts w:cs="Symbol"/>
    </w:rPr>
  </w:style>
  <w:style w:type="character" w:customStyle="1" w:styleId="ListLabel16">
    <w:name w:val="ListLabel 16"/>
    <w:qFormat/>
    <w:rPr>
      <w:rFonts w:cs="Symbol"/>
    </w:rPr>
  </w:style>
  <w:style w:type="character" w:customStyle="1" w:styleId="ListLabel17">
    <w:name w:val="ListLabel 17"/>
    <w:qFormat/>
    <w:rPr>
      <w:rFonts w:cs="Symbol"/>
    </w:rPr>
  </w:style>
  <w:style w:type="character" w:customStyle="1" w:styleId="ListLabel18">
    <w:name w:val="ListLabel 18"/>
    <w:qFormat/>
    <w:rPr>
      <w:rFonts w:cs="Symbol"/>
    </w:rPr>
  </w:style>
  <w:style w:type="character" w:customStyle="1" w:styleId="ListLabel19">
    <w:name w:val="ListLabel 19"/>
    <w:qFormat/>
    <w:rPr>
      <w:rFonts w:cs="Symbol"/>
    </w:rPr>
  </w:style>
  <w:style w:type="character" w:customStyle="1" w:styleId="ListLabel20">
    <w:name w:val="ListLabel 20"/>
    <w:qFormat/>
    <w:rPr>
      <w:rFonts w:cs="Symbol"/>
    </w:rPr>
  </w:style>
  <w:style w:type="character" w:customStyle="1" w:styleId="ListLabel21">
    <w:name w:val="ListLabel 21"/>
    <w:qFormat/>
    <w:rPr>
      <w:rFonts w:cs="Symbol"/>
    </w:rPr>
  </w:style>
  <w:style w:type="character" w:customStyle="1" w:styleId="ListLabel22">
    <w:name w:val="ListLabel 22"/>
    <w:qFormat/>
    <w:rPr>
      <w:rFonts w:cs="Symbol"/>
    </w:rPr>
  </w:style>
  <w:style w:type="character" w:customStyle="1" w:styleId="ListLabel23">
    <w:name w:val="ListLabel 23"/>
    <w:qFormat/>
    <w:rPr>
      <w:rFonts w:cs="Symbol"/>
    </w:rPr>
  </w:style>
  <w:style w:type="character" w:customStyle="1" w:styleId="ListLabel24">
    <w:name w:val="ListLabel 24"/>
    <w:qFormat/>
    <w:rPr>
      <w:rFonts w:cs="Symbol"/>
    </w:rPr>
  </w:style>
  <w:style w:type="character" w:customStyle="1" w:styleId="ListLabel25">
    <w:name w:val="ListLabel 25"/>
    <w:qFormat/>
    <w:rPr>
      <w:rFonts w:cs="Symbol"/>
    </w:rPr>
  </w:style>
  <w:style w:type="character" w:customStyle="1" w:styleId="ListLabel26">
    <w:name w:val="ListLabel 26"/>
    <w:qFormat/>
    <w:rPr>
      <w:rFonts w:cs="Symbol"/>
    </w:rPr>
  </w:style>
  <w:style w:type="character" w:customStyle="1" w:styleId="ListLabel27">
    <w:name w:val="ListLabel 27"/>
    <w:qFormat/>
    <w:rPr>
      <w:rFonts w:cs="Symbol"/>
    </w:rPr>
  </w:style>
  <w:style w:type="character" w:customStyle="1" w:styleId="ListLabel28">
    <w:name w:val="ListLabel 28"/>
    <w:qFormat/>
    <w:rPr>
      <w:rFonts w:cs="Symbol"/>
    </w:rPr>
  </w:style>
  <w:style w:type="character" w:customStyle="1" w:styleId="ListLabel29">
    <w:name w:val="ListLabel 29"/>
    <w:qFormat/>
    <w:rPr>
      <w:rFonts w:cs="Symbol"/>
    </w:rPr>
  </w:style>
  <w:style w:type="character" w:customStyle="1" w:styleId="ListLabel30">
    <w:name w:val="ListLabel 30"/>
    <w:qFormat/>
    <w:rPr>
      <w:rFonts w:cs="Symbol"/>
    </w:rPr>
  </w:style>
  <w:style w:type="character" w:customStyle="1" w:styleId="ListLabel31">
    <w:name w:val="ListLabel 31"/>
    <w:qFormat/>
    <w:rPr>
      <w:rFonts w:cs="Symbol"/>
    </w:rPr>
  </w:style>
  <w:style w:type="character" w:customStyle="1" w:styleId="ListLabel32">
    <w:name w:val="ListLabel 32"/>
    <w:qFormat/>
    <w:rPr>
      <w:rFonts w:cs="Symbol"/>
    </w:rPr>
  </w:style>
  <w:style w:type="character" w:customStyle="1" w:styleId="ListLabel33">
    <w:name w:val="ListLabel 33"/>
    <w:qFormat/>
    <w:rPr>
      <w:rFonts w:cs="Symbol"/>
    </w:rPr>
  </w:style>
  <w:style w:type="character" w:customStyle="1" w:styleId="ListLabel34">
    <w:name w:val="ListLabel 34"/>
    <w:qFormat/>
    <w:rPr>
      <w:rFonts w:cs="Symbol"/>
    </w:rPr>
  </w:style>
  <w:style w:type="character" w:customStyle="1" w:styleId="ListLabel35">
    <w:name w:val="ListLabel 35"/>
    <w:qFormat/>
    <w:rPr>
      <w:rFonts w:cs="Symbol"/>
    </w:rPr>
  </w:style>
  <w:style w:type="character" w:customStyle="1" w:styleId="ListLabel36">
    <w:name w:val="ListLabel 36"/>
    <w:qFormat/>
    <w:rPr>
      <w:rFonts w:cs="Symbol"/>
    </w:rPr>
  </w:style>
  <w:style w:type="character" w:customStyle="1" w:styleId="ListLabel37">
    <w:name w:val="ListLabel 37"/>
    <w:qFormat/>
    <w:rPr>
      <w:rFonts w:cs="Symbol"/>
    </w:rPr>
  </w:style>
  <w:style w:type="character" w:customStyle="1" w:styleId="ListLabel38">
    <w:name w:val="ListLabel 38"/>
    <w:qFormat/>
    <w:rPr>
      <w:rFonts w:cs="Symbol"/>
    </w:rPr>
  </w:style>
  <w:style w:type="character" w:customStyle="1" w:styleId="ListLabel39">
    <w:name w:val="ListLabel 39"/>
    <w:qFormat/>
    <w:rPr>
      <w:rFonts w:cs="Symbol"/>
    </w:rPr>
  </w:style>
  <w:style w:type="character" w:customStyle="1" w:styleId="ListLabel40">
    <w:name w:val="ListLabel 40"/>
    <w:qFormat/>
    <w:rPr>
      <w:rFonts w:cs="Symbol"/>
    </w:rPr>
  </w:style>
  <w:style w:type="character" w:customStyle="1" w:styleId="ListLabel41">
    <w:name w:val="ListLabel 41"/>
    <w:qFormat/>
    <w:rPr>
      <w:rFonts w:cs="Symbol"/>
    </w:rPr>
  </w:style>
  <w:style w:type="character" w:customStyle="1" w:styleId="ListLabel42">
    <w:name w:val="ListLabel 42"/>
    <w:qFormat/>
    <w:rPr>
      <w:rFonts w:cs="Symbol"/>
    </w:rPr>
  </w:style>
  <w:style w:type="character" w:customStyle="1" w:styleId="ListLabel43">
    <w:name w:val="ListLabel 43"/>
    <w:qFormat/>
    <w:rPr>
      <w:rFonts w:cs="Symbol"/>
    </w:rPr>
  </w:style>
  <w:style w:type="character" w:customStyle="1" w:styleId="ListLabel44">
    <w:name w:val="ListLabel 44"/>
    <w:qFormat/>
    <w:rPr>
      <w:rFonts w:cs="Symbol"/>
    </w:rPr>
  </w:style>
  <w:style w:type="character" w:customStyle="1" w:styleId="ListLabel45">
    <w:name w:val="ListLabel 45"/>
    <w:qFormat/>
    <w:rPr>
      <w:rFonts w:cs="Symbol"/>
    </w:rPr>
  </w:style>
  <w:style w:type="character" w:customStyle="1" w:styleId="ListLabel46">
    <w:name w:val="ListLabel 46"/>
    <w:qFormat/>
    <w:rPr>
      <w:rFonts w:cs="Symbol"/>
    </w:rPr>
  </w:style>
  <w:style w:type="character" w:customStyle="1" w:styleId="ListLabel47">
    <w:name w:val="ListLabel 47"/>
    <w:qFormat/>
    <w:rPr>
      <w:rFonts w:cs="Symbol"/>
    </w:rPr>
  </w:style>
  <w:style w:type="character" w:customStyle="1" w:styleId="ListLabel48">
    <w:name w:val="ListLabel 48"/>
    <w:qFormat/>
    <w:rPr>
      <w:rFonts w:cs="Symbol"/>
    </w:rPr>
  </w:style>
  <w:style w:type="character" w:customStyle="1" w:styleId="ListLabel49">
    <w:name w:val="ListLabel 49"/>
    <w:qFormat/>
    <w:rPr>
      <w:rFonts w:cs="Symbol"/>
    </w:rPr>
  </w:style>
  <w:style w:type="character" w:customStyle="1" w:styleId="ListLabel50">
    <w:name w:val="ListLabel 50"/>
    <w:qFormat/>
    <w:rPr>
      <w:rFonts w:cs="Symbol"/>
    </w:rPr>
  </w:style>
  <w:style w:type="character" w:customStyle="1" w:styleId="ListLabel51">
    <w:name w:val="ListLabel 51"/>
    <w:qFormat/>
    <w:rPr>
      <w:rFonts w:cs="Symbol"/>
    </w:rPr>
  </w:style>
  <w:style w:type="character" w:customStyle="1" w:styleId="ListLabel52">
    <w:name w:val="ListLabel 52"/>
    <w:qFormat/>
    <w:rPr>
      <w:rFonts w:cs="Symbol"/>
    </w:rPr>
  </w:style>
  <w:style w:type="character" w:customStyle="1" w:styleId="ListLabel53">
    <w:name w:val="ListLabel 53"/>
    <w:qFormat/>
    <w:rPr>
      <w:rFonts w:cs="Symbol"/>
    </w:rPr>
  </w:style>
  <w:style w:type="character" w:customStyle="1" w:styleId="ListLabel54">
    <w:name w:val="ListLabel 54"/>
    <w:qFormat/>
    <w:rPr>
      <w:rFonts w:cs="Symbol"/>
    </w:rPr>
  </w:style>
  <w:style w:type="character" w:customStyle="1" w:styleId="ListLabel55">
    <w:name w:val="ListLabel 55"/>
    <w:qFormat/>
    <w:rPr>
      <w:rFonts w:cs="Symbol"/>
    </w:rPr>
  </w:style>
  <w:style w:type="character" w:customStyle="1" w:styleId="ListLabel56">
    <w:name w:val="ListLabel 56"/>
    <w:qFormat/>
    <w:rPr>
      <w:rFonts w:cs="Symbol"/>
    </w:rPr>
  </w:style>
  <w:style w:type="character" w:customStyle="1" w:styleId="ListLabel57">
    <w:name w:val="ListLabel 57"/>
    <w:qFormat/>
    <w:rPr>
      <w:rFonts w:cs="Symbol"/>
    </w:rPr>
  </w:style>
  <w:style w:type="character" w:customStyle="1" w:styleId="ListLabel58">
    <w:name w:val="ListLabel 58"/>
    <w:qFormat/>
    <w:rPr>
      <w:rFonts w:cs="Symbol"/>
    </w:rPr>
  </w:style>
  <w:style w:type="character" w:customStyle="1" w:styleId="ListLabel59">
    <w:name w:val="ListLabel 59"/>
    <w:qFormat/>
    <w:rPr>
      <w:rFonts w:cs="Symbol"/>
    </w:rPr>
  </w:style>
  <w:style w:type="character" w:customStyle="1" w:styleId="ListLabel60">
    <w:name w:val="ListLabel 60"/>
    <w:qFormat/>
    <w:rPr>
      <w:rFonts w:cs="Symbol"/>
    </w:rPr>
  </w:style>
  <w:style w:type="character" w:customStyle="1" w:styleId="ListLabel61">
    <w:name w:val="ListLabel 61"/>
    <w:qFormat/>
    <w:rPr>
      <w:rFonts w:cs="Symbol"/>
    </w:rPr>
  </w:style>
  <w:style w:type="character" w:customStyle="1" w:styleId="ListLabel62">
    <w:name w:val="ListLabel 62"/>
    <w:qFormat/>
    <w:rPr>
      <w:rFonts w:cs="Symbol"/>
    </w:rPr>
  </w:style>
  <w:style w:type="character" w:customStyle="1" w:styleId="ListLabel63">
    <w:name w:val="ListLabel 63"/>
    <w:qFormat/>
    <w:rPr>
      <w:rFonts w:cs="Symbol"/>
    </w:rPr>
  </w:style>
  <w:style w:type="character" w:customStyle="1" w:styleId="ListLabel64">
    <w:name w:val="ListLabel 64"/>
    <w:qFormat/>
    <w:rPr>
      <w:rFonts w:cs="Symbol"/>
    </w:rPr>
  </w:style>
  <w:style w:type="character" w:customStyle="1" w:styleId="ListLabel65">
    <w:name w:val="ListLabel 65"/>
    <w:qFormat/>
    <w:rPr>
      <w:rFonts w:cs="Symbol"/>
    </w:rPr>
  </w:style>
  <w:style w:type="character" w:customStyle="1" w:styleId="ListLabel66">
    <w:name w:val="ListLabel 66"/>
    <w:qFormat/>
    <w:rPr>
      <w:rFonts w:cs="Symbol"/>
    </w:rPr>
  </w:style>
  <w:style w:type="character" w:customStyle="1" w:styleId="ListLabel67">
    <w:name w:val="ListLabel 67"/>
    <w:qFormat/>
    <w:rPr>
      <w:rFonts w:cs="Symbol"/>
    </w:rPr>
  </w:style>
  <w:style w:type="character" w:customStyle="1" w:styleId="ListLabel68">
    <w:name w:val="ListLabel 68"/>
    <w:qFormat/>
    <w:rPr>
      <w:rFonts w:cs="Symbol"/>
    </w:rPr>
  </w:style>
  <w:style w:type="character" w:customStyle="1" w:styleId="ListLabel69">
    <w:name w:val="ListLabel 69"/>
    <w:qFormat/>
    <w:rPr>
      <w:rFonts w:cs="Symbol"/>
    </w:rPr>
  </w:style>
  <w:style w:type="character" w:customStyle="1" w:styleId="ListLabel70">
    <w:name w:val="ListLabel 70"/>
    <w:qFormat/>
    <w:rPr>
      <w:rFonts w:cs="Symbol"/>
    </w:rPr>
  </w:style>
  <w:style w:type="character" w:customStyle="1" w:styleId="ListLabel71">
    <w:name w:val="ListLabel 71"/>
    <w:qFormat/>
    <w:rPr>
      <w:rFonts w:cs="Symbol"/>
    </w:rPr>
  </w:style>
  <w:style w:type="character" w:customStyle="1" w:styleId="ListLabel72">
    <w:name w:val="ListLabel 72"/>
    <w:qFormat/>
    <w:rPr>
      <w:rFonts w:cs="Symbol"/>
    </w:rPr>
  </w:style>
  <w:style w:type="character" w:customStyle="1" w:styleId="ListLabel73">
    <w:name w:val="ListLabel 73"/>
    <w:qFormat/>
    <w:rPr>
      <w:rFonts w:cs="Symbol"/>
    </w:rPr>
  </w:style>
  <w:style w:type="character" w:customStyle="1" w:styleId="ListLabel74">
    <w:name w:val="ListLabel 74"/>
    <w:qFormat/>
    <w:rPr>
      <w:rFonts w:cs="Symbol"/>
    </w:rPr>
  </w:style>
  <w:style w:type="character" w:customStyle="1" w:styleId="ListLabel75">
    <w:name w:val="ListLabel 75"/>
    <w:qFormat/>
    <w:rPr>
      <w:rFonts w:cs="Symbol"/>
    </w:rPr>
  </w:style>
  <w:style w:type="character" w:customStyle="1" w:styleId="ListLabel76">
    <w:name w:val="ListLabel 76"/>
    <w:qFormat/>
    <w:rPr>
      <w:rFonts w:cs="Symbol"/>
    </w:rPr>
  </w:style>
  <w:style w:type="character" w:customStyle="1" w:styleId="ListLabel77">
    <w:name w:val="ListLabel 77"/>
    <w:qFormat/>
    <w:rPr>
      <w:rFonts w:cs="Symbol"/>
    </w:rPr>
  </w:style>
  <w:style w:type="character" w:customStyle="1" w:styleId="ListLabel78">
    <w:name w:val="ListLabel 78"/>
    <w:qFormat/>
    <w:rPr>
      <w:rFonts w:cs="Symbol"/>
    </w:rPr>
  </w:style>
  <w:style w:type="character" w:customStyle="1" w:styleId="ListLabel79">
    <w:name w:val="ListLabel 79"/>
    <w:qFormat/>
    <w:rPr>
      <w:rFonts w:cs="Symbol"/>
    </w:rPr>
  </w:style>
  <w:style w:type="character" w:customStyle="1" w:styleId="ListLabel80">
    <w:name w:val="ListLabel 80"/>
    <w:qFormat/>
    <w:rPr>
      <w:rFonts w:cs="Symbol"/>
    </w:rPr>
  </w:style>
  <w:style w:type="character" w:customStyle="1" w:styleId="ListLabel81">
    <w:name w:val="ListLabel 81"/>
    <w:qFormat/>
    <w:rPr>
      <w:rFonts w:cs="Symbol"/>
    </w:rPr>
  </w:style>
  <w:style w:type="character" w:customStyle="1" w:styleId="ListLabel82">
    <w:name w:val="ListLabel 82"/>
    <w:qFormat/>
    <w:rPr>
      <w:rFonts w:cs="Symbol"/>
    </w:rPr>
  </w:style>
  <w:style w:type="character" w:customStyle="1" w:styleId="ListLabel83">
    <w:name w:val="ListLabel 83"/>
    <w:qFormat/>
    <w:rPr>
      <w:rFonts w:cs="Symbol"/>
    </w:rPr>
  </w:style>
  <w:style w:type="character" w:customStyle="1" w:styleId="ListLabel84">
    <w:name w:val="ListLabel 84"/>
    <w:qFormat/>
    <w:rPr>
      <w:rFonts w:cs="Symbol"/>
    </w:rPr>
  </w:style>
  <w:style w:type="character" w:customStyle="1" w:styleId="ListLabel85">
    <w:name w:val="ListLabel 85"/>
    <w:qFormat/>
    <w:rPr>
      <w:rFonts w:cs="Symbol"/>
    </w:rPr>
  </w:style>
  <w:style w:type="character" w:customStyle="1" w:styleId="ListLabel86">
    <w:name w:val="ListLabel 86"/>
    <w:qFormat/>
    <w:rPr>
      <w:rFonts w:cs="Symbol"/>
    </w:rPr>
  </w:style>
  <w:style w:type="character" w:customStyle="1" w:styleId="ListLabel87">
    <w:name w:val="ListLabel 87"/>
    <w:qFormat/>
    <w:rPr>
      <w:rFonts w:cs="Symbol"/>
    </w:rPr>
  </w:style>
  <w:style w:type="character" w:customStyle="1" w:styleId="ListLabel88">
    <w:name w:val="ListLabel 88"/>
    <w:qFormat/>
    <w:rPr>
      <w:rFonts w:cs="Symbol"/>
    </w:rPr>
  </w:style>
  <w:style w:type="character" w:customStyle="1" w:styleId="ListLabel89">
    <w:name w:val="ListLabel 89"/>
    <w:qFormat/>
    <w:rPr>
      <w:rFonts w:cs="Symbol"/>
    </w:rPr>
  </w:style>
  <w:style w:type="character" w:customStyle="1" w:styleId="ListLabel90">
    <w:name w:val="ListLabel 90"/>
    <w:qFormat/>
    <w:rPr>
      <w:rFonts w:cs="Symbol"/>
    </w:rPr>
  </w:style>
  <w:style w:type="character" w:customStyle="1" w:styleId="ListLabel91">
    <w:name w:val="ListLabel 91"/>
    <w:qFormat/>
    <w:rPr>
      <w:rFonts w:cs="Symbol"/>
    </w:rPr>
  </w:style>
  <w:style w:type="character" w:customStyle="1" w:styleId="ListLabel92">
    <w:name w:val="ListLabel 92"/>
    <w:qFormat/>
    <w:rPr>
      <w:rFonts w:cs="Symbol"/>
    </w:rPr>
  </w:style>
  <w:style w:type="character" w:customStyle="1" w:styleId="ListLabel93">
    <w:name w:val="ListLabel 93"/>
    <w:qFormat/>
    <w:rPr>
      <w:rFonts w:cs="Symbol"/>
    </w:rPr>
  </w:style>
  <w:style w:type="character" w:customStyle="1" w:styleId="ListLabel94">
    <w:name w:val="ListLabel 94"/>
    <w:qFormat/>
    <w:rPr>
      <w:rFonts w:cs="Symbol"/>
    </w:rPr>
  </w:style>
  <w:style w:type="character" w:customStyle="1" w:styleId="ListLabel95">
    <w:name w:val="ListLabel 95"/>
    <w:qFormat/>
    <w:rPr>
      <w:rFonts w:cs="Symbol"/>
    </w:rPr>
  </w:style>
  <w:style w:type="character" w:customStyle="1" w:styleId="ListLabel96">
    <w:name w:val="ListLabel 96"/>
    <w:qFormat/>
    <w:rPr>
      <w:rFonts w:cs="Symbol"/>
    </w:rPr>
  </w:style>
  <w:style w:type="character" w:customStyle="1" w:styleId="ListLabel97">
    <w:name w:val="ListLabel 97"/>
    <w:qFormat/>
    <w:rPr>
      <w:rFonts w:cs="Symbol"/>
    </w:rPr>
  </w:style>
  <w:style w:type="character" w:customStyle="1" w:styleId="ListLabel98">
    <w:name w:val="ListLabel 98"/>
    <w:qFormat/>
    <w:rPr>
      <w:rFonts w:cs="Symbol"/>
    </w:rPr>
  </w:style>
  <w:style w:type="character" w:customStyle="1" w:styleId="ListLabel99">
    <w:name w:val="ListLabel 99"/>
    <w:qFormat/>
    <w:rPr>
      <w:rFonts w:cs="Symbol"/>
    </w:rPr>
  </w:style>
  <w:style w:type="character" w:customStyle="1" w:styleId="ListLabel100">
    <w:name w:val="ListLabel 100"/>
    <w:qFormat/>
    <w:rPr>
      <w:rFonts w:cs="Symbol"/>
    </w:rPr>
  </w:style>
  <w:style w:type="character" w:customStyle="1" w:styleId="ListLabel101">
    <w:name w:val="ListLabel 101"/>
    <w:qFormat/>
    <w:rPr>
      <w:rFonts w:cs="Symbol"/>
    </w:rPr>
  </w:style>
  <w:style w:type="character" w:customStyle="1" w:styleId="ListLabel102">
    <w:name w:val="ListLabel 102"/>
    <w:qFormat/>
    <w:rPr>
      <w:rFonts w:cs="Symbol"/>
    </w:rPr>
  </w:style>
  <w:style w:type="character" w:customStyle="1" w:styleId="ListLabel103">
    <w:name w:val="ListLabel 103"/>
    <w:qFormat/>
    <w:rPr>
      <w:rFonts w:cs="Symbol"/>
    </w:rPr>
  </w:style>
  <w:style w:type="character" w:customStyle="1" w:styleId="ListLabel104">
    <w:name w:val="ListLabel 104"/>
    <w:qFormat/>
    <w:rPr>
      <w:rFonts w:cs="Symbol"/>
    </w:rPr>
  </w:style>
  <w:style w:type="character" w:customStyle="1" w:styleId="ListLabel105">
    <w:name w:val="ListLabel 105"/>
    <w:qFormat/>
    <w:rPr>
      <w:rFonts w:cs="Symbol"/>
    </w:rPr>
  </w:style>
  <w:style w:type="character" w:customStyle="1" w:styleId="ListLabel106">
    <w:name w:val="ListLabel 106"/>
    <w:qFormat/>
    <w:rPr>
      <w:rFonts w:cs="Symbol"/>
    </w:rPr>
  </w:style>
  <w:style w:type="character" w:customStyle="1" w:styleId="ListLabel107">
    <w:name w:val="ListLabel 107"/>
    <w:qFormat/>
    <w:rPr>
      <w:rFonts w:cs="Symbol"/>
    </w:rPr>
  </w:style>
  <w:style w:type="character" w:customStyle="1" w:styleId="ListLabel108">
    <w:name w:val="ListLabel 108"/>
    <w:qFormat/>
    <w:rPr>
      <w:rFonts w:cs="Symbol"/>
    </w:rPr>
  </w:style>
  <w:style w:type="character" w:customStyle="1" w:styleId="ListLabel109">
    <w:name w:val="ListLabel 109"/>
    <w:qFormat/>
    <w:rPr>
      <w:rFonts w:cs="Symbol"/>
    </w:rPr>
  </w:style>
  <w:style w:type="character" w:customStyle="1" w:styleId="ListLabel110">
    <w:name w:val="ListLabel 110"/>
    <w:qFormat/>
    <w:rPr>
      <w:rFonts w:cs="Symbol"/>
    </w:rPr>
  </w:style>
  <w:style w:type="character" w:customStyle="1" w:styleId="ListLabel111">
    <w:name w:val="ListLabel 111"/>
    <w:qFormat/>
    <w:rPr>
      <w:rFonts w:cs="Symbol"/>
    </w:rPr>
  </w:style>
  <w:style w:type="character" w:customStyle="1" w:styleId="ListLabel112">
    <w:name w:val="ListLabel 112"/>
    <w:qFormat/>
    <w:rPr>
      <w:rFonts w:cs="Symbol"/>
    </w:rPr>
  </w:style>
  <w:style w:type="character" w:customStyle="1" w:styleId="ListLabel113">
    <w:name w:val="ListLabel 113"/>
    <w:qFormat/>
    <w:rPr>
      <w:rFonts w:cs="Symbol"/>
    </w:rPr>
  </w:style>
  <w:style w:type="character" w:customStyle="1" w:styleId="ListLabel114">
    <w:name w:val="ListLabel 114"/>
    <w:qFormat/>
    <w:rPr>
      <w:rFonts w:cs="Symbol"/>
    </w:rPr>
  </w:style>
  <w:style w:type="character" w:customStyle="1" w:styleId="ListLabel115">
    <w:name w:val="ListLabel 115"/>
    <w:qFormat/>
    <w:rPr>
      <w:rFonts w:cs="Symbol"/>
    </w:rPr>
  </w:style>
  <w:style w:type="character" w:customStyle="1" w:styleId="ListLabel116">
    <w:name w:val="ListLabel 116"/>
    <w:qFormat/>
    <w:rPr>
      <w:rFonts w:cs="Symbol"/>
    </w:rPr>
  </w:style>
  <w:style w:type="character" w:customStyle="1" w:styleId="ListLabel117">
    <w:name w:val="ListLabel 117"/>
    <w:qFormat/>
    <w:rPr>
      <w:rFonts w:cs="Symbol"/>
    </w:rPr>
  </w:style>
  <w:style w:type="character" w:customStyle="1" w:styleId="ListLabel118">
    <w:name w:val="ListLabel 118"/>
    <w:qFormat/>
    <w:rPr>
      <w:rFonts w:cs="Symbol"/>
    </w:rPr>
  </w:style>
  <w:style w:type="character" w:customStyle="1" w:styleId="ListLabel119">
    <w:name w:val="ListLabel 119"/>
    <w:qFormat/>
  </w:style>
  <w:style w:type="character" w:customStyle="1" w:styleId="Bullets">
    <w:name w:val="Bullets"/>
    <w:qFormat/>
    <w:rPr>
      <w:rFonts w:ascii="OpenSymbol" w:eastAsia="OpenSymbol" w:hAnsi="OpenSymbol" w:cs="OpenSymbol"/>
    </w:rPr>
  </w:style>
  <w:style w:type="character" w:customStyle="1" w:styleId="ListLabel120">
    <w:name w:val="ListLabel 120"/>
    <w:qFormat/>
  </w:style>
  <w:style w:type="character" w:customStyle="1" w:styleId="ListLabel121">
    <w:name w:val="ListLabel 121"/>
    <w:qFormat/>
    <w:rPr>
      <w:rFonts w:cs="Symbol"/>
    </w:rPr>
  </w:style>
  <w:style w:type="character" w:customStyle="1" w:styleId="ListLabel122">
    <w:name w:val="ListLabel 122"/>
    <w:qFormat/>
    <w:rPr>
      <w:rFonts w:cs="Symbol"/>
    </w:rPr>
  </w:style>
  <w:style w:type="character" w:customStyle="1" w:styleId="ListLabel123">
    <w:name w:val="ListLabel 123"/>
    <w:qFormat/>
    <w:rPr>
      <w:rFonts w:cs="Symbol"/>
    </w:rPr>
  </w:style>
  <w:style w:type="character" w:customStyle="1" w:styleId="ListLabel124">
    <w:name w:val="ListLabel 124"/>
    <w:qFormat/>
    <w:rPr>
      <w:rFonts w:cs="Symbol"/>
    </w:rPr>
  </w:style>
  <w:style w:type="character" w:customStyle="1" w:styleId="ListLabel125">
    <w:name w:val="ListLabel 125"/>
    <w:qFormat/>
    <w:rPr>
      <w:rFonts w:cs="Symbol"/>
    </w:rPr>
  </w:style>
  <w:style w:type="character" w:customStyle="1" w:styleId="ListLabel126">
    <w:name w:val="ListLabel 126"/>
    <w:qFormat/>
    <w:rPr>
      <w:rFonts w:cs="Symbol"/>
    </w:rPr>
  </w:style>
  <w:style w:type="character" w:customStyle="1" w:styleId="ListLabel127">
    <w:name w:val="ListLabel 127"/>
    <w:qFormat/>
    <w:rPr>
      <w:rFonts w:cs="Symbol"/>
    </w:rPr>
  </w:style>
  <w:style w:type="character" w:customStyle="1" w:styleId="ListLabel128">
    <w:name w:val="ListLabel 128"/>
    <w:qFormat/>
    <w:rPr>
      <w:rFonts w:cs="Symbol"/>
    </w:rPr>
  </w:style>
  <w:style w:type="character" w:customStyle="1" w:styleId="ListLabel129">
    <w:name w:val="ListLabel 129"/>
    <w:qFormat/>
    <w:rPr>
      <w:rFonts w:cs="Symbol"/>
    </w:rPr>
  </w:style>
  <w:style w:type="character" w:customStyle="1" w:styleId="ListLabel130">
    <w:name w:val="ListLabel 130"/>
    <w:qFormat/>
    <w:rPr>
      <w:rFonts w:cs="Symbol"/>
    </w:rPr>
  </w:style>
  <w:style w:type="character" w:customStyle="1" w:styleId="ListLabel131">
    <w:name w:val="ListLabel 131"/>
    <w:qFormat/>
    <w:rPr>
      <w:rFonts w:cs="Symbol"/>
    </w:rPr>
  </w:style>
  <w:style w:type="character" w:customStyle="1" w:styleId="ListLabel132">
    <w:name w:val="ListLabel 132"/>
    <w:qFormat/>
    <w:rPr>
      <w:rFonts w:cs="Symbol"/>
    </w:rPr>
  </w:style>
  <w:style w:type="character" w:customStyle="1" w:styleId="ListLabel133">
    <w:name w:val="ListLabel 133"/>
    <w:qFormat/>
    <w:rPr>
      <w:rFonts w:cs="Symbol"/>
    </w:rPr>
  </w:style>
  <w:style w:type="character" w:customStyle="1" w:styleId="ListLabel134">
    <w:name w:val="ListLabel 134"/>
    <w:qFormat/>
    <w:rPr>
      <w:rFonts w:cs="Symbol"/>
    </w:rPr>
  </w:style>
  <w:style w:type="character" w:customStyle="1" w:styleId="ListLabel135">
    <w:name w:val="ListLabel 135"/>
    <w:qFormat/>
    <w:rPr>
      <w:rFonts w:cs="Symbol"/>
    </w:rPr>
  </w:style>
  <w:style w:type="character" w:customStyle="1" w:styleId="ListLabel136">
    <w:name w:val="ListLabel 136"/>
    <w:qFormat/>
    <w:rPr>
      <w:rFonts w:cs="Symbol"/>
    </w:rPr>
  </w:style>
  <w:style w:type="character" w:customStyle="1" w:styleId="ListLabel137">
    <w:name w:val="ListLabel 137"/>
    <w:qFormat/>
    <w:rPr>
      <w:rFonts w:cs="Symbol"/>
    </w:rPr>
  </w:style>
  <w:style w:type="character" w:customStyle="1" w:styleId="ListLabel138">
    <w:name w:val="ListLabel 138"/>
    <w:qFormat/>
    <w:rPr>
      <w:rFonts w:cs="Symbol"/>
    </w:rPr>
  </w:style>
  <w:style w:type="character" w:customStyle="1" w:styleId="ListLabel139">
    <w:name w:val="ListLabel 139"/>
    <w:qFormat/>
    <w:rPr>
      <w:rFonts w:cs="Symbol"/>
    </w:rPr>
  </w:style>
  <w:style w:type="character" w:customStyle="1" w:styleId="ListLabel140">
    <w:name w:val="ListLabel 140"/>
    <w:qFormat/>
    <w:rPr>
      <w:rFonts w:cs="Symbol"/>
    </w:rPr>
  </w:style>
  <w:style w:type="character" w:customStyle="1" w:styleId="ListLabel141">
    <w:name w:val="ListLabel 141"/>
    <w:qFormat/>
    <w:rPr>
      <w:rFonts w:cs="Symbol"/>
    </w:rPr>
  </w:style>
  <w:style w:type="character" w:customStyle="1" w:styleId="ListLabel142">
    <w:name w:val="ListLabel 142"/>
    <w:qFormat/>
    <w:rPr>
      <w:rFonts w:cs="Symbol"/>
    </w:rPr>
  </w:style>
  <w:style w:type="character" w:customStyle="1" w:styleId="ListLabel143">
    <w:name w:val="ListLabel 143"/>
    <w:qFormat/>
    <w:rPr>
      <w:rFonts w:cs="Symbol"/>
    </w:rPr>
  </w:style>
  <w:style w:type="character" w:customStyle="1" w:styleId="ListLabel144">
    <w:name w:val="ListLabel 144"/>
    <w:qFormat/>
    <w:rPr>
      <w:rFonts w:cs="Symbol"/>
    </w:rPr>
  </w:style>
  <w:style w:type="character" w:customStyle="1" w:styleId="ListLabel145">
    <w:name w:val="ListLabel 145"/>
    <w:qFormat/>
    <w:rPr>
      <w:rFonts w:cs="Symbol"/>
    </w:rPr>
  </w:style>
  <w:style w:type="character" w:customStyle="1" w:styleId="ListLabel146">
    <w:name w:val="ListLabel 146"/>
    <w:qFormat/>
    <w:rPr>
      <w:rFonts w:cs="Symbol"/>
    </w:rPr>
  </w:style>
  <w:style w:type="character" w:customStyle="1" w:styleId="ListLabel147">
    <w:name w:val="ListLabel 147"/>
    <w:qFormat/>
    <w:rPr>
      <w:rFonts w:cs="Symbol"/>
    </w:rPr>
  </w:style>
  <w:style w:type="character" w:customStyle="1" w:styleId="ListLabel148">
    <w:name w:val="ListLabel 148"/>
    <w:qFormat/>
  </w:style>
  <w:style w:type="character" w:customStyle="1" w:styleId="ListLabel149">
    <w:name w:val="ListLabel 149"/>
    <w:qFormat/>
    <w:rPr>
      <w:rFonts w:cs="Symbol"/>
    </w:rPr>
  </w:style>
  <w:style w:type="character" w:customStyle="1" w:styleId="ListLabel150">
    <w:name w:val="ListLabel 150"/>
    <w:qFormat/>
    <w:rPr>
      <w:rFonts w:cs="Symbol"/>
    </w:rPr>
  </w:style>
  <w:style w:type="character" w:customStyle="1" w:styleId="ListLabel151">
    <w:name w:val="ListLabel 151"/>
    <w:qFormat/>
    <w:rPr>
      <w:rFonts w:cs="Symbol"/>
    </w:rPr>
  </w:style>
  <w:style w:type="character" w:customStyle="1" w:styleId="ListLabel152">
    <w:name w:val="ListLabel 152"/>
    <w:qFormat/>
    <w:rPr>
      <w:rFonts w:cs="Symbol"/>
    </w:rPr>
  </w:style>
  <w:style w:type="character" w:customStyle="1" w:styleId="ListLabel153">
    <w:name w:val="ListLabel 153"/>
    <w:qFormat/>
    <w:rPr>
      <w:rFonts w:cs="Symbol"/>
    </w:rPr>
  </w:style>
  <w:style w:type="character" w:customStyle="1" w:styleId="ListLabel154">
    <w:name w:val="ListLabel 154"/>
    <w:qFormat/>
    <w:rPr>
      <w:rFonts w:cs="Symbol"/>
    </w:rPr>
  </w:style>
  <w:style w:type="character" w:customStyle="1" w:styleId="ListLabel155">
    <w:name w:val="ListLabel 155"/>
    <w:qFormat/>
    <w:rPr>
      <w:rFonts w:cs="Symbol"/>
    </w:rPr>
  </w:style>
  <w:style w:type="character" w:customStyle="1" w:styleId="ListLabel156">
    <w:name w:val="ListLabel 156"/>
    <w:qFormat/>
    <w:rPr>
      <w:rFonts w:cs="Symbol"/>
    </w:rPr>
  </w:style>
  <w:style w:type="character" w:customStyle="1" w:styleId="ListLabel157">
    <w:name w:val="ListLabel 157"/>
    <w:qFormat/>
    <w:rPr>
      <w:rFonts w:cs="Symbol"/>
    </w:rPr>
  </w:style>
  <w:style w:type="character" w:customStyle="1" w:styleId="ListLabel158">
    <w:name w:val="ListLabel 158"/>
    <w:qFormat/>
    <w:rPr>
      <w:rFonts w:cs="Symbol"/>
    </w:rPr>
  </w:style>
  <w:style w:type="character" w:customStyle="1" w:styleId="ListLabel159">
    <w:name w:val="ListLabel 159"/>
    <w:qFormat/>
    <w:rPr>
      <w:rFonts w:cs="Symbol"/>
    </w:rPr>
  </w:style>
  <w:style w:type="character" w:customStyle="1" w:styleId="ListLabel160">
    <w:name w:val="ListLabel 160"/>
    <w:qFormat/>
    <w:rPr>
      <w:rFonts w:cs="Symbol"/>
    </w:rPr>
  </w:style>
  <w:style w:type="character" w:customStyle="1" w:styleId="ListLabel161">
    <w:name w:val="ListLabel 161"/>
    <w:qFormat/>
    <w:rPr>
      <w:rFonts w:cs="Symbol"/>
    </w:rPr>
  </w:style>
  <w:style w:type="character" w:customStyle="1" w:styleId="ListLabel162">
    <w:name w:val="ListLabel 162"/>
    <w:qFormat/>
    <w:rPr>
      <w:rFonts w:cs="Symbol"/>
    </w:rPr>
  </w:style>
  <w:style w:type="character" w:customStyle="1" w:styleId="ListLabel163">
    <w:name w:val="ListLabel 163"/>
    <w:qFormat/>
    <w:rPr>
      <w:rFonts w:cs="Symbol"/>
    </w:rPr>
  </w:style>
  <w:style w:type="character" w:customStyle="1" w:styleId="ListLabel164">
    <w:name w:val="ListLabel 164"/>
    <w:qFormat/>
    <w:rPr>
      <w:rFonts w:cs="Symbol"/>
    </w:rPr>
  </w:style>
  <w:style w:type="character" w:customStyle="1" w:styleId="ListLabel165">
    <w:name w:val="ListLabel 165"/>
    <w:qFormat/>
    <w:rPr>
      <w:rFonts w:cs="Symbol"/>
    </w:rPr>
  </w:style>
  <w:style w:type="character" w:customStyle="1" w:styleId="ListLabel166">
    <w:name w:val="ListLabel 166"/>
    <w:qFormat/>
    <w:rPr>
      <w:rFonts w:cs="Symbol"/>
    </w:rPr>
  </w:style>
  <w:style w:type="character" w:customStyle="1" w:styleId="ListLabel167">
    <w:name w:val="ListLabel 167"/>
    <w:qFormat/>
    <w:rPr>
      <w:rFonts w:cs="Symbol"/>
    </w:rPr>
  </w:style>
  <w:style w:type="character" w:customStyle="1" w:styleId="ListLabel168">
    <w:name w:val="ListLabel 168"/>
    <w:qFormat/>
    <w:rPr>
      <w:rFonts w:cs="Symbol"/>
    </w:rPr>
  </w:style>
  <w:style w:type="character" w:customStyle="1" w:styleId="ListLabel169">
    <w:name w:val="ListLabel 169"/>
    <w:qFormat/>
    <w:rPr>
      <w:rFonts w:cs="Symbol"/>
    </w:rPr>
  </w:style>
  <w:style w:type="character" w:customStyle="1" w:styleId="ListLabel170">
    <w:name w:val="ListLabel 170"/>
    <w:qFormat/>
    <w:rPr>
      <w:rFonts w:cs="Symbol"/>
    </w:rPr>
  </w:style>
  <w:style w:type="character" w:customStyle="1" w:styleId="ListLabel171">
    <w:name w:val="ListLabel 171"/>
    <w:qFormat/>
    <w:rPr>
      <w:rFonts w:cs="Symbol"/>
    </w:rPr>
  </w:style>
  <w:style w:type="character" w:customStyle="1" w:styleId="ListLabel172">
    <w:name w:val="ListLabel 172"/>
    <w:qFormat/>
    <w:rPr>
      <w:rFonts w:cs="Symbol"/>
    </w:rPr>
  </w:style>
  <w:style w:type="character" w:customStyle="1" w:styleId="ListLabel173">
    <w:name w:val="ListLabel 173"/>
    <w:qFormat/>
    <w:rPr>
      <w:rFonts w:cs="Symbol"/>
    </w:rPr>
  </w:style>
  <w:style w:type="character" w:customStyle="1" w:styleId="ListLabel174">
    <w:name w:val="ListLabel 174"/>
    <w:qFormat/>
    <w:rPr>
      <w:rFonts w:cs="Symbol"/>
    </w:rPr>
  </w:style>
  <w:style w:type="character" w:customStyle="1" w:styleId="ListLabel175">
    <w:name w:val="ListLabel 175"/>
    <w:qFormat/>
    <w:rPr>
      <w:rFonts w:cs="Symbol"/>
    </w:rPr>
  </w:style>
  <w:style w:type="character" w:customStyle="1" w:styleId="ListLabel176">
    <w:name w:val="ListLabel 176"/>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qFormat/>
    <w:pPr>
      <w:spacing w:before="180" w:after="180"/>
    </w:pPr>
  </w:style>
  <w:style w:type="paragraph" w:styleId="Lista">
    <w:name w:val="List"/>
    <w:basedOn w:val="Corpodetexto"/>
    <w:rPr>
      <w:rFonts w:cs="Lohit Devanagari"/>
    </w:rPr>
  </w:style>
  <w:style w:type="paragraph" w:styleId="Legenda">
    <w:name w:val="caption"/>
    <w:basedOn w:val="Normal"/>
    <w:link w:val="LegendaChar"/>
    <w:qFormat/>
    <w:pPr>
      <w:spacing w:after="120"/>
    </w:pPr>
    <w:rPr>
      <w:i/>
    </w:rPr>
  </w:style>
  <w:style w:type="paragraph" w:customStyle="1" w:styleId="Index">
    <w:name w:val="Index"/>
    <w:basedOn w:val="Normal"/>
    <w:qFormat/>
    <w:pPr>
      <w:suppressLineNumbers/>
    </w:pPr>
    <w:rPr>
      <w:rFonts w:cs="Lohit Devanagari"/>
    </w:rPr>
  </w:style>
  <w:style w:type="paragraph" w:customStyle="1" w:styleId="FirstParagraph">
    <w:name w:val="First Paragraph"/>
    <w:basedOn w:val="Corpodetexto"/>
    <w:qFormat/>
  </w:style>
  <w:style w:type="paragraph" w:customStyle="1" w:styleId="Compact">
    <w:name w:val="Compact"/>
    <w:basedOn w:val="Corpodetexto"/>
    <w:qFormat/>
    <w:pPr>
      <w:spacing w:before="36" w:after="36"/>
    </w:pPr>
  </w:style>
  <w:style w:type="paragraph" w:styleId="Ttulo">
    <w:name w:val="Title"/>
    <w:basedOn w:val="Normal"/>
    <w:qFormat/>
    <w:pPr>
      <w:keepNext/>
      <w:keepLines/>
      <w:spacing w:before="480" w:after="240"/>
      <w:jc w:val="center"/>
    </w:pPr>
    <w:rPr>
      <w:rFonts w:ascii="Arial" w:eastAsiaTheme="majorEastAsia" w:hAnsi="Arial" w:cstheme="majorBidi"/>
      <w:b/>
      <w:bCs/>
      <w:color w:val="000000"/>
      <w:sz w:val="30"/>
      <w:szCs w:val="30"/>
    </w:rPr>
  </w:style>
  <w:style w:type="paragraph" w:styleId="Subttulo">
    <w:name w:val="Subtitle"/>
    <w:basedOn w:val="Ttulo"/>
    <w:qFormat/>
    <w:pPr>
      <w:spacing w:before="240"/>
    </w:pPr>
  </w:style>
  <w:style w:type="paragraph" w:customStyle="1" w:styleId="Author">
    <w:name w:val="Author"/>
    <w:qFormat/>
    <w:pPr>
      <w:keepNext/>
      <w:keepLines/>
      <w:jc w:val="center"/>
    </w:pPr>
    <w:rPr>
      <w:rFonts w:ascii="Arial" w:hAnsi="Arial"/>
      <w:b/>
      <w:bCs/>
      <w:sz w:val="24"/>
    </w:rPr>
  </w:style>
  <w:style w:type="paragraph" w:styleId="Data">
    <w:name w:val="Date"/>
    <w:qFormat/>
    <w:pPr>
      <w:keepNext/>
      <w:keepLines/>
      <w:jc w:val="center"/>
    </w:pPr>
    <w:rPr>
      <w:sz w:val="24"/>
    </w:rPr>
  </w:style>
  <w:style w:type="paragraph" w:customStyle="1" w:styleId="Abstract">
    <w:name w:val="Abstract"/>
    <w:basedOn w:val="Normal"/>
    <w:qFormat/>
    <w:pPr>
      <w:keepNext/>
      <w:keepLines/>
      <w:spacing w:before="300" w:after="300"/>
    </w:pPr>
    <w:rPr>
      <w:sz w:val="20"/>
      <w:szCs w:val="20"/>
    </w:rPr>
  </w:style>
  <w:style w:type="paragraph" w:styleId="Bibliografia">
    <w:name w:val="Bibliography"/>
    <w:basedOn w:val="Normal"/>
    <w:qFormat/>
    <w:rPr>
      <w:rFonts w:ascii="Arial" w:hAnsi="Arial"/>
    </w:rPr>
  </w:style>
  <w:style w:type="paragraph" w:styleId="Textoembloco">
    <w:name w:val="Block Text"/>
    <w:basedOn w:val="Corpodetexto"/>
    <w:uiPriority w:val="9"/>
    <w:unhideWhenUsed/>
    <w:qFormat/>
    <w:pPr>
      <w:spacing w:before="100" w:after="100"/>
    </w:pPr>
    <w:rPr>
      <w:rFonts w:asciiTheme="majorHAnsi" w:eastAsiaTheme="majorEastAsia" w:hAnsiTheme="majorHAnsi" w:cstheme="majorBidi"/>
      <w:bCs/>
      <w:sz w:val="20"/>
      <w:szCs w:val="20"/>
    </w:rPr>
  </w:style>
  <w:style w:type="paragraph" w:styleId="Textodenotaderodap">
    <w:name w:val="footnote text"/>
    <w:basedOn w:val="Normal"/>
    <w:uiPriority w:val="9"/>
    <w:unhideWhenUsed/>
    <w:qFormat/>
  </w:style>
  <w:style w:type="paragraph" w:customStyle="1" w:styleId="DefinitionTerm">
    <w:name w:val="Definition Term"/>
    <w:basedOn w:val="Normal"/>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CabealhodoSumrio">
    <w:name w:val="TOC Heading"/>
    <w:basedOn w:val="Ttulo1"/>
    <w:uiPriority w:val="39"/>
    <w:unhideWhenUsed/>
    <w:qFormat/>
    <w:pPr>
      <w:spacing w:before="240" w:line="259" w:lineRule="auto"/>
    </w:pPr>
    <w:rPr>
      <w:rFonts w:asciiTheme="majorHAnsi" w:hAnsiTheme="majorHAnsi"/>
      <w:b w:val="0"/>
      <w:bCs w:val="0"/>
      <w:color w:val="365F91" w:themeColor="accent1" w:themeShade="BF"/>
    </w:rPr>
  </w:style>
  <w:style w:type="paragraph" w:customStyle="1" w:styleId="SourceCode">
    <w:name w:val="Source Code"/>
    <w:basedOn w:val="Normal"/>
    <w:link w:val="VerbatimChar"/>
    <w:qFormat/>
    <w:pPr>
      <w:shd w:val="clear" w:color="auto" w:fill="F8F8F8"/>
    </w:pPr>
  </w:style>
  <w:style w:type="paragraph" w:customStyle="1" w:styleId="Source">
    <w:name w:val="Source"/>
    <w:basedOn w:val="Legenda"/>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styleId="Cabealho">
    <w:name w:val="header"/>
    <w:basedOn w:val="Normal"/>
    <w:link w:val="CabealhoChar"/>
    <w:unhideWhenUsed/>
    <w:rsid w:val="0090714B"/>
    <w:pPr>
      <w:tabs>
        <w:tab w:val="center" w:pos="4680"/>
        <w:tab w:val="right" w:pos="9360"/>
      </w:tabs>
      <w:spacing w:after="0" w:line="240" w:lineRule="auto"/>
    </w:pPr>
  </w:style>
  <w:style w:type="character" w:customStyle="1" w:styleId="CabealhoChar">
    <w:name w:val="Cabeçalho Char"/>
    <w:basedOn w:val="Fontepargpadro"/>
    <w:link w:val="Cabealho"/>
    <w:rsid w:val="0090714B"/>
    <w:rPr>
      <w:rFonts w:ascii="DejaVu Sans" w:hAnsi="DejaVu Sans"/>
      <w:sz w:val="24"/>
    </w:rPr>
  </w:style>
  <w:style w:type="paragraph" w:styleId="Rodap">
    <w:name w:val="footer"/>
    <w:basedOn w:val="Normal"/>
    <w:link w:val="RodapChar"/>
    <w:unhideWhenUsed/>
    <w:rsid w:val="0090714B"/>
    <w:pPr>
      <w:tabs>
        <w:tab w:val="center" w:pos="4680"/>
        <w:tab w:val="right" w:pos="9360"/>
      </w:tabs>
      <w:spacing w:after="0" w:line="240" w:lineRule="auto"/>
    </w:pPr>
  </w:style>
  <w:style w:type="character" w:customStyle="1" w:styleId="RodapChar">
    <w:name w:val="Rodapé Char"/>
    <w:basedOn w:val="Fontepargpadro"/>
    <w:link w:val="Rodap"/>
    <w:rsid w:val="0090714B"/>
    <w:rPr>
      <w:rFonts w:ascii="DejaVu Sans" w:hAnsi="DejaVu Sans"/>
      <w:sz w:val="24"/>
    </w:rPr>
  </w:style>
  <w:style w:type="paragraph" w:styleId="Textodebalo">
    <w:name w:val="Balloon Text"/>
    <w:basedOn w:val="Normal"/>
    <w:link w:val="TextodebaloChar"/>
    <w:semiHidden/>
    <w:unhideWhenUsed/>
    <w:rsid w:val="000D223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semiHidden/>
    <w:rsid w:val="000D223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www.census.gov/library/publications/1993/demo/p23-186.html" TargetMode="External"/><Relationship Id="rId13" Type="http://schemas.openxmlformats.org/officeDocument/2006/relationships/hyperlink" Target="https://doi.org/10.1111/padr.12273"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repositorio.unicamp.br/jspui/bitstream/REPOSIP/333826/1/Silva_JoseHenriqueCostaMonteiroDa_M.pdf"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doi.org/10.18128/D020.V7.2" TargetMode="Externa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hyperlink" Target="http://www.scielo.br/scielo.php?script=sci_arttext&amp;pid=S0101-41612011000300004&amp;nrm=iso"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https://doi.org/10.25222/larr.42" TargetMode="External"/><Relationship Id="rId14" Type="http://schemas.openxmlformats.org/officeDocument/2006/relationships/hyperlink" Target="https://doi.org/10.4054/DemRes.2014.30.53"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63</Pages>
  <Words>11818</Words>
  <Characters>67369</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Educational Pairings and Fertility Decline in Brazil: An Analysis Through Cohort Fertility</vt:lpstr>
    </vt:vector>
  </TitlesOfParts>
  <Company/>
  <LinksUpToDate>false</LinksUpToDate>
  <CharactersWithSpaces>79029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subject/>
  <dc:creator>Frank Japson</dc:creator>
  <dc:description/>
  <cp:lastModifiedBy>Everton Campos de Lima</cp:lastModifiedBy>
  <cp:revision>2</cp:revision>
  <dcterms:created xsi:type="dcterms:W3CDTF">2020-11-20T13:37:00Z</dcterms:created>
  <dcterms:modified xsi:type="dcterms:W3CDTF">2020-11-20T13:37:00Z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12b1c50-5fb8-469e-8aaa-c6fe2a6a862d_Enabled">
    <vt:lpwstr>true</vt:lpwstr>
  </property>
  <property fmtid="{D5CDD505-2E9C-101B-9397-08002B2CF9AE}" pid="3" name="MSIP_Label_712b1c50-5fb8-469e-8aaa-c6fe2a6a862d_SetDate">
    <vt:lpwstr>2020-11-04T12:54:24Z</vt:lpwstr>
  </property>
  <property fmtid="{D5CDD505-2E9C-101B-9397-08002B2CF9AE}" pid="4" name="MSIP_Label_712b1c50-5fb8-469e-8aaa-c6fe2a6a862d_Method">
    <vt:lpwstr>Standard</vt:lpwstr>
  </property>
  <property fmtid="{D5CDD505-2E9C-101B-9397-08002B2CF9AE}" pid="5" name="MSIP_Label_712b1c50-5fb8-469e-8aaa-c6fe2a6a862d_Name">
    <vt:lpwstr>SInternal - General</vt:lpwstr>
  </property>
  <property fmtid="{D5CDD505-2E9C-101B-9397-08002B2CF9AE}" pid="6" name="MSIP_Label_712b1c50-5fb8-469e-8aaa-c6fe2a6a862d_SiteId">
    <vt:lpwstr>72aa0d83-624a-4ebf-a683-1b9b45548610</vt:lpwstr>
  </property>
  <property fmtid="{D5CDD505-2E9C-101B-9397-08002B2CF9AE}" pid="7" name="MSIP_Label_712b1c50-5fb8-469e-8aaa-c6fe2a6a862d_ActionId">
    <vt:lpwstr>9b8c8ee7-5649-405e-b9c7-0000f8231a78</vt:lpwstr>
  </property>
  <property fmtid="{D5CDD505-2E9C-101B-9397-08002B2CF9AE}" pid="8" name="MSIP_Label_712b1c50-5fb8-469e-8aaa-c6fe2a6a862d_ContentBits">
    <vt:lpwstr>2</vt:lpwstr>
  </property>
</Properties>
</file>