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Educational</w:t>
      </w:r>
      <w:r>
        <w:t xml:space="preserve"> </w:t>
      </w:r>
      <w:r>
        <w:t xml:space="preserve">Pairings</w:t>
      </w:r>
      <w:r>
        <w:t xml:space="preserve"> </w:t>
      </w:r>
      <w:r>
        <w:t xml:space="preserve">and</w:t>
      </w:r>
      <w:r>
        <w:t xml:space="preserve"> </w:t>
      </w:r>
      <w:r>
        <w:t xml:space="preserve">Fertility</w:t>
      </w:r>
      <w:r>
        <w:t xml:space="preserve"> </w:t>
      </w:r>
      <w:r>
        <w:t xml:space="preserve">Decline</w:t>
      </w:r>
      <w:r>
        <w:t xml:space="preserve"> </w:t>
      </w:r>
      <w:r>
        <w:t xml:space="preserve">in</w:t>
      </w:r>
      <w:r>
        <w:t xml:space="preserve"> </w:t>
      </w:r>
      <w:r>
        <w:t xml:space="preserve">Brazil:</w:t>
      </w:r>
      <w:r>
        <w:t xml:space="preserve"> </w:t>
      </w:r>
      <w:r>
        <w:t xml:space="preserve">An</w:t>
      </w:r>
      <w:r>
        <w:t xml:space="preserve"> </w:t>
      </w:r>
      <w:r>
        <w:t xml:space="preserve">Analysis</w:t>
      </w:r>
      <w:r>
        <w:t xml:space="preserve"> </w:t>
      </w:r>
      <w:r>
        <w:t xml:space="preserve">Through</w:t>
      </w:r>
      <w:r>
        <w:t xml:space="preserve"> </w:t>
      </w:r>
      <w:r>
        <w:t xml:space="preserve">Cohort</w:t>
      </w:r>
      <w:r>
        <w:t xml:space="preserve"> </w:t>
      </w:r>
      <w:r>
        <w:t xml:space="preserve">Fertility</w:t>
      </w:r>
    </w:p>
    <w:p>
      <w:pPr>
        <w:pStyle w:val="Heading1"/>
      </w:pPr>
      <w:bookmarkStart w:id="20" w:name="introduction"/>
      <w:r>
        <w:t xml:space="preserve">Introduction</w:t>
      </w:r>
      <w:bookmarkEnd w:id="20"/>
    </w:p>
    <w:p>
      <w:pPr>
        <w:pStyle w:val="FirstParagraph"/>
      </w:pPr>
      <w:r>
        <w:t xml:space="preserve">Brazil observed a significant drop on its total fertility levels from 1960</w:t>
      </w:r>
      <w:r>
        <w:t xml:space="preserve"> </w:t>
      </w:r>
      <w:r>
        <w:t xml:space="preserve">(Merrick/Berquó 1983)</w:t>
      </w:r>
      <w:r>
        <w:t xml:space="preserve"> </w:t>
      </w:r>
      <w:r>
        <w:t xml:space="preserve">and since 2010-2015 exhibits below replacement fertility levels</w:t>
      </w:r>
      <w:r>
        <w:t xml:space="preserve"> </w:t>
      </w:r>
      <w:r>
        <w:t xml:space="preserve">(Berquó/Cavenaghi 2014; Castanheira/Kohler 2015; Lima et al. 2018; Rios-Neto et al. 2018)</w:t>
      </w:r>
      <w:r>
        <w:t xml:space="preserve">. The Brazilian fertility transition was heterogeneous within country regions and social strata in terms of transition pace and starting period</w:t>
      </w:r>
      <w:r>
        <w:t xml:space="preserve"> </w:t>
      </w:r>
      <w:r>
        <w:t xml:space="preserve">(Potter et al. 2010)</w:t>
      </w:r>
      <w:r>
        <w:t xml:space="preserve">.</w:t>
      </w:r>
    </w:p>
    <w:p>
      <w:pPr>
        <w:pStyle w:val="TextBody"/>
      </w:pPr>
      <w:r>
        <w:t xml:space="preserve">Social groups of higher socioeconomic status, especially those from urban and industrialized areas, already practiced birth control before the beginning of the generalized decline of fertility in the 1960s</w:t>
      </w:r>
      <w:r>
        <w:t xml:space="preserve"> </w:t>
      </w:r>
      <w:r>
        <w:t xml:space="preserve">(Guzmán/Rodríguez 1993; Merrick/Berquó 1983)</w:t>
      </w:r>
      <w:r>
        <w:t xml:space="preserve">. This contraceptive behaviour rapidly spread towards the lower status socioeconomic groups</w:t>
      </w:r>
      <w:r>
        <w:t xml:space="preserve"> </w:t>
      </w:r>
      <w:r>
        <w:t xml:space="preserve">(Berquó/Cavenaghi 2014; Carvalho/Wong 1992; Perpétuo/Wajnman 1998)</w:t>
      </w:r>
      <w:r>
        <w:t xml:space="preserve">. Lower income and lower educated social groups from North and Northeast regions, for example, got into the process of fertility transition by 1980s and at an accelerated pace whereas Southern regions were already experiencing a declining fertility trend by the begining of 1960 decade</w:t>
      </w:r>
      <w:r>
        <w:t xml:space="preserve"> </w:t>
      </w:r>
      <w:r>
        <w:t xml:space="preserve">(Potter et al. 2010, 2002)</w:t>
      </w:r>
      <w:r>
        <w:t xml:space="preserve">.</w:t>
      </w:r>
    </w:p>
    <w:p>
      <w:pPr>
        <w:pStyle w:val="TextBody"/>
      </w:pPr>
      <w:r>
        <w:t xml:space="preserve">Several factors explain the converging fertility regimes of social groups and thus the fertility transition in Brazil. Industrialization and urbanization, changes in labor market and productive structures, reduction of infant mortality rates, higher access to formal schooling followed by a higher rates of female participation in the labor market, changes in gender relations, expansion of consumer society and communication systems among other factors related to socioeconomic and technological development</w:t>
      </w:r>
      <w:r>
        <w:t xml:space="preserve"> </w:t>
      </w:r>
      <w:r>
        <w:t xml:space="preserve">(Alves 1994; Castanheira/Kohler 2017; Faria 1989; Lam et al. 1992; Martine 1996; Merrick/Berquó 1983; Oliveira 1989; Paiva 1987; Potter et al. 2002; Rios-Neto et al. 2018)</w:t>
      </w:r>
      <w:r>
        <w:t xml:space="preserve">. The different paces and periods of each region’s fertility transition were a result of an uneven spread of these factors through the country which incur in non-neglegible demographic inequalities</w:t>
      </w:r>
      <w:r>
        <w:t xml:space="preserve"> </w:t>
      </w:r>
      <w:r>
        <w:t xml:space="preserve">(Carvalho/Brito 2005; Patarra/Oliveira 1988; Wong/Carvalho 2006; Wood/Carvalho 1988)</w:t>
      </w:r>
      <w:r>
        <w:t xml:space="preserve">.</w:t>
      </w:r>
    </w:p>
    <w:p>
      <w:pPr>
        <w:pStyle w:val="TextBody"/>
      </w:pPr>
      <w:r>
        <w:t xml:space="preserve">Expansion of population’s access to education was one of the main drivers of the fertility transition in Brazil</w:t>
      </w:r>
      <w:r>
        <w:t xml:space="preserve"> </w:t>
      </w:r>
      <w:r>
        <w:t xml:space="preserve">(Carvalho/Wong 1992; Lam et al. 1992; Merrick/Berquó 1983)</w:t>
      </w:r>
      <w:r>
        <w:t xml:space="preserve">. Education exerts multiple direct and indirect influences on demographic processes</w:t>
      </w:r>
      <w:r>
        <w:t xml:space="preserve"> </w:t>
      </w:r>
      <w:r>
        <w:t xml:space="preserve">(Lutz 2010)</w:t>
      </w:r>
      <w:r>
        <w:t xml:space="preserve">. Family formation and reproductive behavior are affected by education through consequences of schooling on human capital formation, such as: changes in life course decisions like the increase in female labor market participation and postponement of entry into motherhood</w:t>
      </w:r>
      <w:r>
        <w:t xml:space="preserve"> </w:t>
      </w:r>
      <w:r>
        <w:t xml:space="preserve">(Neels et al. 2017)</w:t>
      </w:r>
      <w:r>
        <w:t xml:space="preserve">, changes on educational composition of conjugal markets and assortative mating profiles</w:t>
      </w:r>
      <w:r>
        <w:t xml:space="preserve"> </w:t>
      </w:r>
      <w:r>
        <w:t xml:space="preserve">(Esteve/McCaa 2007; Mare 1991; Ribeiro/Silva 2009)</w:t>
      </w:r>
      <w:r>
        <w:t xml:space="preserve"> </w:t>
      </w:r>
      <w:r>
        <w:t xml:space="preserve">and changes in social and gender norms which foster new ideals of family size</w:t>
      </w:r>
      <w:r>
        <w:t xml:space="preserve"> </w:t>
      </w:r>
      <w:r>
        <w:t xml:space="preserve">(Adserà 2018; Esping-Andersen 2009; Jejeebhoy 1995; McDonald 2000)</w:t>
      </w:r>
      <w:r>
        <w:t xml:space="preserve">.</w:t>
      </w:r>
    </w:p>
    <w:p>
      <w:pPr>
        <w:pStyle w:val="TextBody"/>
      </w:pPr>
      <w:r>
        <w:t xml:space="preserve">By the time of fertility transition begining, the Brazilian educational system expansion was already ongoing fomented by a shift in economic and production model</w:t>
      </w:r>
      <w:r>
        <w:t xml:space="preserve"> </w:t>
      </w:r>
      <w:r>
        <w:t xml:space="preserve">(Romanelli 1986)</w:t>
      </w:r>
      <w:r>
        <w:t xml:space="preserve">. By 1930, Brazil went through a shift from a rural society with economic model based on the export of agricultural goods to an urban population with an increasing import substitution industry</w:t>
      </w:r>
      <w:r>
        <w:t xml:space="preserve"> </w:t>
      </w:r>
      <w:r>
        <w:t xml:space="preserve">(Merrick/Graham 1981; Paiva 1987)</w:t>
      </w:r>
      <w:r>
        <w:t xml:space="preserve">. Brazilian formal schooling expansion occurred, however, at a slower pace than other countries in South America</w:t>
      </w:r>
      <w:r>
        <w:t xml:space="preserve"> </w:t>
      </w:r>
      <w:r>
        <w:t xml:space="preserve">(Komatsu et al. 2017)</w:t>
      </w:r>
      <w:r>
        <w:t xml:space="preserve"> </w:t>
      </w:r>
      <w:r>
        <w:t xml:space="preserve">and the country only reached the universalization of primary education by 1990 decade</w:t>
      </w:r>
      <w:r>
        <w:t xml:space="preserve"> </w:t>
      </w:r>
      <w:r>
        <w:t xml:space="preserve">(Castro 1998)</w:t>
      </w:r>
      <w:r>
        <w:t xml:space="preserve">. Nevertheless, higher school enrollments led to significant changes in educational composition of the population</w:t>
      </w:r>
      <w:r>
        <w:t xml:space="preserve"> </w:t>
      </w:r>
      <w:r>
        <w:t xml:space="preserve">(Fígoli 2006)</w:t>
      </w:r>
      <w:r>
        <w:t xml:space="preserve">, notably for women. Through the XX century, they achieved higher educational gains than men</w:t>
      </w:r>
      <w:r>
        <w:t xml:space="preserve"> </w:t>
      </w:r>
      <w:r>
        <w:t xml:space="preserve">(Beltrão/Alves 2009; Ribeiro/Silva 2009)</w:t>
      </w:r>
      <w:r>
        <w:t xml:space="preserve">, which endorsed increases in female participation rates at the labor market</w:t>
      </w:r>
      <w:r>
        <w:t xml:space="preserve"> </w:t>
      </w:r>
      <w:r>
        <w:t xml:space="preserve">(Scorzafave/Menezes-Filho 2001)</w:t>
      </w:r>
      <w:r>
        <w:t xml:space="preserve"> </w:t>
      </w:r>
      <w:r>
        <w:t xml:space="preserve">and decreases of educational hipergamy (union profiles in which male partners have higher educational attainment level than their female partners)</w:t>
      </w:r>
      <w:r>
        <w:t xml:space="preserve"> </w:t>
      </w:r>
      <w:r>
        <w:t xml:space="preserve">(Ribeiro/Silva 2009)</w:t>
      </w:r>
      <w:r>
        <w:t xml:space="preserve">.</w:t>
      </w:r>
    </w:p>
    <w:p>
      <w:pPr>
        <w:pStyle w:val="TextBody"/>
      </w:pPr>
      <w:r>
        <w:t xml:space="preserve">This slow educational progress in the country was attached to existing unequal socioeconomic structures that restricts population access to fulfillment of its basic social needs</w:t>
      </w:r>
      <w:r>
        <w:t xml:space="preserve"> </w:t>
      </w:r>
      <w:r>
        <w:t xml:space="preserve">(Barros et al. 2000)</w:t>
      </w:r>
      <w:r>
        <w:t xml:space="preserve">. Thus, educational inequalities are a relevant feature of the country’s inequalities which manifest in life expectancy gradients</w:t>
      </w:r>
      <w:r>
        <w:t xml:space="preserve"> </w:t>
      </w:r>
      <w:r>
        <w:t xml:space="preserve">(Silva et al. 2016)</w:t>
      </w:r>
      <w:r>
        <w:t xml:space="preserve">, in fertility level differentials</w:t>
      </w:r>
      <w:r>
        <w:t xml:space="preserve"> </w:t>
      </w:r>
      <w:r>
        <w:t xml:space="preserve">(Berquó/Cavenaghi 2014)</w:t>
      </w:r>
      <w:r>
        <w:t xml:space="preserve"> </w:t>
      </w:r>
      <w:r>
        <w:t xml:space="preserve">and in multiple age-specific fertility schedules</w:t>
      </w:r>
      <w:r>
        <w:t xml:space="preserve"> </w:t>
      </w:r>
      <w:r>
        <w:t xml:space="preserve">(Lima et al. 2018)</w:t>
      </w:r>
      <w:r>
        <w:t xml:space="preserve"> </w:t>
      </w:r>
      <w:r>
        <w:t xml:space="preserve">among social groups with different levels of schooling.</w:t>
      </w:r>
    </w:p>
    <w:p>
      <w:pPr>
        <w:pStyle w:val="TextBody"/>
      </w:pPr>
      <w:r>
        <w:t xml:space="preserve">The Western demographic scenario of the XXI century is marked by a complexity of underlying elements which require new methodological approaches and perspectives of evaluation. In fertility analysis, we may cite cohort fertility analysis and male fertility evaluation as tools that are being used for the assessment of fertility trends, in this particular moment of postponement of childbearing</w:t>
      </w:r>
      <w:r>
        <w:t xml:space="preserve"> </w:t>
      </w:r>
      <w:r>
        <w:t xml:space="preserve">(Neels et al. 2017; Rosero-Bixby et al. 2009; Sobotka 2004)</w:t>
      </w:r>
      <w:r>
        <w:t xml:space="preserve">, rising female schooling</w:t>
      </w:r>
      <w:r>
        <w:t xml:space="preserve"> </w:t>
      </w:r>
      <w:r>
        <w:t xml:space="preserve">(; Esping-Andersen 2009; Neels et al. 2017; Van Bavel et al. 2018)</w:t>
      </w:r>
      <w:r>
        <w:t xml:space="preserve"> </w:t>
      </w:r>
      <w:r>
        <w:t xml:space="preserve">and its consequent effects on changing gender norms, family commitment and reproductive behavior</w:t>
      </w:r>
      <w:r>
        <w:t xml:space="preserve"> </w:t>
      </w:r>
      <w:r>
        <w:t xml:space="preserve">(Adserà 2018; Esping-Andersen 2009; Goldscheider et al. 2015; McDonald 2000)</w:t>
      </w:r>
      <w:r>
        <w:t xml:space="preserve">.</w:t>
      </w:r>
    </w:p>
    <w:p>
      <w:pPr>
        <w:pStyle w:val="TextBody"/>
      </w:pPr>
      <w:r>
        <w:t xml:space="preserve">Cohort fertility analysis take into account the simultaneous experiences of cohorts and social groups through their life courses which may cause distortions in period fertility analysis</w:t>
      </w:r>
      <w:r>
        <w:t xml:space="preserve"> </w:t>
      </w:r>
      <w:r>
        <w:t xml:space="preserve">(Bongaarts/Sobotka 2012; Ryder 1965; Sobotka/Lutz 2010)</w:t>
      </w:r>
      <w:r>
        <w:t xml:space="preserve">. In addition, the evaluation of male fertility trends and male’s influence in the couple’s reproductive decision making are starting to be addressed by recent demographic agenda despite its difficulty in terms of availability of data sources</w:t>
      </w:r>
      <w:r>
        <w:t xml:space="preserve"> </w:t>
      </w:r>
      <w:r>
        <w:t xml:space="preserve">(Nitsche et al. 2018; Oliveira 2007; Schoumaker 2019; Thomson 1997; Van Bavel 2017)</w:t>
      </w:r>
      <w:r>
        <w:t xml:space="preserve"> </w:t>
      </w:r>
      <w:r>
        <w:t xml:space="preserve">used as a resource to tackle recent demographic scenarios. Neither of these approaches have been broadly explored in Brazil, however.</w:t>
      </w:r>
    </w:p>
    <w:p>
      <w:pPr>
        <w:pStyle w:val="TextBody"/>
      </w:pPr>
      <w:r>
        <w:t xml:space="preserve">Cohort analysis in Brazil are usually based on census data as an alternative to the scarcity of reliable longitudinal surveys to track life course demographic processes.</w:t>
      </w:r>
      <w:r>
        <w:t xml:space="preserve"> </w:t>
      </w:r>
      <w:r>
        <w:t xml:space="preserve">This methodological approach permits the reconstruction of reproductive trends of cohorts that experienced the processes of intense urbanization, industrialization and schooling expansion of the country. By linking cohort analysis of women reproductive data with the information on their and their spouse’s education we can account for male influences on conjugal reproductive levels over the country’s fertility transition.</w:t>
      </w:r>
    </w:p>
    <w:p>
      <w:pPr>
        <w:pStyle w:val="TextBody"/>
      </w:pPr>
      <w:r>
        <w:t xml:space="preserve">This paper evaluates the cohort fertility of Brazilian educational pairings through the period of the country’s fertility transition. We estimate the cohort fertility of women within specific educational pairings in order to account for male’s educational influence on couple’s reproductive decision making. Our analysis also reports regional trends to acknowledge historical regional inequalities in socioeconomic development.</w:t>
      </w:r>
    </w:p>
    <w:p>
      <w:pPr>
        <w:pStyle w:val="TextBody"/>
      </w:pPr>
      <w:r>
        <w:t xml:space="preserve">The present work promotes important discussions and bring major contributions to Brazilian demographic analysis. First of all, there are few works that evaluate cohort fertility patterns trends throughout the process of educational expansion. Additionally, this work contemplates the partner’s influence on couple’s reproductive decision making</w:t>
      </w:r>
      <w:r>
        <w:t xml:space="preserve"> </w:t>
      </w:r>
      <w:r>
        <w:t xml:space="preserve">(Nitsche et al. 2018; Thomson 1997; Van Bavel 2017)</w:t>
      </w:r>
      <w:r>
        <w:t xml:space="preserve">. This analysis shed light on hidden processes of fertility transition that acts within changes in gender norms and family structure by assessing reproductive achievements and conjugal educational profiles of several generations which experience different life course processes and thus display diverse family formation processes.</w:t>
      </w:r>
    </w:p>
    <w:p>
      <w:pPr>
        <w:pStyle w:val="TextBody"/>
      </w:pPr>
      <w:r>
        <w:t xml:space="preserve">We observed that cohort fertility rates display educational pairing differentials between male and female educational categories. In particular, couples in which both parents are lower educated showed the highest cohort fertility levels, especially for older female cohorts. This values were diminishing through female cohorts evolution and between males educational categories, controlling for female’s educational level. Thus, we observed significant evidence of male partner’s education effects on cohort fertility levels of the country. Regional disparities were observed, following historical patterns of socioeconomic inequalities.</w:t>
      </w:r>
    </w:p>
    <w:p>
      <w:pPr>
        <w:pStyle w:val="TextBody"/>
      </w:pPr>
      <w:r>
        <w:t xml:space="preserve">Also, educational pairing composition changed significantly through the followed cohorts. In a decomposition exercise we estimated that 30% of the cohort fertility decline between forerunner of fertility transition cohorts (female cohorts born in 1925-39) and medium-low fertility cohorts (female cohorts born in 1955-69) were a result of changes in educational pairing composition. Hence, educational attainment contributes for both males and females actitudes towards family planning and fertility control.</w:t>
      </w:r>
    </w:p>
    <w:p>
      <w:pPr>
        <w:pStyle w:val="Heading1"/>
      </w:pPr>
      <w:bookmarkStart w:id="21" w:name="background"/>
      <w:r>
        <w:t xml:space="preserve">Background</w:t>
      </w:r>
      <w:bookmarkEnd w:id="21"/>
    </w:p>
    <w:p>
      <w:pPr>
        <w:pStyle w:val="Heading2"/>
      </w:pPr>
      <w:bookmarkStart w:id="22" w:name="fertility-decline-and-school-expansion-in-brazil"/>
      <w:r>
        <w:t xml:space="preserve">Fertility decline and school expansion in Brazil</w:t>
      </w:r>
      <w:bookmarkEnd w:id="22"/>
    </w:p>
    <w:p>
      <w:pPr>
        <w:pStyle w:val="FirstParagraph"/>
      </w:pPr>
      <w:r>
        <w:t xml:space="preserve">Education plays an important role in individual’s human capital, life quality and decision making</w:t>
      </w:r>
      <w:r>
        <w:t xml:space="preserve"> </w:t>
      </w:r>
      <w:r>
        <w:t xml:space="preserve">(Lutz 2010)</w:t>
      </w:r>
      <w:r>
        <w:t xml:space="preserve">. Educational systems were set up as children education was perceived as a social duty and since then, schools have gained relevance in shaping individual’s transition into adulthood</w:t>
      </w:r>
      <w:r>
        <w:t xml:space="preserve"> </w:t>
      </w:r>
      <w:r>
        <w:t xml:space="preserve">(Ariès 1978)</w:t>
      </w:r>
      <w:r>
        <w:t xml:space="preserve">.</w:t>
      </w:r>
    </w:p>
    <w:p>
      <w:pPr>
        <w:pStyle w:val="TextBody"/>
      </w:pPr>
      <w:r>
        <w:t xml:space="preserve">Schooling acts as a strong determinant of reproductive behavior of women through several mechanisms</w:t>
      </w:r>
      <w:r>
        <w:t xml:space="preserve"> </w:t>
      </w:r>
      <w:r>
        <w:t xml:space="preserve">(Jejeebhoy 1995)</w:t>
      </w:r>
      <w:r>
        <w:t xml:space="preserve">. In particular, formal education affects women exposure to childbearing by influencing in labor market participation and conjugal decisions</w:t>
      </w:r>
      <w:r>
        <w:t xml:space="preserve"> </w:t>
      </w:r>
      <w:r>
        <w:t xml:space="preserve">(Castro-Martin/Juarez 1995; Neels et al. 2017)</w:t>
      </w:r>
      <w:r>
        <w:t xml:space="preserve">. Education also provides the accomplishment of reproductive intentions by providing access to information on modern contraceptive measures and through support to scientific knowledge</w:t>
      </w:r>
      <w:r>
        <w:t xml:space="preserve"> </w:t>
      </w:r>
      <w:r>
        <w:t xml:space="preserve">(Cleland/Wilson 1987; Jejeebhoy 1995)</w:t>
      </w:r>
      <w:r>
        <w:t xml:space="preserve">.</w:t>
      </w:r>
    </w:p>
    <w:p>
      <w:pPr>
        <w:pStyle w:val="TextBody"/>
      </w:pPr>
      <w:r>
        <w:t xml:space="preserve">The massification of educational systems delivers substantial indirect effects over population fertility levels. We can mention the increasing social costs of childbearing promoted by schools and cultural changes and propagation of Western middle class values through formal education instituions</w:t>
      </w:r>
      <w:r>
        <w:t xml:space="preserve"> </w:t>
      </w:r>
      <w:r>
        <w:t xml:space="preserve">(Ariès 1978; Caldwell 2006, 1980; Folbre 1983)</w:t>
      </w:r>
      <w:r>
        <w:t xml:space="preserve">. Further, women of high schooling levels have higher probabilities of formal labor market participation, which incurs in lower opportunity costs of childbearing than their lower educated counterparts</w:t>
      </w:r>
      <w:r>
        <w:t xml:space="preserve"> </w:t>
      </w:r>
      <w:r>
        <w:t xml:space="preserve">(Adserà 2018; Becker 1993; Goldin/Katz 2002)</w:t>
      </w:r>
      <w:r>
        <w:t xml:space="preserve">.</w:t>
      </w:r>
    </w:p>
    <w:p>
      <w:pPr>
        <w:pStyle w:val="TextBody"/>
      </w:pPr>
      <w:r>
        <w:t xml:space="preserve">Therefore, the population’s formal instruction is a key element in the comprehension of fertility transition timing</w:t>
      </w:r>
      <w:r>
        <w:t xml:space="preserve"> </w:t>
      </w:r>
      <w:r>
        <w:t xml:space="preserve">(Bongaarts 2003; Chackiel/Schkolnik 2003)</w:t>
      </w:r>
      <w:r>
        <w:t xml:space="preserve"> </w:t>
      </w:r>
      <w:r>
        <w:t xml:space="preserve">and constraints</w:t>
      </w:r>
      <w:r>
        <w:t xml:space="preserve"> </w:t>
      </w:r>
      <w:r>
        <w:t xml:space="preserve">(Adserà 2018)</w:t>
      </w:r>
      <w:r>
        <w:t xml:space="preserve">. In most settings, social elites are forerunners of reproductive control due to their higher schooling and increased access to modern contraceptive methods</w:t>
      </w:r>
      <w:r>
        <w:t xml:space="preserve"> </w:t>
      </w:r>
      <w:r>
        <w:t xml:space="preserve">(Cleland/Wilson 1987)</w:t>
      </w:r>
      <w:r>
        <w:t xml:space="preserve">. The diffusion of this behavior to other social groups sparks the generalization of the fertility decline</w:t>
      </w:r>
      <w:r>
        <w:t xml:space="preserve"> </w:t>
      </w:r>
      <w:r>
        <w:t xml:space="preserve">(Bongaarts 2003; Cleland/Wilson 1987)</w:t>
      </w:r>
      <w:r>
        <w:t xml:space="preserve">.</w:t>
      </w:r>
    </w:p>
    <w:p>
      <w:pPr>
        <w:pStyle w:val="TextBody"/>
      </w:pPr>
      <w:r>
        <w:t xml:space="preserve">The fertility transition in Brazil was characterized by contrasts among social groups. Higher educated social groups already adopted reprodutve control methods by the time of the begining of the generalized decline of Brazilian fertility</w:t>
      </w:r>
      <w:r>
        <w:t xml:space="preserve"> </w:t>
      </w:r>
      <w:r>
        <w:t xml:space="preserve">(Merrick/Berquó 1983)</w:t>
      </w:r>
      <w:r>
        <w:t xml:space="preserve">. Fertility rates of different social groups converged into replacement fertility levels</w:t>
      </w:r>
      <w:r>
        <w:t xml:space="preserve"> </w:t>
      </w:r>
      <w:r>
        <w:t xml:space="preserve">(Berquó/Cavenaghi 2014)</w:t>
      </w:r>
      <w:r>
        <w:t xml:space="preserve"> </w:t>
      </w:r>
      <w:r>
        <w:t xml:space="preserve">by the diffusion of modern contraceptive methods, in particular of female sterilization and contraceptive pill</w:t>
      </w:r>
      <w:r>
        <w:t xml:space="preserve"> </w:t>
      </w:r>
      <w:r>
        <w:t xml:space="preserve">(Martine 1996; Merrick/Berquó 1983; Perpétuo/Wajnman 1998; Perpétuo/Wong 2009)</w:t>
      </w:r>
      <w:r>
        <w:t xml:space="preserve">. However, uneven access to family planning brought negative implications to the most vulnerable social groups</w:t>
      </w:r>
      <w:r>
        <w:t xml:space="preserve"> </w:t>
      </w:r>
      <w:r>
        <w:t xml:space="preserve">(Carvalho/Brito 2005)</w:t>
      </w:r>
      <w:r>
        <w:t xml:space="preserve">. These groups made use of more harmful and unreliable contraceptive methods, notably sterilization and clandestine abortion to achieve their family planning goals</w:t>
      </w:r>
      <w:r>
        <w:t xml:space="preserve"> </w:t>
      </w:r>
      <w:r>
        <w:t xml:space="preserve">(Faria 1997; Martine 1996; Perpétuo/Wajnman 1998; Perpétuo/Wong 2009)</w:t>
      </w:r>
      <w:r>
        <w:t xml:space="preserve">. Nowadays, despite similar fertility levels, social groups perform different fertility timing - lower educated women enter motherhood younger than higher educated women</w:t>
      </w:r>
      <w:r>
        <w:t xml:space="preserve"> </w:t>
      </w:r>
      <w:r>
        <w:t xml:space="preserve">(Lima et al. 2018)</w:t>
      </w:r>
      <w:r>
        <w:t xml:space="preserve">. Hence, there is strong evidence that fertility postponement for these social elites is already ongoing in Brazil</w:t>
      </w:r>
      <w:r>
        <w:t xml:space="preserve"> </w:t>
      </w:r>
      <w:r>
        <w:t xml:space="preserve">(Rios-Neto et al. 2018)</w:t>
      </w:r>
      <w:r>
        <w:t xml:space="preserve">.</w:t>
      </w:r>
    </w:p>
    <w:p>
      <w:pPr>
        <w:pStyle w:val="TextBody"/>
      </w:pPr>
      <w:r>
        <w:t xml:space="preserve">Compared to other country’s educational systems in Latin America, Brazil’s educational improvements have been slow</w:t>
      </w:r>
      <w:r>
        <w:t xml:space="preserve"> </w:t>
      </w:r>
      <w:r>
        <w:t xml:space="preserve">(Kang 2011; Komatsu et al. 2017; Lustig et al. 2013)</w:t>
      </w:r>
      <w:r>
        <w:t xml:space="preserve">. A sustained movement of educational expansion in the country only started in 1930s</w:t>
      </w:r>
      <w:r>
        <w:t xml:space="preserve"> </w:t>
      </w:r>
      <w:r>
        <w:t xml:space="preserve">(Romanelli 1986)</w:t>
      </w:r>
      <w:r>
        <w:t xml:space="preserve"> </w:t>
      </w:r>
      <w:r>
        <w:t xml:space="preserve">with the acceleration of school enrollment</w:t>
      </w:r>
      <w:r>
        <w:t xml:space="preserve"> </w:t>
      </w:r>
      <w:r>
        <w:t xml:space="preserve">(Komatsu et al. 2017)</w:t>
      </w:r>
      <w:r>
        <w:t xml:space="preserve">. Prior to 1930, the pressure for the expansion of educational systems were restricted to minor political groups as a result of the country’s rural economy characteristics, described by its cities’ geographic disconnection and by an obsolete agricultural productive system</w:t>
      </w:r>
      <w:r>
        <w:t xml:space="preserve"> </w:t>
      </w:r>
      <w:r>
        <w:t xml:space="preserve">(Merrick/Graham 1981; Romanelli 1986; Wood/Carvalho 1988)</w:t>
      </w:r>
      <w:r>
        <w:t xml:space="preserve">.</w:t>
      </w:r>
    </w:p>
    <w:p>
      <w:pPr>
        <w:pStyle w:val="TextBody"/>
      </w:pPr>
      <w:r>
        <w:t xml:space="preserve">The political rupture between dominant political classes promoted a transformation in the country’s economy</w:t>
      </w:r>
      <w:r>
        <w:t xml:space="preserve"> </w:t>
      </w:r>
      <w:r>
        <w:t xml:space="preserve">(Merrick/Graham 1981)</w:t>
      </w:r>
      <w:r>
        <w:t xml:space="preserve">. Brazil’s productive model shifted from an economy based on exports of agricultural goods to an economy partially based on urban centers and import substitution industry</w:t>
      </w:r>
      <w:r>
        <w:t xml:space="preserve"> </w:t>
      </w:r>
      <w:r>
        <w:t xml:space="preserve">(Merrick/Graham 1981; Romanelli 1986)</w:t>
      </w:r>
      <w:r>
        <w:t xml:space="preserve">. The capitalist industrial economic model requires a mass educational system to provide productive and consumption capacity for its success</w:t>
      </w:r>
      <w:r>
        <w:t xml:space="preserve"> </w:t>
      </w:r>
      <w:r>
        <w:t xml:space="preserve">(Romanelli 1986)</w:t>
      </w:r>
      <w:r>
        <w:t xml:space="preserve">. In this sense, the change in productive model of the country resulted in a redesign of country’s educational policies. The primary education, however, had lower incentives for its expansion than secondary or tertiary education</w:t>
      </w:r>
      <w:r>
        <w:t xml:space="preserve"> </w:t>
      </w:r>
      <w:r>
        <w:t xml:space="preserve">(Kang 2006; Komatsu et al. 2017; Romanelli 1986)</w:t>
      </w:r>
      <w:r>
        <w:t xml:space="preserve">. The administration of primary educational systems were under states and municipalities accountability whereas the financial resources were centralized in the federal government</w:t>
      </w:r>
      <w:r>
        <w:t xml:space="preserve"> </w:t>
      </w:r>
      <w:r>
        <w:t xml:space="preserve">(Kang 2011)</w:t>
      </w:r>
      <w:r>
        <w:t xml:space="preserve">. Therefore, urbanized industrial regions (South and Southeast) had more resources to invest in education than underfunded areas (North and Northeast) and that reflects in the structural inequalities that are still exposed over the country</w:t>
      </w:r>
      <w:r>
        <w:t xml:space="preserve"> </w:t>
      </w:r>
      <w:r>
        <w:t xml:space="preserve">(Barros/Mendonça 1995; Komatsu et al. 2017; Merrick/Graham 1981; Wood/Carvalho 1988)</w:t>
      </w:r>
      <w:r>
        <w:t xml:space="preserve">.</w:t>
      </w:r>
    </w:p>
    <w:p>
      <w:pPr>
        <w:pStyle w:val="TextBody"/>
      </w:pPr>
      <w:r>
        <w:t xml:space="preserve">Consequently, the main transformations in the educational policy in the period from 1930 to 1960 were targeted to prepare the population for an urban-industrial economic model. This was fostered by the foundation of Ministry of Education and Health in 1931, followed by the creation of the National Institute of Pedagogy (which now is the National Institute for Educational Studies and Research</w:t>
      </w:r>
      <w:r>
        <w:t xml:space="preserve"> </w:t>
      </w:r>
      <w:r>
        <w:t xml:space="preserve">“</w:t>
      </w:r>
      <w:r>
        <w:t xml:space="preserve">Anísio Teixeira</w:t>
      </w:r>
      <w:r>
        <w:t xml:space="preserve">”</w:t>
      </w:r>
      <w:r>
        <w:t xml:space="preserve">), the National Institute of Geography and Statistics (responsible for country’s statistics and national censuses) and national services of industrial and commercial education [marcilio2014]. In 1961, the first Law of Directives and Bases of National Education, reviewed in 1971, set up the obligation of basic education and established the bases of the current educational system of the country composed by primary and secondary compulsory schooling</w:t>
      </w:r>
      <w:r>
        <w:t xml:space="preserve"> </w:t>
      </w:r>
      <w:r>
        <w:t xml:space="preserve">(Marcílio 2014)</w:t>
      </w:r>
      <w:r>
        <w:t xml:space="preserve">. From 1970 to 2000, Brazil experienced relevant increases in enrollment rates in all educational levels</w:t>
      </w:r>
      <w:r>
        <w:t xml:space="preserve"> </w:t>
      </w:r>
      <w:r>
        <w:t xml:space="preserve">(Komatsu et al. 2017)</w:t>
      </w:r>
      <w:r>
        <w:t xml:space="preserve">. In the 1990s, the country finally achieved universal primary schooling enrollment</w:t>
      </w:r>
      <w:r>
        <w:t xml:space="preserve"> </w:t>
      </w:r>
      <w:r>
        <w:t xml:space="preserve">(Castro 1998)</w:t>
      </w:r>
      <w:r>
        <w:t xml:space="preserve">.</w:t>
      </w:r>
    </w:p>
    <w:p>
      <w:pPr>
        <w:pStyle w:val="TextBody"/>
      </w:pPr>
      <w:r>
        <w:t xml:space="preserve">The educational composition of the Brazilian population changed over the XX century</w:t>
      </w:r>
      <w:r>
        <w:t xml:space="preserve"> </w:t>
      </w:r>
      <w:r>
        <w:t xml:space="preserve">(Fígoli 2006)</w:t>
      </w:r>
      <w:r>
        <w:t xml:space="preserve">. Women were significantly affected by this educational expansion. At the beginning, females benefited of educational gains through a sex-stratified educational system in which they received instruction to operate in specific labor sectors such as health, hospitality and education</w:t>
      </w:r>
      <w:r>
        <w:t xml:space="preserve"> </w:t>
      </w:r>
      <w:r>
        <w:t xml:space="preserve">(Besse 1999)</w:t>
      </w:r>
      <w:r>
        <w:t xml:space="preserve">. Even though this process incurred in labor market status and wage inequalities between men and women, it fostered female participation in the labor market and the translation of women from private spaces (household and family) to the public spheres of the society (public spaces such as commerce and labor market)</w:t>
      </w:r>
      <w:r>
        <w:t xml:space="preserve"> </w:t>
      </w:r>
      <w:r>
        <w:t xml:space="preserve">(Azevedo/Ferreira 2006; Maluf/Mott 1998)</w:t>
      </w:r>
      <w:r>
        <w:t xml:space="preserve">. Thus, female educational expansion resulted in the reversion of male educational advantages</w:t>
      </w:r>
      <w:r>
        <w:t xml:space="preserve"> </w:t>
      </w:r>
      <w:r>
        <w:t xml:space="preserve">(Beltrão/Alves 2009)</w:t>
      </w:r>
      <w:r>
        <w:t xml:space="preserve"> </w:t>
      </w:r>
      <w:r>
        <w:t xml:space="preserve">and promoted important transformations in gender relations and social norms of the country through XX century</w:t>
      </w:r>
      <w:r>
        <w:t xml:space="preserve"> </w:t>
      </w:r>
      <w:r>
        <w:t xml:space="preserve">(Itaboraí 2015)</w:t>
      </w:r>
      <w:r>
        <w:t xml:space="preserve"> </w:t>
      </w:r>
      <w:r>
        <w:t xml:space="preserve">with increasing participation of women in labor markets</w:t>
      </w:r>
      <w:r>
        <w:t xml:space="preserve"> </w:t>
      </w:r>
      <w:r>
        <w:t xml:space="preserve">(Scorzafave/Menezes-Filho 2001)</w:t>
      </w:r>
      <w:r>
        <w:t xml:space="preserve"> </w:t>
      </w:r>
      <w:r>
        <w:t xml:space="preserve">and larger enrollments in secondary and tertiary education</w:t>
      </w:r>
      <w:r>
        <w:t xml:space="preserve"> </w:t>
      </w:r>
      <w:r>
        <w:t xml:space="preserve">(Godinho et al. 2006)</w:t>
      </w:r>
      <w:r>
        <w:t xml:space="preserve"> </w:t>
      </w:r>
      <w:r>
        <w:t xml:space="preserve">.</w:t>
      </w:r>
    </w:p>
    <w:p>
      <w:pPr>
        <w:pStyle w:val="Heading2"/>
      </w:pPr>
      <w:bookmarkStart w:id="23" w:name="assortative-mating-trends-in-brazil"/>
      <w:r>
        <w:t xml:space="preserve">Assortative mating trends in Brazil</w:t>
      </w:r>
      <w:bookmarkEnd w:id="23"/>
    </w:p>
    <w:p>
      <w:pPr>
        <w:pStyle w:val="FirstParagraph"/>
      </w:pPr>
      <w:r>
        <w:t xml:space="preserve">The population’s assortative mating patterns are associated to the heterogeneity of social characteristics of its individuals</w:t>
      </w:r>
      <w:r>
        <w:t xml:space="preserve"> </w:t>
      </w:r>
      <w:r>
        <w:t xml:space="preserve">(Blau/Schwartz 1997)</w:t>
      </w:r>
      <w:r>
        <w:t xml:space="preserve">. Conjugal unions represent an opportunity of social interaction among distinguisehd social groups, but depend on the composition of conjugal markets and on the size of each group</w:t>
      </w:r>
      <w:r>
        <w:t xml:space="preserve"> </w:t>
      </w:r>
      <w:r>
        <w:t xml:space="preserve">(Kalmijn 1998)</w:t>
      </w:r>
      <w:r>
        <w:t xml:space="preserve">. In this sense, educational composition of conjugal markets are usually analyzed by demographers due to some important advantages over other socioeconomic indicators such as income. Besides its importance in shaping individual’s life course, preferences and professional realizations, education attainment is usually stable over time for adults (income, on the other hand is volatile and sensitive to macroeconomic fluctuations)</w:t>
      </w:r>
      <w:r>
        <w:t xml:space="preserve"> </w:t>
      </w:r>
      <w:r>
        <w:t xml:space="preserve">(A. Esteve/Garcia-Román/et al. 2012; Kalmijn 1998; Mare 1991; Warren 1966)</w:t>
      </w:r>
      <w:r>
        <w:t xml:space="preserve">.</w:t>
      </w:r>
    </w:p>
    <w:p>
      <w:pPr>
        <w:pStyle w:val="TextBody"/>
      </w:pPr>
      <w:r>
        <w:t xml:space="preserve">Schools (such as labor markets and neighborhoods) creates social networks in which union formation takes place</w:t>
      </w:r>
      <w:r>
        <w:t xml:space="preserve"> </w:t>
      </w:r>
      <w:r>
        <w:t xml:space="preserve">(Eckland 1968; Warren 1966)</w:t>
      </w:r>
      <w:r>
        <w:t xml:space="preserve">. Therefore, the culture of massification of formal education is one of the drivers of biased allocation of partners in union formation. In general, unions take place between people of similar educational levels due to closer social contact of school classes and due to shared human capital formation</w:t>
      </w:r>
      <w:r>
        <w:t xml:space="preserve"> </w:t>
      </w:r>
      <w:r>
        <w:t xml:space="preserve">(Kalmijn 1998)</w:t>
      </w:r>
      <w:r>
        <w:t xml:space="preserve">. College educated couples illustrate examples of high homogamy (unions of individuals with similar characteristics) rates, since these individuals have spent most of its youth in the educational system with similar peers</w:t>
      </w:r>
      <w:r>
        <w:t xml:space="preserve"> </w:t>
      </w:r>
      <w:r>
        <w:t xml:space="preserve">(Mare 1991)</w:t>
      </w:r>
      <w:r>
        <w:t xml:space="preserve">.</w:t>
      </w:r>
    </w:p>
    <w:p>
      <w:pPr>
        <w:pStyle w:val="TextBody"/>
      </w:pPr>
      <w:r>
        <w:t xml:space="preserve">Educational composition changes in Brazilian demography were not only responsible for fertility decline</w:t>
      </w:r>
      <w:r>
        <w:t xml:space="preserve"> </w:t>
      </w:r>
      <w:r>
        <w:t xml:space="preserve">(Lam et al. 1992)</w:t>
      </w:r>
      <w:r>
        <w:t xml:space="preserve">, but also had major effects on assortative mating patterns of the country</w:t>
      </w:r>
      <w:r>
        <w:t xml:space="preserve"> </w:t>
      </w:r>
      <w:r>
        <w:t xml:space="preserve">(Ribeiro/Silva 2009)</w:t>
      </w:r>
      <w:r>
        <w:t xml:space="preserve">. Both educational hipogamy (couples in which females are higher educated) and educational hipergamy (couples in which female is lower educated) increased from 1970 to 2010, but educational hipogamy increased at a higher pace due to female accelerated educational gains in the period</w:t>
      </w:r>
      <w:r>
        <w:t xml:space="preserve"> </w:t>
      </w:r>
      <w:r>
        <w:t xml:space="preserve">(Esteve/McCaa 2007; Ribeiro/Silva 2009)</w:t>
      </w:r>
      <w:r>
        <w:t xml:space="preserve">.</w:t>
      </w:r>
    </w:p>
    <w:p>
      <w:pPr>
        <w:pStyle w:val="TextBody"/>
      </w:pPr>
      <w:r>
        <w:t xml:space="preserve">The prevalence of educational homogamy (couples with partners of the same educational level), on the other hand, decreased over the period</w:t>
      </w:r>
      <w:r>
        <w:t xml:space="preserve"> </w:t>
      </w:r>
      <w:r>
        <w:t xml:space="preserve">(Esteve/McCaa 2007; Ribeiro/Silva 2009)</w:t>
      </w:r>
      <w:r>
        <w:t xml:space="preserve">. In Brazil, this assortative mating pattern has major prevalence of lower educated social groups and its reduction is a result of the expansion of the educational system</w:t>
      </w:r>
      <w:r>
        <w:t xml:space="preserve"> </w:t>
      </w:r>
      <w:r>
        <w:t xml:space="preserve">(Ribeiro/Silva 2009)</w:t>
      </w:r>
      <w:r>
        <w:t xml:space="preserve">. On the other hand, higher educated couples also show high educational homogamy rates</w:t>
      </w:r>
      <w:r>
        <w:t xml:space="preserve"> </w:t>
      </w:r>
      <w:r>
        <w:t xml:space="preserve">(Esteve/McCaa 2007; Ribeiro/Silva 2009)</w:t>
      </w:r>
      <w:r>
        <w:t xml:space="preserve">, and that shed light on existing social barriers to interactions between groups of different educational backgrounds</w:t>
      </w:r>
      <w:r>
        <w:t xml:space="preserve"> </w:t>
      </w:r>
      <w:r>
        <w:t xml:space="preserve">(Torche 2010)</w:t>
      </w:r>
      <w:r>
        <w:t xml:space="preserve">.</w:t>
      </w:r>
    </w:p>
    <w:p>
      <w:pPr>
        <w:pStyle w:val="Heading2"/>
      </w:pPr>
      <w:bookmarkStart w:id="24" w:name="reproductive-decision-making-and-family-conflicts"/>
      <w:r>
        <w:t xml:space="preserve">Reproductive decision making and family conflicts</w:t>
      </w:r>
      <w:bookmarkEnd w:id="24"/>
    </w:p>
    <w:p>
      <w:pPr>
        <w:pStyle w:val="FirstParagraph"/>
      </w:pPr>
      <w:r>
        <w:t xml:space="preserve">Despite its relevant role in population reproduction, male and female interactions in fertility decision making have been scarcely analysed in demography</w:t>
      </w:r>
      <w:r>
        <w:t xml:space="preserve"> </w:t>
      </w:r>
      <w:r>
        <w:t xml:space="preserve">(Nitsche et al. 2018)</w:t>
      </w:r>
      <w:r>
        <w:t xml:space="preserve">. Generally, males are left out of fertility demographic analysis</w:t>
      </w:r>
      <w:r>
        <w:t xml:space="preserve"> </w:t>
      </w:r>
      <w:r>
        <w:t xml:space="preserve">(Goldscheider/Kaufman 1996; Oliveira et al. 1994; Van Bavel 2017)</w:t>
      </w:r>
      <w:r>
        <w:t xml:space="preserve">. It happens due to the lack of information on male’s reproductive intentions and behavior</w:t>
      </w:r>
      <w:r>
        <w:t xml:space="preserve"> </w:t>
      </w:r>
      <w:r>
        <w:t xml:space="preserve">(Schoumaker 2019)</w:t>
      </w:r>
      <w:r>
        <w:t xml:space="preserve">. However, as women, males play a key role in family decision making of resource allocation and in family planning</w:t>
      </w:r>
      <w:r>
        <w:t xml:space="preserve"> </w:t>
      </w:r>
      <w:r>
        <w:t xml:space="preserve">(Thomson 1997)</w:t>
      </w:r>
      <w:r>
        <w:t xml:space="preserve">. Hence, the evaluation of male’s characteristics in reproduction of couples gain importance in a period of changing gender relations, cultural norms, family relations and assortative mating patterns.</w:t>
      </w:r>
    </w:p>
    <w:p>
      <w:pPr>
        <w:pStyle w:val="TextBody"/>
      </w:pPr>
      <w:r>
        <w:t xml:space="preserve">Over the last century, this Western trend of female schooling expansion followed by increased demand of labor force and reduced social costs of reproduction led to the first phase of the Gender Revolution</w:t>
      </w:r>
      <w:r>
        <w:t xml:space="preserve"> </w:t>
      </w:r>
      <w:r>
        <w:t xml:space="preserve">(Goldscheider et al. 2015)</w:t>
      </w:r>
      <w:r>
        <w:t xml:space="preserve">. This phase is marked by the increased participation of women in the public and institutional spheres</w:t>
      </w:r>
      <w:r>
        <w:t xml:space="preserve"> </w:t>
      </w:r>
      <w:r>
        <w:t xml:space="preserve">(England 2010; Esping-Andersen 2009; Goldin 2006)</w:t>
      </w:r>
      <w:r>
        <w:t xml:space="preserve">. The second phase of this revolution would be guided by an increase in male’s participation in the private sphere, e. g., in household chores and childbearing</w:t>
      </w:r>
      <w:r>
        <w:t xml:space="preserve"> </w:t>
      </w:r>
      <w:r>
        <w:t xml:space="preserve">(Esping-Andersen 2009)</w:t>
      </w:r>
      <w:r>
        <w:t xml:space="preserve">. An optimistic perspective of this second phase expects a new balance of gender relations in the future with lower constraints to female reproduction and greater commitment of male partners to childbearing and domestic activities</w:t>
      </w:r>
      <w:r>
        <w:t xml:space="preserve"> </w:t>
      </w:r>
      <w:r>
        <w:t xml:space="preserve">(Goldscheider et al. 2015; Myrskylä et al. 2011)</w:t>
      </w:r>
      <w:r>
        <w:t xml:space="preserve">.</w:t>
      </w:r>
    </w:p>
    <w:p>
      <w:pPr>
        <w:pStyle w:val="TextBody"/>
      </w:pPr>
      <w:r>
        <w:t xml:space="preserve">Yet, neither the increments in participation on public spaces and neither the higher schooling levels led to improvements in sexual division of labor</w:t>
      </w:r>
      <w:r>
        <w:t xml:space="preserve"> </w:t>
      </w:r>
      <w:r>
        <w:t xml:space="preserve">(England 2010)</w:t>
      </w:r>
      <w:r>
        <w:t xml:space="preserve">. In Brazil, female participation in the labor market results in a double burden, especially for the most vulnerable social classes that are unable to acquire domestic and childbearing services from the private market</w:t>
      </w:r>
      <w:r>
        <w:t xml:space="preserve"> </w:t>
      </w:r>
      <w:r>
        <w:t xml:space="preserve">(Guedes 2015; Itaboraí 2016)</w:t>
      </w:r>
      <w:r>
        <w:t xml:space="preserve">. Moreover, this social constraints induce different strategies for women to conciliate their activities in the labor market with social reproduction activities (household chores and childbearing): part-time jobs [</w:t>
      </w:r>
      <w:r>
        <w:t xml:space="preserve">England (2010)</w:t>
      </w:r>
      <w:r>
        <w:t xml:space="preserve">;guedes2015], abandonment of labor market or jobs in the informal market</w:t>
      </w:r>
      <w:r>
        <w:t xml:space="preserve"> </w:t>
      </w:r>
      <w:r>
        <w:t xml:space="preserve">(Teixeira 2014)</w:t>
      </w:r>
      <w:r>
        <w:t xml:space="preserve"> </w:t>
      </w:r>
      <w:r>
        <w:t xml:space="preserve">and reproductive control control</w:t>
      </w:r>
      <w:r>
        <w:t xml:space="preserve"> </w:t>
      </w:r>
      <w:r>
        <w:t xml:space="preserve">(Oliveira 1989)</w:t>
      </w:r>
      <w:r>
        <w:t xml:space="preserve">. In the higher social strata, women dedicate lower time to household chores due to the access to home care services in the market or to higher participation in the labor market and men of higher educational levels tend to be more active in domestic activities</w:t>
      </w:r>
      <w:r>
        <w:t xml:space="preserve"> </w:t>
      </w:r>
      <w:r>
        <w:t xml:space="preserve">(Itaboraí 2016)</w:t>
      </w:r>
      <w:r>
        <w:t xml:space="preserve">.</w:t>
      </w:r>
    </w:p>
    <w:p>
      <w:pPr>
        <w:pStyle w:val="TextBody"/>
      </w:pPr>
      <w:r>
        <w:t xml:space="preserve">Individual’s educational characteristics are fundamental in shaping the life course. It acts in the public sphere by influencing decisions and opportunities in the labor market and acts in the private sphere by providing information on family planning strategies or by empowering individuals to overcome traditional social and gender norms. For this reason, in a context of changing gender norms and diversifying assortative mating profiles, it is essential to consider the characteristics of both partners to evaluate the fertility profiles of societies</w:t>
      </w:r>
      <w:r>
        <w:t xml:space="preserve"> </w:t>
      </w:r>
      <w:r>
        <w:t xml:space="preserve">(Nitsche et al. 2018)</w:t>
      </w:r>
      <w:r>
        <w:t xml:space="preserve">.</w:t>
      </w:r>
    </w:p>
    <w:p>
      <w:pPr>
        <w:pStyle w:val="Heading1"/>
      </w:pPr>
      <w:bookmarkStart w:id="25" w:name="data-and-methods"/>
      <w:r>
        <w:t xml:space="preserve">Data and Methods</w:t>
      </w:r>
      <w:bookmarkEnd w:id="25"/>
    </w:p>
    <w:p>
      <w:pPr>
        <w:pStyle w:val="Heading2"/>
      </w:pPr>
      <w:bookmarkStart w:id="26" w:name="data"/>
      <w:r>
        <w:t xml:space="preserve">Data</w:t>
      </w:r>
      <w:bookmarkEnd w:id="26"/>
    </w:p>
    <w:p>
      <w:pPr>
        <w:pStyle w:val="FirstParagraph"/>
      </w:pPr>
      <w:r>
        <w:t xml:space="preserve">This paper uses data collected via IPUMS-International from Brazilian National Censuses of 1970, 1980, 1991, 2000 and 2010 conducted by the Brazilian Institute of Geography and Statistics (IBGE, from Portuguese</w:t>
      </w:r>
      <w:r>
        <w:t xml:space="preserve"> </w:t>
      </w:r>
      <w:r>
        <w:rPr>
          <w:i/>
        </w:rPr>
        <w:t xml:space="preserve">Instituto Brasileiro de Geografia e Estatística</w:t>
      </w:r>
      <w:r>
        <w:t xml:space="preserve">). We used IPUMS data because of its time and space harmonization which allows for comparison of different demographic scenarios and areas without the need for compatibilization</w:t>
      </w:r>
      <w:r>
        <w:t xml:space="preserve"> </w:t>
      </w:r>
      <w:r>
        <w:t xml:space="preserve">(Esteve/Sobek 2003; Minnesota Population Center 2018)</w:t>
      </w:r>
      <w:r>
        <w:t xml:space="preserve">.</w:t>
      </w:r>
    </w:p>
    <w:p>
      <w:pPr>
        <w:pStyle w:val="TextBody"/>
      </w:pPr>
      <w:r>
        <w:t xml:space="preserve">From the information and variables available at IPUMS and Brazilian censuses it was possible to identify individual socioeconomic characteristics of members of the same household. Therefore it was necessary to identify the educational level of household members, number of children ever born to women of the household and the respective partner of each household women. This identification is done through the following variables: household serial number, marital status and relationship with the household head. Using this information we paired women and their respective partners and stored their information on children ever born and educational attainment level. We used educational attainment level available in four levels at IPUMS: 1) Less than Primary (LP), 2) Complete Primary (P), 3) Complete Secondary (S) and 4) Complete Tertiary (T)</w:t>
      </w:r>
      <w:r>
        <w:t xml:space="preserve"> </w:t>
      </w:r>
      <w:r>
        <w:t xml:space="preserve">(Minnesota Population Center 2018)</w:t>
      </w:r>
      <w:r>
        <w:t xml:space="preserve">.</w:t>
      </w:r>
    </w:p>
    <w:p>
      <w:pPr>
        <w:pStyle w:val="TextBody"/>
      </w:pPr>
      <w:r>
        <w:t xml:space="preserve">Partners were chosen based on the information of marital status and household head relationship. We chose to evaluate either formal or consensual unions because cohabitation is spread through contrasting social groups in Brazil and it responds for a non-negligible share of observed fertility levels</w:t>
      </w:r>
      <w:r>
        <w:t xml:space="preserve"> </w:t>
      </w:r>
      <w:r>
        <w:t xml:space="preserve">(A. Esteve/Lesthaeghe/et al. 2012; Laplante et al. 2015; Vieira 2016)</w:t>
      </w:r>
      <w:r>
        <w:t xml:space="preserve">. Despite formal and consensual unions display different age-specific fertility profiles</w:t>
      </w:r>
      <w:r>
        <w:t xml:space="preserve"> </w:t>
      </w:r>
      <w:r>
        <w:t xml:space="preserve">(Vieira/Alves 2016)</w:t>
      </w:r>
      <w:r>
        <w:t xml:space="preserve"> </w:t>
      </w:r>
      <w:r>
        <w:t xml:space="preserve">and different fertility levels</w:t>
      </w:r>
      <w:r>
        <w:t xml:space="preserve"> </w:t>
      </w:r>
      <w:r>
        <w:t xml:space="preserve">(Vieira 2016)</w:t>
      </w:r>
      <w:r>
        <w:t xml:space="preserve">, they do not exhibit significant differentials in terms of assortative mating patterns</w:t>
      </w:r>
      <w:r>
        <w:t xml:space="preserve"> </w:t>
      </w:r>
      <w:r>
        <w:t xml:space="preserve">(Esteve/McCaa 2007)</w:t>
      </w:r>
      <w:r>
        <w:t xml:space="preserve">.</w:t>
      </w:r>
    </w:p>
    <w:p>
      <w:pPr>
        <w:pStyle w:val="TextBody"/>
      </w:pPr>
      <w:r>
        <w:t xml:space="preserve">By taking the difference between census reference period and women age we could estimate cohort fertility rates (CFR) for Brazil and selected regions. We restricted female ages to the range from 40 to 69 years old and male ages to the range of 35 to 79. We considered that by 40 women would already have completed or would be close to complete their reproductive cycle. This women age ranges make it possible to reconstruct cohorts from 1901 to 1970. However, we restrict our analysis to cohorts from 1925-1969 because of data quality issues related to memory misstatements of number of children ever born for older women</w:t>
      </w:r>
      <w:r>
        <w:t xml:space="preserve"> </w:t>
      </w:r>
      <w:r>
        <w:t xml:space="preserve">(Brass et al. 1968)</w:t>
      </w:r>
      <w:r>
        <w:t xml:space="preserve"> </w:t>
      </w:r>
      <w:r>
        <w:t xml:space="preserve">and due to data contiguity issues for this older cohorts educational groups</w:t>
      </w:r>
      <w:r>
        <w:t xml:space="preserve"> </w:t>
      </w:r>
      <w:r>
        <w:t xml:space="preserve">(Monteiro da Silva 2019)</w:t>
      </w:r>
      <w:r>
        <w:t xml:space="preserve">. For men, we chose a broader age range to increase the number of observations of couples in which they are older than women and of couples in which they are younger.</w:t>
      </w:r>
    </w:p>
    <w:p>
      <w:pPr>
        <w:pStyle w:val="TextBody"/>
      </w:pPr>
      <w:r>
        <w:t xml:space="preserve">Improbable and unreliable children ever born statements were also addressed prior to the estimation of CFRs. We assumed that women can bear only one living child each 18 months starting from age 12</w:t>
      </w:r>
      <w:r>
        <w:t xml:space="preserve"> </w:t>
      </w:r>
      <w:r>
        <w:t xml:space="preserve">(Moultrie et al. 2013)</w:t>
      </w:r>
      <w:r>
        <w:t xml:space="preserve">. Thus, when the stated number of children ever born exceeded the threshold expected parity for the respective age we set its value to the maximum expected for the mother’s age.</w:t>
      </w:r>
    </w:p>
    <w:p>
      <w:pPr>
        <w:pStyle w:val="TextBody"/>
      </w:pPr>
      <w:r>
        <w:t xml:space="preserve">Finally, we grouped regions into 3 groups: 1) Central-West, 2) South-Southeast and 3) North-Northeast. These groups were chosen based on shared socioeconomic characteristics and demographic characteristics of cohort fertility and assortative mating verified in previous analysis</w:t>
      </w:r>
      <w:r>
        <w:t xml:space="preserve"> </w:t>
      </w:r>
      <w:r>
        <w:t xml:space="preserve">(Monteiro da Silva 2019)</w:t>
      </w:r>
      <w:r>
        <w:t xml:space="preserve">. Thus, this grouping facilitates managing scale issues of small sample sizes in regions of lower population density and lower population counts of some particular educational groups.</w:t>
      </w:r>
    </w:p>
    <w:p>
      <w:pPr>
        <w:pStyle w:val="Heading2"/>
      </w:pPr>
      <w:bookmarkStart w:id="27" w:name="cohort-fertility-trends-of-educational-pairings"/>
      <w:r>
        <w:t xml:space="preserve">Cohort fertility trends of educational pairings</w:t>
      </w:r>
      <w:bookmarkEnd w:id="27"/>
    </w:p>
    <w:p>
      <w:pPr>
        <w:pStyle w:val="FirstParagraph"/>
      </w:pPr>
      <w:r>
        <w:t xml:space="preserve">Assuming the mentioned conditions and the educational categories, we estimated cohort fertility rates for each educational pairing profile by:</w:t>
      </w:r>
    </w:p>
    <w:p>
      <w:pPr>
        <w:pStyle w:val="TextBody"/>
      </w:pPr>
      <m:oMathPara>
        <m:oMathParaPr>
          <m:jc m:val="center"/>
        </m:oMathParaPr>
        <m:oMath>
          <m:r>
            <m:t>C</m:t>
          </m:r>
          <m:r>
            <m:t>F</m:t>
          </m:r>
          <m:sSubSup>
            <m:e>
              <m:r>
                <m:t>R</m:t>
              </m:r>
            </m:e>
            <m:sub>
              <m:r>
                <m:t>F</m:t>
              </m:r>
              <m:r>
                <m:t>,</m:t>
              </m:r>
              <m:r>
                <m:t>M</m:t>
              </m:r>
            </m:sub>
            <m:sup>
              <m:r>
                <m:t>t</m:t>
              </m:r>
            </m:sup>
          </m:sSubSup>
          <m:r>
            <m:t>=</m:t>
          </m:r>
          <m:f>
            <m:fPr>
              <m:type m:val="bar"/>
            </m:fPr>
            <m:num>
              <m:r>
                <m:t>C</m:t>
              </m:r>
              <m:r>
                <m:t>H</m:t>
              </m:r>
              <m:r>
                <m:t>B</m:t>
              </m:r>
              <m:r>
                <m:t>O</m:t>
              </m:r>
              <m:r>
                <m:t>R</m:t>
              </m:r>
              <m:sSubSup>
                <m:e>
                  <m:r>
                    <m:t>N</m:t>
                  </m:r>
                </m:e>
                <m:sub>
                  <m:r>
                    <m:t>F</m:t>
                  </m:r>
                  <m:r>
                    <m:t>,</m:t>
                  </m:r>
                  <m:r>
                    <m:t>M</m:t>
                  </m:r>
                </m:sub>
                <m:sup>
                  <m:r>
                    <m:t>t</m:t>
                  </m:r>
                </m:sup>
              </m:sSubSup>
            </m:num>
            <m:den>
              <m:sSubSup>
                <m:e>
                  <m:r>
                    <m:t>W</m:t>
                  </m:r>
                </m:e>
                <m:sub>
                  <m:r>
                    <m:t>F</m:t>
                  </m:r>
                  <m:r>
                    <m:t>,</m:t>
                  </m:r>
                  <m:r>
                    <m:t>M</m:t>
                  </m:r>
                </m:sub>
                <m:sup>
                  <m:r>
                    <m:t>t</m:t>
                  </m:r>
                </m:sup>
              </m:sSubSup>
            </m:den>
          </m:f>
        </m:oMath>
      </m:oMathPara>
    </w:p>
    <w:p>
      <w:pPr>
        <w:pStyle w:val="FirstParagraph"/>
      </w:pPr>
      <w:r>
        <w:t xml:space="preserve">Where,</w:t>
      </w:r>
    </w:p>
    <w:p>
      <w:pPr>
        <w:numPr>
          <w:numId w:val="1001"/>
          <w:ilvl w:val="0"/>
        </w:numPr>
      </w:pPr>
      <m:oMath>
        <m:r>
          <m:t>C</m:t>
        </m:r>
        <m:r>
          <m:t>F</m:t>
        </m:r>
        <m:sSubSup>
          <m:e>
            <m:r>
              <m:t>R</m:t>
            </m:r>
          </m:e>
          <m:sub>
            <m:r>
              <m:t>F</m:t>
            </m:r>
            <m:r>
              <m:t>,</m:t>
            </m:r>
            <m:r>
              <m:t>M</m:t>
            </m:r>
          </m:sub>
          <m:sup>
            <m:r>
              <m:t>t</m:t>
            </m:r>
          </m:sup>
        </m:sSubSup>
      </m:oMath>
      <w:r>
        <w:t xml:space="preserve">: Cohort Fertility Rates for cohorts of women born in time t with an educational attainment level F married/in-union with a partner that reached an educational attainment level M;</w:t>
      </w:r>
    </w:p>
    <w:p>
      <w:pPr>
        <w:numPr>
          <w:numId w:val="1001"/>
          <w:ilvl w:val="0"/>
        </w:numPr>
      </w:pPr>
      <m:oMath>
        <m:r>
          <m:t>C</m:t>
        </m:r>
        <m:r>
          <m:t>H</m:t>
        </m:r>
        <m:r>
          <m:t>B</m:t>
        </m:r>
        <m:r>
          <m:t>O</m:t>
        </m:r>
        <m:r>
          <m:t>R</m:t>
        </m:r>
        <m:sSubSup>
          <m:e>
            <m:r>
              <m:t>N</m:t>
            </m:r>
          </m:e>
          <m:sub>
            <m:r>
              <m:t>F</m:t>
            </m:r>
            <m:r>
              <m:t>,</m:t>
            </m:r>
            <m:r>
              <m:t>M</m:t>
            </m:r>
          </m:sub>
          <m:sup>
            <m:r>
              <m:t>t</m:t>
            </m:r>
          </m:sup>
        </m:sSubSup>
      </m:oMath>
      <w:r>
        <w:t xml:space="preserve">: Children Ever Born to cohorts of women born in time t with an educational attainment level F married/in-union with a partner that reached an educational attainment level M;</w:t>
      </w:r>
    </w:p>
    <w:p>
      <w:pPr>
        <w:numPr>
          <w:numId w:val="1001"/>
          <w:ilvl w:val="0"/>
        </w:numPr>
      </w:pPr>
      <m:oMath>
        <m:sSubSup>
          <m:e>
            <m:r>
              <m:t>W</m:t>
            </m:r>
          </m:e>
          <m:sub>
            <m:r>
              <m:t>F</m:t>
            </m:r>
            <m:r>
              <m:t>,</m:t>
            </m:r>
            <m:r>
              <m:t>M</m:t>
            </m:r>
          </m:sub>
          <m:sup>
            <m:r>
              <m:t>t</m:t>
            </m:r>
          </m:sup>
        </m:sSubSup>
      </m:oMath>
      <w:r>
        <w:t xml:space="preserve">: Total number of women from the cohort born in time t with an educational attainment level F married/in-union with a partner that reached an educational attainment level M;</w:t>
      </w:r>
    </w:p>
    <w:p>
      <w:pPr>
        <w:pStyle w:val="FirstParagraph"/>
      </w:pPr>
      <w:r>
        <w:t xml:space="preserve">We computed CFRs in two ways for different methodological evaluations. First, we computed CFRs for each educational pairing of women cohorts ranging from 1925-1969 grouped in five-year age groups and educational levels LP, P and S+ (secondary or tertiary education completed). The last two educational level groups were grouped in order to avoid small samples of people with higher educational attainment levels from older cohorts.</w:t>
      </w:r>
    </w:p>
    <w:p>
      <w:pPr>
        <w:pStyle w:val="TextBody"/>
      </w:pPr>
      <w:r>
        <w:t xml:space="preserve">CFR trends were then evaluated in terms of both male’s and female’s educational attainment levels in order to visualize each partners influence on each region fertility transition. We also computed relative differences in CFRs</w:t>
      </w:r>
      <w:r>
        <w:t xml:space="preserve"> </w:t>
      </w:r>
      <w:r>
        <w:t xml:space="preserve">(Van Bavel et al. 2018)</w:t>
      </w:r>
      <w:r>
        <w:t xml:space="preserve"> </w:t>
      </w:r>
      <w:r>
        <w:t xml:space="preserve">between men with LP and S+ educational levels in relation to those with P educational level, controlling by female educational category as described above. Trends in relative differences among male educational categories will contribute to observe possible converging patterns of fertility transition between male’s educational levels such as observed for women</w:t>
      </w:r>
      <w:r>
        <w:t xml:space="preserve"> </w:t>
      </w:r>
      <w:r>
        <w:t xml:space="preserve">(Berquó/Cavenaghi 2014)</w:t>
      </w:r>
      <w:r>
        <w:t xml:space="preserve">.</w:t>
      </w:r>
    </w:p>
    <w:p>
      <w:pPr>
        <w:pStyle w:val="TextBody"/>
      </w:pPr>
      <m:oMathPara>
        <m:oMathParaPr>
          <m:jc m:val="center"/>
        </m:oMathParaPr>
        <m:oMath>
          <m:r>
            <m:t>R</m:t>
          </m:r>
          <m:r>
            <m:t>D</m:t>
          </m:r>
          <m:r>
            <m:t>i</m:t>
          </m:r>
          <m:r>
            <m:t>f</m:t>
          </m:r>
          <m:sSubSup>
            <m:e>
              <m:r>
                <m:t>f</m:t>
              </m:r>
            </m:e>
            <m:sub>
              <m:r>
                <m:t>F</m:t>
              </m:r>
              <m:r>
                <m:t>,</m:t>
              </m:r>
              <m:r>
                <m:t>M</m:t>
              </m:r>
              <m:r>
                <m:t>=</m:t>
              </m:r>
              <m:r>
                <m:t>L</m:t>
              </m:r>
              <m:r>
                <m:t>P</m:t>
              </m:r>
              <m:r>
                <m:t>−</m:t>
              </m:r>
              <m:r>
                <m:t>P</m:t>
              </m:r>
            </m:sub>
            <m:sup>
              <m:r>
                <m:t>t</m:t>
              </m:r>
            </m:sup>
          </m:sSubSup>
          <m:r>
            <m:t>=</m:t>
          </m:r>
          <m:f>
            <m:fPr>
              <m:type m:val="bar"/>
            </m:fPr>
            <m:num>
              <m:r>
                <m:t>C</m:t>
              </m:r>
              <m:r>
                <m:t>F</m:t>
              </m:r>
              <m:sSubSup>
                <m:e>
                  <m:r>
                    <m:t>R</m:t>
                  </m:r>
                </m:e>
                <m:sub>
                  <m:r>
                    <m:t>F</m:t>
                  </m:r>
                  <m:r>
                    <m:t>,</m:t>
                  </m:r>
                  <m:r>
                    <m:t>M</m:t>
                  </m:r>
                  <m:r>
                    <m:t>=</m:t>
                  </m:r>
                  <m:r>
                    <m:t>L</m:t>
                  </m:r>
                  <m:r>
                    <m:t>P</m:t>
                  </m:r>
                </m:sub>
                <m:sup>
                  <m:r>
                    <m:t>t</m:t>
                  </m:r>
                </m:sup>
              </m:sSubSup>
              <m:r>
                <m:t>−</m:t>
              </m:r>
              <m:r>
                <m:t>C</m:t>
              </m:r>
              <m:r>
                <m:t>F</m:t>
              </m:r>
              <m:sSubSup>
                <m:e>
                  <m:r>
                    <m:t>R</m:t>
                  </m:r>
                </m:e>
                <m:sub>
                  <m:r>
                    <m:t>F</m:t>
                  </m:r>
                  <m:r>
                    <m:t>,</m:t>
                  </m:r>
                  <m:r>
                    <m:t>M</m:t>
                  </m:r>
                  <m:r>
                    <m:t>=</m:t>
                  </m:r>
                  <m:r>
                    <m:t>P</m:t>
                  </m:r>
                </m:sub>
                <m:sup>
                  <m:r>
                    <m:t>t</m:t>
                  </m:r>
                </m:sup>
              </m:sSubSup>
            </m:num>
            <m:den>
              <m:r>
                <m:t>C</m:t>
              </m:r>
              <m:r>
                <m:t>F</m:t>
              </m:r>
              <m:sSubSup>
                <m:e>
                  <m:r>
                    <m:t>R</m:t>
                  </m:r>
                </m:e>
                <m:sub>
                  <m:r>
                    <m:t>F</m:t>
                  </m:r>
                  <m:r>
                    <m:t>,</m:t>
                  </m:r>
                  <m:r>
                    <m:t>M</m:t>
                  </m:r>
                  <m:r>
                    <m:t>=</m:t>
                  </m:r>
                  <m:r>
                    <m:t>P</m:t>
                  </m:r>
                </m:sub>
                <m:sup>
                  <m:r>
                    <m:t>t</m:t>
                  </m:r>
                </m:sup>
              </m:sSubSup>
            </m:den>
          </m:f>
        </m:oMath>
      </m:oMathPara>
    </w:p>
    <w:p>
      <w:pPr>
        <w:pStyle w:val="FirstParagraph"/>
      </w:pPr>
      <m:oMathPara>
        <m:oMathParaPr>
          <m:jc m:val="center"/>
        </m:oMathParaPr>
        <m:oMath>
          <m:r>
            <m:t>R</m:t>
          </m:r>
          <m:r>
            <m:t>D</m:t>
          </m:r>
          <m:r>
            <m:t>i</m:t>
          </m:r>
          <m:r>
            <m:t>f</m:t>
          </m:r>
          <m:sSubSup>
            <m:e>
              <m:r>
                <m:t>f</m:t>
              </m:r>
            </m:e>
            <m:sub>
              <m:r>
                <m:t>F</m:t>
              </m:r>
              <m:r>
                <m:t>,</m:t>
              </m:r>
              <m:r>
                <m:t>M</m:t>
              </m:r>
              <m:r>
                <m:t>=</m:t>
              </m:r>
              <m:r>
                <m:t>(</m:t>
              </m:r>
              <m:r>
                <m:t>S</m:t>
              </m:r>
              <m:r>
                <m:t>+</m:t>
              </m:r>
              <m:r>
                <m:t>)</m:t>
              </m:r>
              <m:r>
                <m:t>−</m:t>
              </m:r>
              <m:r>
                <m:t>P</m:t>
              </m:r>
            </m:sub>
            <m:sup>
              <m:r>
                <m:t>t</m:t>
              </m:r>
            </m:sup>
          </m:sSubSup>
          <m:r>
            <m:t>=</m:t>
          </m:r>
          <m:f>
            <m:fPr>
              <m:type m:val="bar"/>
            </m:fPr>
            <m:num>
              <m:r>
                <m:t>C</m:t>
              </m:r>
              <m:r>
                <m:t>F</m:t>
              </m:r>
              <m:sSubSup>
                <m:e>
                  <m:r>
                    <m:t>R</m:t>
                  </m:r>
                </m:e>
                <m:sub>
                  <m:r>
                    <m:t>F</m:t>
                  </m:r>
                  <m:r>
                    <m:t>,</m:t>
                  </m:r>
                  <m:r>
                    <m:t>M</m:t>
                  </m:r>
                  <m:r>
                    <m:t>=</m:t>
                  </m:r>
                  <m:r>
                    <m:t>S</m:t>
                  </m:r>
                  <m:r>
                    <m:t>+</m:t>
                  </m:r>
                </m:sub>
                <m:sup>
                  <m:r>
                    <m:t>t</m:t>
                  </m:r>
                </m:sup>
              </m:sSubSup>
              <m:r>
                <m:t>−</m:t>
              </m:r>
              <m:r>
                <m:t>C</m:t>
              </m:r>
              <m:r>
                <m:t>F</m:t>
              </m:r>
              <m:sSubSup>
                <m:e>
                  <m:r>
                    <m:t>R</m:t>
                  </m:r>
                </m:e>
                <m:sub>
                  <m:r>
                    <m:t>F</m:t>
                  </m:r>
                  <m:r>
                    <m:t>,</m:t>
                  </m:r>
                  <m:r>
                    <m:t>M</m:t>
                  </m:r>
                  <m:r>
                    <m:t>=</m:t>
                  </m:r>
                  <m:r>
                    <m:t>P</m:t>
                  </m:r>
                </m:sub>
                <m:sup>
                  <m:r>
                    <m:t>t</m:t>
                  </m:r>
                </m:sup>
              </m:sSubSup>
            </m:num>
            <m:den>
              <m:r>
                <m:t>C</m:t>
              </m:r>
              <m:r>
                <m:t>F</m:t>
              </m:r>
              <m:sSubSup>
                <m:e>
                  <m:r>
                    <m:t>R</m:t>
                  </m:r>
                </m:e>
                <m:sub>
                  <m:r>
                    <m:t>F</m:t>
                  </m:r>
                  <m:r>
                    <m:t>,</m:t>
                  </m:r>
                  <m:r>
                    <m:t>M</m:t>
                  </m:r>
                  <m:r>
                    <m:t>=</m:t>
                  </m:r>
                  <m:r>
                    <m:t>P</m:t>
                  </m:r>
                </m:sub>
                <m:sup>
                  <m:r>
                    <m:t>t</m:t>
                  </m:r>
                </m:sup>
              </m:sSubSup>
            </m:den>
          </m:f>
        </m:oMath>
      </m:oMathPara>
    </w:p>
    <w:p>
      <w:pPr>
        <w:pStyle w:val="Heading2"/>
      </w:pPr>
      <w:bookmarkStart w:id="28" w:name="decomposition-of-cfrs-by-educational-pairing"/>
      <w:r>
        <w:t xml:space="preserve">Decomposition of CFRs by educational pairing</w:t>
      </w:r>
      <w:bookmarkEnd w:id="28"/>
    </w:p>
    <w:p>
      <w:pPr>
        <w:pStyle w:val="FirstParagraph"/>
      </w:pPr>
      <w:r>
        <w:t xml:space="preserve">In a second moment, we computed CFR for three female cohorts corresponding to 15 year period interval. We divided this cohorts according to phases of schooling expansion for men and women and of fertility transition:</w:t>
      </w:r>
    </w:p>
    <w:p>
      <w:pPr>
        <w:numPr>
          <w:numId w:val="1002"/>
          <w:ilvl w:val="0"/>
        </w:numPr>
      </w:pPr>
      <w:r>
        <w:t xml:space="preserve">birth cohort 1925-39: older female cohorts, forerunners of the processes of fertility decline and of intensification of female schooling</w:t>
      </w:r>
      <w:r>
        <w:t xml:space="preserve"> </w:t>
      </w:r>
      <w:r>
        <w:t xml:space="preserve">(Azevedo/Ferreira 2006)</w:t>
      </w:r>
      <w:r>
        <w:t xml:space="preserve">;</w:t>
      </w:r>
    </w:p>
    <w:p>
      <w:pPr>
        <w:numPr>
          <w:numId w:val="1002"/>
          <w:ilvl w:val="0"/>
        </w:numPr>
      </w:pPr>
      <w:r>
        <w:t xml:space="preserve">birth cohort 1940-54: women that born in a period of educational system expansion and still presented lower schooling levels than men</w:t>
      </w:r>
      <w:r>
        <w:t xml:space="preserve"> </w:t>
      </w:r>
      <w:r>
        <w:t xml:space="preserve">(Beltrão/Alves 2009)</w:t>
      </w:r>
      <w:r>
        <w:t xml:space="preserve">. These women, however, responded for a large share of fertility decline in decades of 1960-80 by the influence of difusion of modern contraceptive methods</w:t>
      </w:r>
      <w:r>
        <w:t xml:space="preserve"> </w:t>
      </w:r>
      <w:r>
        <w:t xml:space="preserve">(Carvalho/Wong 1992; Goldin/Katz 2002; Merrick/Berquó 1983)</w:t>
      </w:r>
      <w:r>
        <w:t xml:space="preserve">;</w:t>
      </w:r>
    </w:p>
    <w:p>
      <w:pPr>
        <w:numPr>
          <w:numId w:val="1002"/>
          <w:ilvl w:val="0"/>
        </w:numPr>
      </w:pPr>
      <w:r>
        <w:t xml:space="preserve">birth cohort 1955-1969: younger female cohorts that experienced higher schooling levels than men and faced higher labor market participation rates than previous cohorts</w:t>
      </w:r>
      <w:r>
        <w:t xml:space="preserve"> </w:t>
      </w:r>
      <w:r>
        <w:t xml:space="preserve">(Beltrão/Alves 2009; Lam et al. 1992; Scorzafave/Menezes-Filho 2001)</w:t>
      </w:r>
      <w:r>
        <w:t xml:space="preserve">.</w:t>
      </w:r>
    </w:p>
    <w:p>
      <w:pPr>
        <w:pStyle w:val="FirstParagraph"/>
      </w:pPr>
      <w:r>
        <w:t xml:space="preserve">Taking more cohorts in consideration made it possible to evaluate even the tertiary education influence and decompose the effects of educational expansion and changing conjugal profiles in fertility by comparing each cohort group. We used demographic decomposition methods</w:t>
      </w:r>
      <w:r>
        <w:t xml:space="preserve"> </w:t>
      </w:r>
      <w:r>
        <w:t xml:space="preserve">(Das Gupta 1993)</w:t>
      </w:r>
      <w:r>
        <w:t xml:space="preserve"> </w:t>
      </w:r>
      <w:r>
        <w:t xml:space="preserve">such as performed by</w:t>
      </w:r>
      <w:r>
        <w:t xml:space="preserve"> </w:t>
      </w:r>
      <w:r>
        <w:t xml:space="preserve">Yoo (2014)</w:t>
      </w:r>
      <w:r>
        <w:t xml:space="preserve"> </w:t>
      </w:r>
      <w:r>
        <w:t xml:space="preserve">to assess both educational pairings</w:t>
      </w:r>
      <w:r>
        <w:t xml:space="preserve"> </w:t>
      </w:r>
      <w:r>
        <w:rPr>
          <w:i/>
        </w:rPr>
        <w:t xml:space="preserve">composition effects</w:t>
      </w:r>
      <w:r>
        <w:t xml:space="preserve"> </w:t>
      </w:r>
      <w:r>
        <w:t xml:space="preserve">and cohort fertility</w:t>
      </w:r>
      <w:r>
        <w:t xml:space="preserve"> </w:t>
      </w:r>
      <w:r>
        <w:rPr>
          <w:i/>
        </w:rPr>
        <w:t xml:space="preserve">rate effects</w:t>
      </w:r>
      <w:r>
        <w:t xml:space="preserve"> </w:t>
      </w:r>
      <w:r>
        <w:t xml:space="preserve">on cohort fertility differentials ($</w:t>
      </w:r>
      <w:r>
        <w:t xml:space="preserve"> </w:t>
      </w:r>
      <w:r>
        <w:t xml:space="preserve">CFR $).</w:t>
      </w:r>
    </w:p>
    <w:p>
      <w:pPr>
        <w:pStyle w:val="TextBody"/>
      </w:pPr>
      <w:r>
        <w:t xml:space="preserve">The overall conjugal CFR for a given period T is computed by:</w:t>
      </w:r>
    </w:p>
    <w:p>
      <w:pPr>
        <w:pStyle w:val="TextBody"/>
      </w:pPr>
      <m:oMathPara>
        <m:oMathParaPr>
          <m:jc m:val="center"/>
        </m:oMathParaPr>
        <m:oMath>
          <m:r>
            <m:t>C</m:t>
          </m:r>
          <m:r>
            <m:t>F</m:t>
          </m:r>
          <m:sSup>
            <m:e>
              <m:r>
                <m:t>R</m:t>
              </m:r>
            </m:e>
            <m:sup>
              <m:r>
                <m:t>T</m:t>
              </m:r>
            </m:sup>
          </m:sSup>
          <m:r>
            <m:t>=</m:t>
          </m:r>
          <m:nary>
            <m:naryPr>
              <m:chr m:val="∑"/>
              <m:limLoc m:val="undOvr"/>
              <m:subHide m:val="0"/>
              <m:supHide m:val="0"/>
            </m:naryPr>
            <m:sub>
              <m:r>
                <m:t>i</m:t>
              </m:r>
            </m:sub>
            <m:sup>
              <m:r>
                <m:t>e</m:t>
              </m:r>
              <m:r>
                <m:t>p</m:t>
              </m:r>
            </m:sup>
            <m:e>
              <m:r>
                <m:t>C</m:t>
              </m:r>
            </m:e>
          </m:nary>
          <m:r>
            <m:t>F</m:t>
          </m:r>
          <m:sSubSup>
            <m:e>
              <m:r>
                <m:t>R</m:t>
              </m:r>
            </m:e>
            <m:sub>
              <m:r>
                <m:t>e</m:t>
              </m:r>
              <m:r>
                <m:t>p</m:t>
              </m:r>
            </m:sub>
            <m:sup>
              <m:r>
                <m:t>T</m:t>
              </m:r>
            </m:sup>
          </m:sSubSup>
          <m:sSubSup>
            <m:e>
              <m:r>
                <m:t>P</m:t>
              </m:r>
            </m:e>
            <m:sub>
              <m:r>
                <m:t>e</m:t>
              </m:r>
              <m:r>
                <m:t>p</m:t>
              </m:r>
            </m:sub>
            <m:sup>
              <m:r>
                <m:t>T</m:t>
              </m:r>
            </m:sup>
          </m:sSubSup>
        </m:oMath>
      </m:oMathPara>
    </w:p>
    <w:p>
      <w:pPr>
        <w:pStyle w:val="FirstParagraph"/>
      </w:pPr>
      <w:r>
        <w:t xml:space="preserve">Further, the differences in CFR from time T1 to time T2 are given by:</w:t>
      </w:r>
    </w:p>
    <w:p>
      <w:pPr>
        <w:pStyle w:val="TextBody"/>
      </w:pPr>
      <m:oMathPara>
        <m:oMathParaPr>
          <m:jc m:val="center"/>
        </m:oMathParaPr>
        <m:oMath>
          <m:r>
            <m:t>Δ</m:t>
          </m:r>
          <m:r>
            <m:t>C</m:t>
          </m:r>
          <m:r>
            <m:t>F</m:t>
          </m:r>
          <m:sSub>
            <m:e>
              <m:r>
                <m:t>R</m:t>
              </m:r>
            </m:e>
            <m:sub>
              <m:r>
                <m:t>12</m:t>
              </m:r>
            </m:sub>
          </m:sSub>
          <m:r>
            <m:t>=</m:t>
          </m:r>
          <m:r>
            <m:t>C</m:t>
          </m:r>
          <m:r>
            <m:t>F</m:t>
          </m:r>
          <m:sSup>
            <m:e>
              <m:r>
                <m:t>R</m:t>
              </m:r>
            </m:e>
            <m:sup>
              <m:r>
                <m:t>T</m:t>
              </m:r>
              <m:r>
                <m:t>1</m:t>
              </m:r>
            </m:sup>
          </m:sSup>
          <m:r>
            <m:t>−</m:t>
          </m:r>
          <m:r>
            <m:t>C</m:t>
          </m:r>
          <m:r>
            <m:t>F</m:t>
          </m:r>
          <m:sSup>
            <m:e>
              <m:r>
                <m:t>R</m:t>
              </m:r>
            </m:e>
            <m:sup>
              <m:r>
                <m:t>T</m:t>
              </m:r>
              <m:r>
                <m:t>2</m:t>
              </m:r>
            </m:sup>
          </m:sSup>
          <m:r>
            <m:t>=</m:t>
          </m:r>
          <m:nary>
            <m:naryPr>
              <m:chr m:val="∑"/>
              <m:limLoc m:val="undOvr"/>
              <m:subHide m:val="0"/>
              <m:supHide m:val="0"/>
            </m:naryPr>
            <m:sub>
              <m:r>
                <m:t>i</m:t>
              </m:r>
            </m:sub>
            <m:sup>
              <m:r>
                <m:t>e</m:t>
              </m:r>
              <m:r>
                <m:t>p</m:t>
              </m:r>
            </m:sup>
            <m:e>
              <m:r>
                <m:t>C</m:t>
              </m:r>
            </m:e>
          </m:nary>
          <m:r>
            <m:t>F</m:t>
          </m:r>
          <m:sSubSup>
            <m:e>
              <m:r>
                <m:t>R</m:t>
              </m:r>
            </m:e>
            <m:sub>
              <m:r>
                <m:t>e</m:t>
              </m:r>
              <m:r>
                <m:t>p</m:t>
              </m:r>
            </m:sub>
            <m:sup>
              <m:r>
                <m:t>T</m:t>
              </m:r>
              <m:r>
                <m:t>1</m:t>
              </m:r>
            </m:sup>
          </m:sSubSup>
          <m:sSubSup>
            <m:e>
              <m:r>
                <m:t>P</m:t>
              </m:r>
            </m:e>
            <m:sub>
              <m:r>
                <m:t>e</m:t>
              </m:r>
              <m:r>
                <m:t>p</m:t>
              </m:r>
            </m:sub>
            <m:sup>
              <m:r>
                <m:t>T</m:t>
              </m:r>
              <m:r>
                <m:t>1</m:t>
              </m:r>
            </m:sup>
          </m:sSubSup>
          <m:r>
            <m:t>−</m:t>
          </m:r>
          <m:nary>
            <m:naryPr>
              <m:chr m:val="∑"/>
              <m:limLoc m:val="undOvr"/>
              <m:subHide m:val="0"/>
              <m:supHide m:val="0"/>
            </m:naryPr>
            <m:sub>
              <m:r>
                <m:t>i</m:t>
              </m:r>
            </m:sub>
            <m:sup>
              <m:r>
                <m:t>e</m:t>
              </m:r>
              <m:r>
                <m:t>p</m:t>
              </m:r>
            </m:sup>
            <m:e>
              <m:r>
                <m:t>C</m:t>
              </m:r>
            </m:e>
          </m:nary>
          <m:r>
            <m:t>F</m:t>
          </m:r>
          <m:sSubSup>
            <m:e>
              <m:r>
                <m:t>R</m:t>
              </m:r>
            </m:e>
            <m:sub>
              <m:r>
                <m:t>e</m:t>
              </m:r>
              <m:r>
                <m:t>p</m:t>
              </m:r>
            </m:sub>
            <m:sup>
              <m:r>
                <m:t>T</m:t>
              </m:r>
              <m:r>
                <m:t>2</m:t>
              </m:r>
            </m:sup>
          </m:sSubSup>
          <m:sSubSup>
            <m:e>
              <m:r>
                <m:t>P</m:t>
              </m:r>
            </m:e>
            <m:sub>
              <m:r>
                <m:t>e</m:t>
              </m:r>
              <m:r>
                <m:t>p</m:t>
              </m:r>
            </m:sub>
            <m:sup>
              <m:r>
                <m:t>T</m:t>
              </m:r>
              <m:r>
                <m:t>2</m:t>
              </m:r>
            </m:sup>
          </m:sSubSup>
        </m:oMath>
      </m:oMathPara>
    </w:p>
    <w:p>
      <w:pPr>
        <w:pStyle w:val="FirstParagraph"/>
      </w:pPr>
      <w:r>
        <w:t xml:space="preserve">Where,</w:t>
      </w:r>
    </w:p>
    <w:p>
      <w:pPr>
        <w:pStyle w:val="Compact"/>
        <w:numPr>
          <w:numId w:val="1003"/>
          <w:ilvl w:val="0"/>
        </w:numPr>
      </w:pPr>
      <m:oMath>
        <m:r>
          <m:t>T</m:t>
        </m:r>
      </m:oMath>
      <w:r>
        <w:t xml:space="preserve"> </w:t>
      </w:r>
      <w:r>
        <w:t xml:space="preserve">is the female cohort birth period which assume 3 intervals: T = {1925-39, 1940-54, 1955-69};</w:t>
      </w:r>
    </w:p>
    <w:p>
      <w:pPr>
        <w:pStyle w:val="Compact"/>
        <w:numPr>
          <w:numId w:val="1003"/>
          <w:ilvl w:val="0"/>
        </w:numPr>
      </w:pPr>
      <m:oMath>
        <m:r>
          <m:t>e</m:t>
        </m:r>
        <m:r>
          <m:t>p</m:t>
        </m:r>
      </m:oMath>
      <w:r>
        <w:t xml:space="preserve"> </w:t>
      </w:r>
      <w:r>
        <w:t xml:space="preserve">is the educational pairing profile, which assumes 16 possible combinations of female and male educational levels (F,M): ep = {(LP,LP), (LP,P), (LP,S), (LP,T), (P,LP), (P,P),</w:t>
      </w:r>
      <w:r>
        <w:t xml:space="preserve"> </w:t>
      </w:r>
      <w:r>
        <w:t xml:space="preserve">(P,S), (P,T), (S,LP), (S,P), (S,S), (S,T), (T,LP), (T,P), (T,S), (T,T)};</w:t>
      </w:r>
    </w:p>
    <w:p>
      <w:pPr>
        <w:pStyle w:val="Compact"/>
        <w:numPr>
          <w:numId w:val="1003"/>
          <w:ilvl w:val="0"/>
        </w:numPr>
      </w:pPr>
      <m:oMath>
        <m:sSubSup>
          <m:e>
            <m:r>
              <m:t>P</m:t>
            </m:r>
          </m:e>
          <m:sub>
            <m:r>
              <m:t>e</m:t>
            </m:r>
            <m:r>
              <m:t>p</m:t>
            </m:r>
          </m:sub>
          <m:sup>
            <m:r>
              <m:t>T</m:t>
            </m:r>
          </m:sup>
        </m:sSubSup>
      </m:oMath>
      <w:r>
        <w:t xml:space="preserve"> </w:t>
      </w:r>
      <w:r>
        <w:t xml:space="preserve">is the proportion of couples of female cohort T in educational pairing with an</w:t>
      </w:r>
      <w:r>
        <w:t xml:space="preserve"> </w:t>
      </w:r>
      <m:oMath>
        <m:r>
          <m:t>e</m:t>
        </m:r>
        <m:r>
          <m:t>p</m:t>
        </m:r>
      </m:oMath>
      <w:r>
        <w:t xml:space="preserve"> </w:t>
      </w:r>
      <w:r>
        <w:t xml:space="preserve">profile.</w:t>
      </w:r>
    </w:p>
    <w:p>
      <w:pPr>
        <w:pStyle w:val="FirstParagraph"/>
      </w:pPr>
      <w:r>
        <w:t xml:space="preserve">The cohort fertility differences will be computed pairwise: between female cohorts born in 1925-39 and 1940-54, between 1940-54 and 1955-69 cohorts and between 1925-39 and 1955-69 cohorts. These cohort fertility differentials can be decomposed in compositional effects of marriage markets, which are given by the prevalence of educational pairings, and rate effects, which are given by the educational pairing-specific CFRs (see</w:t>
      </w:r>
      <w:r>
        <w:t xml:space="preserve"> </w:t>
      </w:r>
      <w:r>
        <w:t xml:space="preserve">Das Gupta (1993: 37)</w:t>
      </w:r>
      <w:r>
        <w:t xml:space="preserve"> </w:t>
      </w:r>
      <w:r>
        <w:t xml:space="preserve">for details on decomposition of rates as functions of two vector-factors). Therefore:</w:t>
      </w:r>
    </w:p>
    <w:p>
      <w:pPr>
        <w:pStyle w:val="TextBody"/>
      </w:pPr>
      <m:oMathPara>
        <m:oMathParaPr>
          <m:jc m:val="center"/>
        </m:oMathParaPr>
        <m:oMath>
          <m:r>
            <m:t>Δ</m:t>
          </m:r>
          <m:r>
            <m:t>C</m:t>
          </m:r>
          <m:r>
            <m:t>F</m:t>
          </m:r>
          <m:sSub>
            <m:e>
              <m:r>
                <m:t>R</m:t>
              </m:r>
            </m:e>
            <m:sub>
              <m:r>
                <m:t>1</m:t>
              </m:r>
              <m:r>
                <m:t>,</m:t>
              </m:r>
              <m:r>
                <m:t>2</m:t>
              </m:r>
            </m:sub>
          </m:sSub>
          <m:r>
            <m:t>=</m:t>
          </m:r>
          <m:r>
            <m:t>Δ</m:t>
          </m:r>
          <m:r>
            <m:t>C</m:t>
          </m:r>
          <m:r>
            <m:t>F</m:t>
          </m:r>
          <m:sSubSup>
            <m:e>
              <m:r>
                <m:t>R</m:t>
              </m:r>
            </m:e>
            <m:sub>
              <m:r>
                <m:t>1</m:t>
              </m:r>
              <m:r>
                <m:t>,</m:t>
              </m:r>
              <m:r>
                <m:t>2</m:t>
              </m:r>
            </m:sub>
            <m:sup>
              <m:r>
                <m:rPr>
                  <m:sty m:val="p"/>
                </m:rPr>
                <m:t>effect</m:t>
              </m:r>
            </m:sup>
          </m:sSubSup>
          <m:r>
            <m:t>+</m:t>
          </m:r>
          <m:r>
            <m:t>Δ</m:t>
          </m:r>
          <m:sSubSup>
            <m:e>
              <m:r>
                <m:t>P</m:t>
              </m:r>
            </m:e>
            <m:sub>
              <m:r>
                <m:t>1</m:t>
              </m:r>
              <m:r>
                <m:t>,</m:t>
              </m:r>
              <m:r>
                <m:t>2</m:t>
              </m:r>
            </m:sub>
            <m:sup>
              <m:r>
                <m:rPr>
                  <m:sty m:val="p"/>
                </m:rPr>
                <m:t>effect</m:t>
              </m:r>
            </m:sup>
          </m:sSubSup>
        </m:oMath>
      </m:oMathPara>
    </w:p>
    <w:p>
      <w:pPr>
        <w:pStyle w:val="FirstParagraph"/>
      </w:pPr>
      <w:r>
        <w:t xml:space="preserve">Then, we can evaluate compositional differences in terms of changig union educational profiles among female cohorts and differences intrinsic to falling CFRs among each educational profile of couples.</w:t>
      </w:r>
    </w:p>
    <w:p>
      <w:pPr>
        <w:pStyle w:val="Heading1"/>
      </w:pPr>
      <w:bookmarkStart w:id="29" w:name="results"/>
      <w:r>
        <w:t xml:space="preserve">Results</w:t>
      </w:r>
      <w:bookmarkEnd w:id="29"/>
    </w:p>
    <w:p>
      <w:pPr>
        <w:pStyle w:val="Heading2"/>
      </w:pPr>
      <w:bookmarkStart w:id="30" w:name="educational-pairings-cohort-fertility-trends-in-brazil"/>
      <w:r>
        <w:t xml:space="preserve">Educational pairings cohort fertility trends in Brazil</w:t>
      </w:r>
      <w:bookmarkEnd w:id="30"/>
    </w:p>
    <w:p>
      <w:pPr>
        <w:pStyle w:val="FirstParagraph"/>
      </w:pPr>
      <w:r>
        <w:t xml:space="preserve">We first turn our attention to analyse cohort fertility trends of educational pairings following CFR of five-year grouped female cohorts for Brazil and its grouped regions (figure 1). Each panel of figure 1 presents a fixed educational attainment level for females and each line represents the male partner’s educational attainment level. Thus, distances between lines of the same graph (panel) represent fertility differentials among male partners educational categories.</w:t>
      </w:r>
    </w:p>
    <w:p>
      <w:pPr>
        <w:pStyle w:val="TextBody"/>
      </w:pPr>
      <w:r>
        <w:t xml:space="preserve">[Figure 1 about here]</w:t>
      </w:r>
    </w:p>
    <w:p>
      <w:pPr>
        <w:pStyle w:val="TextBody"/>
      </w:pPr>
      <w:r>
        <w:t xml:space="preserve">For the country as a whole, we observe marked fertility differentials for both male and female partners between different female birth cohorts. For older female cohorts, couples with at least one partner without complete primary school presented higher fertility levels than other pairings. Male partners low educational levels seems to have contributed to slow down fertility transition process. This is noted by the high CFRs estimated for older female cohorts with partners of the least educational attainment level. However, increasing female education through cohorts minimized differences of CFR between male partner’s educational categories and fomented the transition process</w:t>
      </w:r>
      <w:r>
        <w:t xml:space="preserve"> </w:t>
      </w:r>
      <w:r>
        <w:t xml:space="preserve">(Merrick/Berquó 1983)</w:t>
      </w:r>
      <w:r>
        <w:t xml:space="preserve">. Female education increase bargaing power and autonomy of women in family decision making</w:t>
      </w:r>
      <w:r>
        <w:t xml:space="preserve"> </w:t>
      </w:r>
      <w:r>
        <w:t xml:space="preserve">(Jejeebhoy 1995)</w:t>
      </w:r>
      <w:r>
        <w:t xml:space="preserve">. Therefore, women of higher schooling have reproductive profiles less attached to their husband’s educational characteristics and more related to females own socioeconomic status and perceived opportunity costs of reproduction</w:t>
      </w:r>
      <w:r>
        <w:t xml:space="preserve"> </w:t>
      </w:r>
      <w:r>
        <w:t xml:space="preserve">(Becker 1993)</w:t>
      </w:r>
      <w:r>
        <w:t xml:space="preserve">.</w:t>
      </w:r>
    </w:p>
    <w:p>
      <w:pPr>
        <w:pStyle w:val="TextBody"/>
      </w:pPr>
      <w:r>
        <w:t xml:space="preserve">This fertility differentials among educational categories of men and women diminishes for younger female cohorts. This converging fertility trend is a result of multiple factors. First, the reduction of illiteracy</w:t>
      </w:r>
      <w:r>
        <w:t xml:space="preserve"> </w:t>
      </w:r>
      <w:r>
        <w:t xml:space="preserve">(Fígoli 2006)</w:t>
      </w:r>
      <w:r>
        <w:t xml:space="preserve"> </w:t>
      </w:r>
      <w:r>
        <w:t xml:space="preserve">itself plays a key role in reproductive control adoption</w:t>
      </w:r>
      <w:r>
        <w:t xml:space="preserve"> </w:t>
      </w:r>
      <w:r>
        <w:t xml:space="preserve">(Castro-Martin/Juarez 1995; Perpétuo/Wajnman 1998; Perpétuo/Wong 2009)</w:t>
      </w:r>
      <w:r>
        <w:t xml:space="preserve">, however, it does not necessarily result in individual completion of primary school. Further, unexpected effects of institutional reforms of the Brazilian state between 1970-1990 decades fostered changes in social and cultural norms of the Brazilian society which increased female autonomy in family planning</w:t>
      </w:r>
      <w:r>
        <w:t xml:space="preserve"> </w:t>
      </w:r>
      <w:r>
        <w:t xml:space="preserve">(Faria 1989, 1997; Martine 1996)</w:t>
      </w:r>
      <w:r>
        <w:t xml:space="preserve">. This transformations in Brazilian society were related to the development of a communications system infrastructure, which connected distant regions of the country and contributed for the difusion of higher social strata reproductive behavior through soap operas</w:t>
      </w:r>
      <w:r>
        <w:t xml:space="preserve"> </w:t>
      </w:r>
      <w:r>
        <w:t xml:space="preserve">(Faria/Potter 1999; La Ferrara et al. 2012)</w:t>
      </w:r>
      <w:r>
        <w:t xml:space="preserve">, and to the medicalization of female population, which led to higher adoption of contraceptive methods even by the most vulnerable social groups</w:t>
      </w:r>
      <w:r>
        <w:t xml:space="preserve"> </w:t>
      </w:r>
      <w:r>
        <w:t xml:space="preserve">(Faria 1997; Martine 1996; Perpétuo/Wajnman 1998; Perpétuo/Wong 2009)</w:t>
      </w:r>
      <w:r>
        <w:t xml:space="preserve">.</w:t>
      </w:r>
    </w:p>
    <w:p>
      <w:pPr>
        <w:pStyle w:val="TextBody"/>
      </w:pPr>
      <w:r>
        <w:t xml:space="preserve">Central-West region presented a conjugal CFR transition similar to the one observed for the country as a whole. In this region, male scholing showed a stronger influence for women of lower schooling level of older cohorts. Additionally, as women of the region achieved higher schooling levels, the partner’s educational differentials diminished and CFRs get closer to replacement fertility levels. Younger cohorts exhibit similar CFR values for all educational categories of the partner and converging towards replacement levels.</w:t>
      </w:r>
    </w:p>
    <w:p>
      <w:pPr>
        <w:pStyle w:val="TextBody"/>
      </w:pPr>
      <w:r>
        <w:t xml:space="preserve">North and Northeast regions started their conjugal CFRs transitions from values above 8 children per women for lower educated groups. In these regions, male partner’s fertility differentials were abserved between all educational categories, especially for the transitions from uncompleted to completed primary school categories. The increase of females educational levels in North-Northeast is followed by a reduction of fertility levels but not by a reduction of male partner’s educational differentials.</w:t>
      </w:r>
    </w:p>
    <w:p>
      <w:pPr>
        <w:pStyle w:val="TextBody"/>
      </w:pPr>
      <w:r>
        <w:t xml:space="preserve">We especulate that female reproductive autonomy in these regions are lower or they present lower opportunity costs to reproductive control</w:t>
      </w:r>
      <w:r>
        <w:t xml:space="preserve"> </w:t>
      </w:r>
      <w:r>
        <w:t xml:space="preserve">(Becker 1993; Jejeebhoy 1995)</w:t>
      </w:r>
      <w:r>
        <w:t xml:space="preserve">, and thus, the partner’s education acts as an important driver of fertility levels through a higher involvement of educated males in family planning decisions</w:t>
      </w:r>
      <w:r>
        <w:t xml:space="preserve"> </w:t>
      </w:r>
      <w:r>
        <w:t xml:space="preserve">(Oliveira et al. 2002)</w:t>
      </w:r>
      <w:r>
        <w:t xml:space="preserve">. Furthermore, the converging trends of fertility levels of pairings with lower educated males is weaker in these areas. A possible explanation is that these regions were not completely integrated to the new urban-industrial economy that was established in São Paulo due to theirs export-agricultural roots and ruling local elites</w:t>
      </w:r>
      <w:r>
        <w:t xml:space="preserve"> </w:t>
      </w:r>
      <w:r>
        <w:t xml:space="preserve">(Merrick/Graham 1981; Singer 1973)</w:t>
      </w:r>
      <w:r>
        <w:t xml:space="preserve">. In this sense, we observe lower formal labor market engagement of women in these areas</w:t>
      </w:r>
      <w:r>
        <w:t xml:space="preserve"> </w:t>
      </w:r>
      <w:r>
        <w:t xml:space="preserve">(Barbosa 2014; Gonçalves et al. 2004)</w:t>
      </w:r>
      <w:r>
        <w:t xml:space="preserve"> </w:t>
      </w:r>
      <w:r>
        <w:t xml:space="preserve">which result in lower social constraints to reproduction</w:t>
      </w:r>
      <w:r>
        <w:t xml:space="preserve"> </w:t>
      </w:r>
      <w:r>
        <w:t xml:space="preserve">(Patarra/Oliveira 1988)</w:t>
      </w:r>
      <w:r>
        <w:t xml:space="preserve">. We may say North and Northeast were under influence of a patriarchal family model</w:t>
      </w:r>
      <w:r>
        <w:t xml:space="preserve"> </w:t>
      </w:r>
      <w:r>
        <w:t xml:space="preserve">(Aguiar 2000)</w:t>
      </w:r>
      <w:r>
        <w:t xml:space="preserve"> </w:t>
      </w:r>
      <w:r>
        <w:t xml:space="preserve">with lower participation of women in the public sphere of society which incurred in lower autonomy in family planning and hence in a higher fertility level</w:t>
      </w:r>
      <w:r>
        <w:t xml:space="preserve"> </w:t>
      </w:r>
      <w:r>
        <w:t xml:space="preserve">(Becker 1993; Folbre 1994)</w:t>
      </w:r>
      <w:r>
        <w:t xml:space="preserve">.</w:t>
      </w:r>
    </w:p>
    <w:p>
      <w:pPr>
        <w:pStyle w:val="TextBody"/>
      </w:pPr>
      <w:r>
        <w:t xml:space="preserve">South and Southeast areas started their conjugal cohort fertility transition from lower CFR levels than other areas of the country - less than 6 children per women for least educated groups. Male partner differentials are lower than those observed in other areas even for women with incomplete primary school. We especulate that this is a result of school expansion (reduction of illiteracy) and transition of economic model to the urban-industrial model, centered in São Paulo area, what demanded more educated labor force and female participation in the labor market</w:t>
      </w:r>
      <w:r>
        <w:t xml:space="preserve"> </w:t>
      </w:r>
      <w:r>
        <w:t xml:space="preserve">(Romanelli 1986; Singer 1973)</w:t>
      </w:r>
      <w:r>
        <w:t xml:space="preserve">. As this processes took off in São Paulo state, these areas of the country were the first ones to experience fertility decline due to new rising social norms of urban centers</w:t>
      </w:r>
      <w:r>
        <w:t xml:space="preserve"> </w:t>
      </w:r>
      <w:r>
        <w:t xml:space="preserve">(Guzmán/Rodríguez 1993)</w:t>
      </w:r>
      <w:r>
        <w:t xml:space="preserve">. Moreover, these regions were also influenced by European and Japanese migration streams from 1850 until 1940s</w:t>
      </w:r>
      <w:r>
        <w:t xml:space="preserve"> </w:t>
      </w:r>
      <w:r>
        <w:t xml:space="preserve">(Singer 1973)</w:t>
      </w:r>
      <w:r>
        <w:t xml:space="preserve">, areas where fertility control was already practiced</w:t>
      </w:r>
      <w:r>
        <w:t xml:space="preserve"> </w:t>
      </w:r>
      <w:r>
        <w:t xml:space="preserve">(Coale 1986)</w:t>
      </w:r>
      <w:r>
        <w:t xml:space="preserve">. Finally, younger female cohorts with complete secondary school show below replacement fertility levels independently of the partner’s educational level, once more supporting the argument that education favors female reproductive autonomy</w:t>
      </w:r>
      <w:r>
        <w:t xml:space="preserve"> </w:t>
      </w:r>
      <w:r>
        <w:t xml:space="preserve">(Jejeebhoy 1995)</w:t>
      </w:r>
      <w:r>
        <w:t xml:space="preserve">.</w:t>
      </w:r>
    </w:p>
    <w:p>
      <w:pPr>
        <w:pStyle w:val="TextBody"/>
      </w:pPr>
      <w:r>
        <w:t xml:space="preserve">Next, we will investigate the differences observe between cohort observed differentials. By considering larger intervals of birth cohort groups, we may evaluate compositional effects of educational pairings on fertility transition.</w:t>
      </w:r>
    </w:p>
    <w:p>
      <w:pPr>
        <w:pStyle w:val="Heading2"/>
      </w:pPr>
      <w:bookmarkStart w:id="31" w:name="decomposition-of-cohort-fertility-rates"/>
      <w:r>
        <w:t xml:space="preserve">Decomposition of cohort fertility rates</w:t>
      </w:r>
      <w:bookmarkEnd w:id="31"/>
    </w:p>
    <w:p>
      <w:pPr>
        <w:pStyle w:val="FirstParagraph"/>
      </w:pPr>
      <w:r>
        <w:t xml:space="preserve">Tables 1 to 4 present the composition of educational pairings and estimated CFR of each pairing for female birth cohorts born in 1925-39, 1940-54 and 1955-69 for Brazil and regions.</w:t>
      </w:r>
    </w:p>
    <w:p>
      <w:pPr>
        <w:pStyle w:val="TextBody"/>
      </w:pPr>
      <w:r>
        <w:t xml:space="preserve">[Table 1 about here]</w:t>
      </w:r>
    </w:p>
    <w:p>
      <w:pPr>
        <w:pStyle w:val="TextBody"/>
      </w:pPr>
      <w:r>
        <w:t xml:space="preserve">[Table 2 about here]</w:t>
      </w:r>
    </w:p>
    <w:p>
      <w:pPr>
        <w:pStyle w:val="TextBody"/>
      </w:pPr>
      <w:r>
        <w:t xml:space="preserve">[Table 3 about here]</w:t>
      </w:r>
    </w:p>
    <w:p>
      <w:pPr>
        <w:pStyle w:val="TextBody"/>
      </w:pPr>
      <w:r>
        <w:t xml:space="preserve">[Table 4 about here]</w:t>
      </w:r>
    </w:p>
    <w:p>
      <w:pPr>
        <w:pStyle w:val="TextBody"/>
      </w:pPr>
      <w:r>
        <w:t xml:space="preserve">We verify that educational homogamy fell in all regions due to decreases in prevalence rates of LP-LP educational pairings. Even though educational homogamy within higher educational categories has increased, it was not sufficient to outnumber the decrease in LP-LP educational pairing prevalence. Hence, homogamy was high in the past because of overall lower levels of education of the population</w:t>
      </w:r>
      <w:r>
        <w:t xml:space="preserve"> </w:t>
      </w:r>
      <w:r>
        <w:t xml:space="preserve">(Esteve/McCaa 2007; Ribeiro/Silva 2009)</w:t>
      </w:r>
      <w:r>
        <w:t xml:space="preserve">. Additionally, as women benefited the most from educational expansion</w:t>
      </w:r>
      <w:r>
        <w:t xml:space="preserve"> </w:t>
      </w:r>
      <w:r>
        <w:t xml:space="preserve">(Beltrão/Alves 2009)</w:t>
      </w:r>
      <w:r>
        <w:t xml:space="preserve">, Brazil observed considerable compositional changes in population educaitonal levels</w:t>
      </w:r>
      <w:r>
        <w:t xml:space="preserve"> </w:t>
      </w:r>
      <w:r>
        <w:t xml:space="preserve">(Fígoli 2006)</w:t>
      </w:r>
      <w:r>
        <w:t xml:space="preserve"> </w:t>
      </w:r>
      <w:r>
        <w:t xml:space="preserve">and the prevalence of hipogamic couples rose significantly over the period as hipergamy showed a steady decline</w:t>
      </w:r>
      <w:r>
        <w:t xml:space="preserve"> </w:t>
      </w:r>
      <w:r>
        <w:t xml:space="preserve">(Esteve et al. 2016)</w:t>
      </w:r>
      <w:r>
        <w:t xml:space="preserve">.</w:t>
      </w:r>
    </w:p>
    <w:p>
      <w:pPr>
        <w:pStyle w:val="TextBody"/>
      </w:pPr>
      <w:r>
        <w:t xml:space="preserve">Nevertheless, regions exhibit different trends in educational pairing composition. Central-West region performs similar trends to Brazil, transiting from high lower schooling homogamy to a dispersed profile with higher prevalence of hipogamic couples.</w:t>
      </w:r>
    </w:p>
    <w:p>
      <w:pPr>
        <w:pStyle w:val="TextBody"/>
      </w:pPr>
      <w:r>
        <w:t xml:space="preserve">North-Northeast regions had a slower transition from high low education homogamy rates to higher heterogamy rates. Actually, the lower educated groups still responded for almost 50% of educational pairings for 1955-69 female cohorts. Also, hipogamic couples were already on the rise for intermediate cohorts as females from North-Northeast had overtaken educational levels of men before than other regions</w:t>
      </w:r>
      <w:r>
        <w:t xml:space="preserve"> </w:t>
      </w:r>
      <w:r>
        <w:t xml:space="preserve">(Monteiro da Silva 2019)</w:t>
      </w:r>
      <w:r>
        <w:t xml:space="preserve">. This lagged process of homogamy decrease and the observation of hipogamic couples for older cohorts are the result of regional inequalities of the country. These Northern areas presented a later shift to industrial and service based economy and higher inequality levels. Thus, there was a lower market demand for schooling of the usually male workers of the primary sector whom, due to income inequalities, had few alternatives rather than working in the informal lower paid markets</w:t>
      </w:r>
      <w:r>
        <w:t xml:space="preserve"> </w:t>
      </w:r>
      <w:r>
        <w:t xml:space="preserve">(Merrick/Graham 1981; Romanelli 1986; Wood/Carvalho 1988)</w:t>
      </w:r>
      <w:r>
        <w:t xml:space="preserve">. Therefore, women had easier access to schooling since they usually performed household or professional activities that were more compatible with formal education, such as teacher formation schools</w:t>
      </w:r>
      <w:r>
        <w:t xml:space="preserve"> </w:t>
      </w:r>
      <w:r>
        <w:t xml:space="preserve">(Azevedo/Ferreira 2006; Guedes 2015)</w:t>
      </w:r>
      <w:r>
        <w:t xml:space="preserve">.</w:t>
      </w:r>
    </w:p>
    <w:p>
      <w:pPr>
        <w:pStyle w:val="TextBody"/>
      </w:pPr>
      <w:r>
        <w:t xml:space="preserve">The Southern areas of the country observed the most intense compositional changes in educational pairings. They presented the lowest lower education homogamy levels of the country and a later process of hipogamy increase. These regions benefited the most from educational expansion, and therefore, they observed the highest increase of heterogamic couples’ prevalence rates. The region was the forerunner of the educational expansion due to the industrialization process</w:t>
      </w:r>
      <w:r>
        <w:t xml:space="preserve"> </w:t>
      </w:r>
      <w:r>
        <w:t xml:space="preserve">(Komatsu et al. 2017)</w:t>
      </w:r>
      <w:r>
        <w:t xml:space="preserve">. The industrial labor market is male-dominated and requires technical skills achieved through professional education</w:t>
      </w:r>
      <w:r>
        <w:t xml:space="preserve"> </w:t>
      </w:r>
      <w:r>
        <w:t xml:space="preserve">(Romanelli 1986)</w:t>
      </w:r>
      <w:r>
        <w:t xml:space="preserve">. Hence, this higher educated male population of the Sourthern regions resulted in the later process of hipogamy increase.</w:t>
      </w:r>
    </w:p>
    <w:p>
      <w:pPr>
        <w:pStyle w:val="TextBody"/>
      </w:pPr>
      <w:r>
        <w:t xml:space="preserve">Table 5 present the overall CFR for these three cohorts for each region and also the results of decomposition exercises. In general, for Brazil and its regions, most of the reduction of conjugal CFRs were driven by unobservable effects of rate decline (70%). Most of these rate effects are explanied by the works of</w:t>
      </w:r>
      <w:r>
        <w:t xml:space="preserve"> </w:t>
      </w:r>
      <w:r>
        <w:t xml:space="preserve">Faria (1989)</w:t>
      </w:r>
      <w:r>
        <w:t xml:space="preserve"> </w:t>
      </w:r>
      <w:r>
        <w:t xml:space="preserve">and</w:t>
      </w:r>
      <w:r>
        <w:t xml:space="preserve"> </w:t>
      </w:r>
      <w:r>
        <w:t xml:space="preserve">Martine (1996)</w:t>
      </w:r>
      <w:r>
        <w:t xml:space="preserve">, which we have already mentioned. The remaining 30% of the differences among older and younger cohorts are explained by changes in educational pairing composition. So, a substantial part of the cohort fertility decline of the country occurred as a result of educational expansion and schooling not only for women, but also for men. This compositional effect is concentrated in the reduction of lower education homogamy.</w:t>
      </w:r>
    </w:p>
    <w:p>
      <w:pPr>
        <w:pStyle w:val="TextBody"/>
      </w:pPr>
      <w:r>
        <w:t xml:space="preserve">[Table 5 about here]</w:t>
      </w:r>
    </w:p>
    <w:p>
      <w:pPr>
        <w:pStyle w:val="TextBody"/>
      </w:pPr>
      <w:r>
        <w:t xml:space="preserve">In this sense, male’s educational attainment also contributes for fertility reduction, since more education means more commitment of men to household activities</w:t>
      </w:r>
      <w:r>
        <w:t xml:space="preserve"> </w:t>
      </w:r>
      <w:r>
        <w:t xml:space="preserve">(Esping-Andersen 2009; McDonald 2000)</w:t>
      </w:r>
      <w:r>
        <w:t xml:space="preserve"> </w:t>
      </w:r>
      <w:r>
        <w:t xml:space="preserve">and this lowers contraints to female reproduction and promotes the fulfillment of fertility intentions</w:t>
      </w:r>
      <w:r>
        <w:t xml:space="preserve"> </w:t>
      </w:r>
      <w:r>
        <w:t xml:space="preserve">(Folbre 1994)</w:t>
      </w:r>
      <w:r>
        <w:t xml:space="preserve">. In regions where the education expansion of males lagged in relation to others (North-Northeast), fertility transition was slower and females reproductive autonomy was also weaker due to cultural aspects and prevailing patriarchal social norms of the region in the past</w:t>
      </w:r>
      <w:r>
        <w:t xml:space="preserve"> </w:t>
      </w:r>
      <w:r>
        <w:t xml:space="preserve">(Aguiar 2000; Folbre 1983)</w:t>
      </w:r>
      <w:r>
        <w:t xml:space="preserve">.</w:t>
      </w:r>
    </w:p>
    <w:p>
      <w:pPr>
        <w:pStyle w:val="Heading1"/>
      </w:pPr>
      <w:bookmarkStart w:id="32" w:name="conclusions"/>
      <w:r>
        <w:t xml:space="preserve">Conclusions</w:t>
      </w:r>
      <w:bookmarkEnd w:id="32"/>
    </w:p>
    <w:p>
      <w:pPr>
        <w:pStyle w:val="Heading1"/>
      </w:pPr>
      <w:bookmarkStart w:id="33" w:name="references"/>
      <w:r>
        <w:t xml:space="preserve">References</w:t>
      </w:r>
      <w:bookmarkEnd w:id="33"/>
    </w:p>
    <w:bookmarkStart w:id="151" w:name="refs"/>
    <w:bookmarkStart w:id="34" w:name="ref-adsera2018"/>
    <w:p>
      <w:pPr>
        <w:pStyle w:val="FirstParagraph"/>
      </w:pPr>
      <w:r>
        <w:rPr>
          <w:i/>
        </w:rPr>
        <w:t xml:space="preserve">Adserà, Alícia</w:t>
      </w:r>
      <w:r>
        <w:t xml:space="preserve"> </w:t>
      </w:r>
      <w:r>
        <w:t xml:space="preserve">2018: The future fertility of highly educated women: the role of educational composition shifts and labor market barriers. In: Vienna Yearbook of Population Research 15,1: 19–25.</w:t>
      </w:r>
    </w:p>
    <w:bookmarkEnd w:id="34"/>
    <w:bookmarkStart w:id="35" w:name="ref-aguiar2000"/>
    <w:p>
      <w:pPr>
        <w:pStyle w:val="TextBody"/>
      </w:pPr>
      <w:r>
        <w:rPr>
          <w:i/>
        </w:rPr>
        <w:t xml:space="preserve">Aguiar, Neuma</w:t>
      </w:r>
      <w:r>
        <w:t xml:space="preserve"> </w:t>
      </w:r>
      <w:r>
        <w:t xml:space="preserve">2000: Patriarcado, sociedade e patrimonialismo. In: Sociedade E Estado 15: 303–330.</w:t>
      </w:r>
    </w:p>
    <w:bookmarkEnd w:id="35"/>
    <w:bookmarkStart w:id="36" w:name="ref-alves1994"/>
    <w:p>
      <w:pPr>
        <w:pStyle w:val="TextBody"/>
      </w:pPr>
      <w:r>
        <w:rPr>
          <w:i/>
        </w:rPr>
        <w:t xml:space="preserve">Alves, J. E. D.</w:t>
      </w:r>
      <w:r>
        <w:t xml:space="preserve"> </w:t>
      </w:r>
      <w:r>
        <w:t xml:space="preserve">1994: Transição da fecundidade e relações de gênero no Brasil. PhD thesis. Belo Horizonte: Centro de Desenvolvimento e Planejamento Regional, Universidade Federal de Minas Gerais.</w:t>
      </w:r>
    </w:p>
    <w:bookmarkEnd w:id="36"/>
    <w:bookmarkStart w:id="37" w:name="ref-aries1978"/>
    <w:p>
      <w:pPr>
        <w:pStyle w:val="TextBody"/>
      </w:pPr>
      <w:r>
        <w:rPr>
          <w:i/>
        </w:rPr>
        <w:t xml:space="preserve">Ariès, P.</w:t>
      </w:r>
      <w:r>
        <w:t xml:space="preserve"> </w:t>
      </w:r>
      <w:r>
        <w:t xml:space="preserve">1978: História Social Da Infância E Da Família. Rio de Janeiro: LCT.</w:t>
      </w:r>
    </w:p>
    <w:bookmarkEnd w:id="37"/>
    <w:bookmarkStart w:id="38" w:name="ref-azevedo_ferreira2006"/>
    <w:p>
      <w:pPr>
        <w:pStyle w:val="TextBody"/>
      </w:pPr>
      <w:r>
        <w:rPr>
          <w:i/>
        </w:rPr>
        <w:t xml:space="preserve">Azevedo, Nara; Ferreira, Luiz Otávio</w:t>
      </w:r>
      <w:r>
        <w:t xml:space="preserve"> </w:t>
      </w:r>
      <w:r>
        <w:t xml:space="preserve">2006: Modernização, políticas públicas e sistema de gênero no Brasil: educação e profissionalização feminina entre as décadas de 1920 e 1940. In: Cadernos Pagu 27: 213–254.</w:t>
      </w:r>
    </w:p>
    <w:bookmarkEnd w:id="38"/>
    <w:bookmarkStart w:id="39" w:name="ref-barbosa2014"/>
    <w:p>
      <w:pPr>
        <w:pStyle w:val="TextBody"/>
      </w:pPr>
      <w:r>
        <w:rPr>
          <w:i/>
        </w:rPr>
        <w:t xml:space="preserve">Barbosa, Ana Luiza Neves Holanda</w:t>
      </w:r>
      <w:r>
        <w:t xml:space="preserve"> </w:t>
      </w:r>
      <w:r>
        <w:t xml:space="preserve">2014: Participação Feminina no Mercado de Trabalho Brasileiro. Mercado de Trabalho 57. IPEA, Instituto de Pesquisa Econômica Aplicada.</w:t>
      </w:r>
    </w:p>
    <w:bookmarkEnd w:id="39"/>
    <w:bookmarkStart w:id="41" w:name="ref-barros_etal2000"/>
    <w:p>
      <w:pPr>
        <w:pStyle w:val="TextBody"/>
      </w:pPr>
      <w:r>
        <w:rPr>
          <w:i/>
        </w:rPr>
        <w:t xml:space="preserve">Barros, Ricardo Paes de; Henriques, Ricardo; Mendonça, Rosane</w:t>
      </w:r>
      <w:r>
        <w:t xml:space="preserve"> </w:t>
      </w:r>
      <w:r>
        <w:t xml:space="preserve">2000: Desigualdade e pobreza no Brasil: retrato de uma estabilidade inaceitável. In: Revista Brasileira de Ciências Sociais 15: 123–142. [</w:t>
      </w:r>
      <w:hyperlink r:id="rId40">
        <w:r>
          <w:rPr>
            <w:rStyle w:val="Hyperlink"/>
          </w:rPr>
          <w:t xml:space="preserve">http://www.scielo.br/scielo.php?script=sci_arttext&amp;pid=S0102-69092000000100009&amp;nrm=iso</w:t>
        </w:r>
      </w:hyperlink>
      <w:r>
        <w:t xml:space="preserve">].</w:t>
      </w:r>
    </w:p>
    <w:bookmarkEnd w:id="41"/>
    <w:bookmarkStart w:id="42" w:name="ref-barros_mendonca1995"/>
    <w:p>
      <w:pPr>
        <w:pStyle w:val="TextBody"/>
      </w:pPr>
      <w:r>
        <w:rPr>
          <w:i/>
        </w:rPr>
        <w:t xml:space="preserve">Barros, Ricardo Paes; Mendonça, Rosane Silva Pinto</w:t>
      </w:r>
      <w:r>
        <w:t xml:space="preserve"> </w:t>
      </w:r>
      <w:r>
        <w:t xml:space="preserve">1995: Os Determinantes da desigualdade no Brasil. Textos Para Discussão 377. IPEA, Instituto de Pesquisa Econômica Aplicada.</w:t>
      </w:r>
    </w:p>
    <w:bookmarkEnd w:id="42"/>
    <w:bookmarkStart w:id="43" w:name="ref-becker1993"/>
    <w:p>
      <w:pPr>
        <w:pStyle w:val="TextBody"/>
      </w:pPr>
      <w:r>
        <w:rPr>
          <w:i/>
        </w:rPr>
        <w:t xml:space="preserve">Becker, Gary</w:t>
      </w:r>
      <w:r>
        <w:t xml:space="preserve"> </w:t>
      </w:r>
      <w:r>
        <w:t xml:space="preserve">1993: A treatise on the family. Cambridge, Massachusetts: Harvard University Press.</w:t>
      </w:r>
    </w:p>
    <w:bookmarkEnd w:id="43"/>
    <w:bookmarkStart w:id="44" w:name="ref-beltrao_alves2009"/>
    <w:p>
      <w:pPr>
        <w:pStyle w:val="TextBody"/>
      </w:pPr>
      <w:r>
        <w:rPr>
          <w:i/>
        </w:rPr>
        <w:t xml:space="preserve">Beltrão, Kaizô Iwakami; Alves, José Eustáquio Diniz</w:t>
      </w:r>
      <w:r>
        <w:t xml:space="preserve"> </w:t>
      </w:r>
      <w:r>
        <w:t xml:space="preserve">2009: A reversão do hiato de gênero na educação Brasileira no século XX. In: Cadernos de Pesquisa 39,136: 125–156.</w:t>
      </w:r>
    </w:p>
    <w:bookmarkEnd w:id="44"/>
    <w:bookmarkStart w:id="45" w:name="ref-berquo_cavenaghi2014"/>
    <w:p>
      <w:pPr>
        <w:pStyle w:val="TextBody"/>
      </w:pPr>
      <w:r>
        <w:rPr>
          <w:i/>
        </w:rPr>
        <w:t xml:space="preserve">Berquó, E.; Cavenaghi, S. M.</w:t>
      </w:r>
      <w:r>
        <w:t xml:space="preserve"> </w:t>
      </w:r>
      <w:r>
        <w:t xml:space="preserve">2014: Notas sobre os diferenciais educacionais e econômicos da fecundidade no Brasil. In: Revista Brasileira de Estudos de População 31,2: 471–482.</w:t>
      </w:r>
    </w:p>
    <w:bookmarkEnd w:id="45"/>
    <w:bookmarkStart w:id="46" w:name="ref-besse1999"/>
    <w:p>
      <w:pPr>
        <w:pStyle w:val="TextBody"/>
      </w:pPr>
      <w:r>
        <w:rPr>
          <w:i/>
        </w:rPr>
        <w:t xml:space="preserve">Besse, Susan K.</w:t>
      </w:r>
      <w:r>
        <w:t xml:space="preserve"> </w:t>
      </w:r>
      <w:r>
        <w:t xml:space="preserve">1999: Modernizando a desigualdade: reestruturação da ideologia de gênero no Brasil, 1914-1940. São Paulo: Edusp.</w:t>
      </w:r>
    </w:p>
    <w:bookmarkEnd w:id="46"/>
    <w:bookmarkStart w:id="47" w:name="ref-blau_schwartz1997"/>
    <w:p>
      <w:pPr>
        <w:pStyle w:val="TextBody"/>
      </w:pPr>
      <w:r>
        <w:rPr>
          <w:i/>
        </w:rPr>
        <w:t xml:space="preserve">Blau, Peter M.; Schwartz, Joseph E.</w:t>
      </w:r>
      <w:r>
        <w:t xml:space="preserve"> </w:t>
      </w:r>
      <w:r>
        <w:t xml:space="preserve">1997: Crosscutting Social Circles. New York: Routledge.</w:t>
      </w:r>
    </w:p>
    <w:bookmarkEnd w:id="47"/>
    <w:bookmarkStart w:id="48" w:name="ref-bongaarts2003"/>
    <w:p>
      <w:pPr>
        <w:pStyle w:val="TextBody"/>
      </w:pPr>
      <w:r>
        <w:rPr>
          <w:i/>
        </w:rPr>
        <w:t xml:space="preserve">Bongaarts, John</w:t>
      </w:r>
      <w:r>
        <w:t xml:space="preserve"> </w:t>
      </w:r>
      <w:r>
        <w:t xml:space="preserve">2003: Completing the Fertility Transition in the Developing World: The Role of Educational Differences and Fertility Preferences. In: Population Studies 57,3: 321–335.</w:t>
      </w:r>
    </w:p>
    <w:bookmarkEnd w:id="48"/>
    <w:bookmarkStart w:id="49" w:name="ref-bongaarts_sobotka2012"/>
    <w:p>
      <w:pPr>
        <w:pStyle w:val="TextBody"/>
      </w:pPr>
      <w:r>
        <w:rPr>
          <w:i/>
        </w:rPr>
        <w:t xml:space="preserve">Bongaarts, John; Sobotka, Tomáš</w:t>
      </w:r>
      <w:r>
        <w:t xml:space="preserve"> </w:t>
      </w:r>
      <w:r>
        <w:t xml:space="preserve">2012: A Demographic Explanation for the Recent Rise in European Fertility. In: Population and Development Review 38,1: 83–120.</w:t>
      </w:r>
    </w:p>
    <w:bookmarkEnd w:id="49"/>
    <w:bookmarkStart w:id="50" w:name="ref-brass_etal1968"/>
    <w:p>
      <w:pPr>
        <w:pStyle w:val="TextBody"/>
      </w:pPr>
      <w:r>
        <w:rPr>
          <w:i/>
        </w:rPr>
        <w:t xml:space="preserve">Brass, William et al.</w:t>
      </w:r>
      <w:r>
        <w:t xml:space="preserve"> </w:t>
      </w:r>
      <w:r>
        <w:t xml:space="preserve">1968: Demography of Tropical Africa. Princeton University Press.</w:t>
      </w:r>
    </w:p>
    <w:bookmarkEnd w:id="50"/>
    <w:bookmarkStart w:id="51" w:name="ref-caldwell2006"/>
    <w:p>
      <w:pPr>
        <w:pStyle w:val="TextBody"/>
      </w:pPr>
      <w:r>
        <w:rPr>
          <w:i/>
        </w:rPr>
        <w:t xml:space="preserve">Caldwell, J. C.</w:t>
      </w:r>
      <w:r>
        <w:t xml:space="preserve"> </w:t>
      </w:r>
      <w:r>
        <w:t xml:space="preserve">2006: The Globalization of Fertility Behaviour. In:</w:t>
      </w:r>
      <w:r>
        <w:t xml:space="preserve"> </w:t>
      </w:r>
      <w:r>
        <w:rPr>
          <w:i/>
        </w:rPr>
        <w:t xml:space="preserve">Caldwell, J. C.</w:t>
      </w:r>
      <w:r>
        <w:t xml:space="preserve"> </w:t>
      </w:r>
      <w:r>
        <w:t xml:space="preserve">(Ed.): Demographic Transition Theory. Dordrecht, The Netherlands: Springer: 249–271.</w:t>
      </w:r>
    </w:p>
    <w:bookmarkEnd w:id="51"/>
    <w:bookmarkStart w:id="52" w:name="ref-caldwell1980"/>
    <w:p>
      <w:pPr>
        <w:pStyle w:val="TextBody"/>
      </w:pPr>
      <w:r>
        <w:rPr>
          <w:i/>
        </w:rPr>
        <w:t xml:space="preserve">Caldwell, J. C.</w:t>
      </w:r>
      <w:r>
        <w:t xml:space="preserve"> </w:t>
      </w:r>
      <w:r>
        <w:t xml:space="preserve">1980: Mass Education as a Determinant of the Timing of Fertility Decline. In: Population and Development Review 2,6: 225–255.</w:t>
      </w:r>
    </w:p>
    <w:bookmarkEnd w:id="52"/>
    <w:bookmarkStart w:id="53" w:name="ref-carvalho_brito2005"/>
    <w:p>
      <w:pPr>
        <w:pStyle w:val="TextBody"/>
      </w:pPr>
      <w:r>
        <w:rPr>
          <w:i/>
        </w:rPr>
        <w:t xml:space="preserve">Carvalho, J. A. M.; Brito, F.</w:t>
      </w:r>
      <w:r>
        <w:t xml:space="preserve"> </w:t>
      </w:r>
      <w:r>
        <w:t xml:space="preserve">2005: A demografia Brasileira e o declínio da fecundidade no Brasil: contribuições, equívocos e silêncios. In: Revista Brasileira de Estudos de População 22,2: 351–369.</w:t>
      </w:r>
    </w:p>
    <w:bookmarkEnd w:id="53"/>
    <w:bookmarkStart w:id="54" w:name="ref-carvalho_wong1992"/>
    <w:p>
      <w:pPr>
        <w:pStyle w:val="TextBody"/>
      </w:pPr>
      <w:r>
        <w:rPr>
          <w:i/>
        </w:rPr>
        <w:t xml:space="preserve">Carvalho, J. A. M.; Wong, L. R.</w:t>
      </w:r>
      <w:r>
        <w:t xml:space="preserve"> </w:t>
      </w:r>
      <w:r>
        <w:t xml:space="preserve">1992: La transición de la fecundidad en Brasil: causas y consecuencias. In: Notas de Población.</w:t>
      </w:r>
    </w:p>
    <w:bookmarkEnd w:id="54"/>
    <w:bookmarkStart w:id="55" w:name="ref-castanheira_kohler2015"/>
    <w:p>
      <w:pPr>
        <w:pStyle w:val="TextBody"/>
      </w:pPr>
      <w:r>
        <w:rPr>
          <w:i/>
        </w:rPr>
        <w:t xml:space="preserve">Castanheira, H. C.; Kohler, H. P.</w:t>
      </w:r>
      <w:r>
        <w:t xml:space="preserve"> </w:t>
      </w:r>
      <w:r>
        <w:t xml:space="preserve">2015: It is Lower Than You Think it is: Recent Total Fertility Rates in Brazil and Possibly Other Latin American Countries. In: PSC Working PaperSeries 63.</w:t>
      </w:r>
    </w:p>
    <w:bookmarkEnd w:id="55"/>
    <w:bookmarkStart w:id="56" w:name="ref-castanheira_kohler2017"/>
    <w:p>
      <w:pPr>
        <w:pStyle w:val="TextBody"/>
      </w:pPr>
      <w:r>
        <w:rPr>
          <w:i/>
        </w:rPr>
        <w:t xml:space="preserve">Castanheira, Helena Cruz; Kohler, Hans-Peter</w:t>
      </w:r>
      <w:r>
        <w:t xml:space="preserve"> </w:t>
      </w:r>
      <w:r>
        <w:t xml:space="preserve">2017: Social Determinants of Low Fertility in Brazil. In: Journal of Biosocial Science 49,S1: S131–S155.</w:t>
      </w:r>
    </w:p>
    <w:bookmarkEnd w:id="56"/>
    <w:bookmarkStart w:id="57" w:name="ref-castro1998"/>
    <w:p>
      <w:pPr>
        <w:pStyle w:val="TextBody"/>
      </w:pPr>
      <w:r>
        <w:rPr>
          <w:i/>
        </w:rPr>
        <w:t xml:space="preserve">Castro, Maria Helena Guimarães</w:t>
      </w:r>
      <w:r>
        <w:t xml:space="preserve"> </w:t>
      </w:r>
      <w:r>
        <w:t xml:space="preserve">1998: Avaliação do sistema educacional Brasileiro: tendências e perspectivas. Textos Para Discussão CEDEPLAR-UFMG. Instituto Nacional de Estudos e Pesquisas Educacionais (INEP).</w:t>
      </w:r>
    </w:p>
    <w:bookmarkEnd w:id="57"/>
    <w:bookmarkStart w:id="58" w:name="ref-martin_juarez1995"/>
    <w:p>
      <w:pPr>
        <w:pStyle w:val="TextBody"/>
      </w:pPr>
      <w:r>
        <w:rPr>
          <w:i/>
        </w:rPr>
        <w:t xml:space="preserve">Castro-Martin, Teresa; Juarez, Fatima</w:t>
      </w:r>
      <w:r>
        <w:t xml:space="preserve"> </w:t>
      </w:r>
      <w:r>
        <w:t xml:space="preserve">1995: The Impact of Women’s Education on Fertility in Latin America: Searching for Explanations. In: International Family Planning Perspectives 2,21: 52–57.</w:t>
      </w:r>
    </w:p>
    <w:bookmarkEnd w:id="58"/>
    <w:bookmarkStart w:id="59" w:name="ref-chackiel_schkolnik2003"/>
    <w:p>
      <w:pPr>
        <w:pStyle w:val="TextBody"/>
      </w:pPr>
      <w:r>
        <w:rPr>
          <w:i/>
        </w:rPr>
        <w:t xml:space="preserve">Chackiel, J.; Schkolnik, S.</w:t>
      </w:r>
      <w:r>
        <w:t xml:space="preserve"> </w:t>
      </w:r>
      <w:r>
        <w:t xml:space="preserve">2003: América Latina: los sectores rezagados en la transición de la fecundidad. In:</w:t>
      </w:r>
      <w:r>
        <w:t xml:space="preserve"> </w:t>
      </w:r>
      <w:r>
        <w:rPr>
          <w:i/>
        </w:rPr>
        <w:t xml:space="preserve">Unidas, Naciones</w:t>
      </w:r>
      <w:r>
        <w:t xml:space="preserve"> </w:t>
      </w:r>
      <w:r>
        <w:t xml:space="preserve">(Ed.): La fecundidad en América Latina: ¿Transición o revolución? Serie Seminarios y Conferencias. Santiago, Chile: 51–74.</w:t>
      </w:r>
    </w:p>
    <w:bookmarkEnd w:id="59"/>
    <w:bookmarkStart w:id="60" w:name="ref-cleland_wilson1987"/>
    <w:p>
      <w:pPr>
        <w:pStyle w:val="TextBody"/>
      </w:pPr>
      <w:r>
        <w:rPr>
          <w:i/>
        </w:rPr>
        <w:t xml:space="preserve">Cleland, John; Wilson, Christopher</w:t>
      </w:r>
      <w:r>
        <w:t xml:space="preserve"> </w:t>
      </w:r>
      <w:r>
        <w:t xml:space="preserve">1987: Demand Theories of the Fertility Transition: An Iconoclastic View. In: Population Studies 41,1: 5–30.</w:t>
      </w:r>
    </w:p>
    <w:bookmarkEnd w:id="60"/>
    <w:bookmarkStart w:id="61" w:name="ref-coale1986"/>
    <w:p>
      <w:pPr>
        <w:pStyle w:val="TextBody"/>
      </w:pPr>
      <w:r>
        <w:rPr>
          <w:i/>
        </w:rPr>
        <w:t xml:space="preserve">Coale, Ansley J.</w:t>
      </w:r>
      <w:r>
        <w:t xml:space="preserve"> </w:t>
      </w:r>
      <w:r>
        <w:t xml:space="preserve">1986: The Decline of Fertility in Europe since the Eighteenth Century as a Chapter in Human Demographic History. In:</w:t>
      </w:r>
      <w:r>
        <w:t xml:space="preserve"> </w:t>
      </w:r>
      <w:r>
        <w:rPr>
          <w:i/>
        </w:rPr>
        <w:t xml:space="preserve">Coale, Ansley J.</w:t>
      </w:r>
      <w:r>
        <w:t xml:space="preserve">;</w:t>
      </w:r>
      <w:r>
        <w:t xml:space="preserve"> </w:t>
      </w:r>
      <w:r>
        <w:rPr>
          <w:i/>
        </w:rPr>
        <w:t xml:space="preserve">Watkins, Susan Cotts</w:t>
      </w:r>
      <w:r>
        <w:t xml:space="preserve"> </w:t>
      </w:r>
      <w:r>
        <w:t xml:space="preserve">(Eds.): The Decline of Fertility in Europe. Princeton University Press: 1–30.</w:t>
      </w:r>
    </w:p>
    <w:bookmarkEnd w:id="61"/>
    <w:bookmarkStart w:id="63" w:name="ref-dasgupta1993"/>
    <w:p>
      <w:pPr>
        <w:pStyle w:val="TextBody"/>
      </w:pPr>
      <w:r>
        <w:rPr>
          <w:i/>
        </w:rPr>
        <w:t xml:space="preserve">Das Gupta, Prithwis</w:t>
      </w:r>
      <w:r>
        <w:t xml:space="preserve"> </w:t>
      </w:r>
      <w:r>
        <w:t xml:space="preserve">1993: Standardization and Decomposition of Rates: A User’s Manual. P23-186. United States Census Bureau. [</w:t>
      </w:r>
      <w:hyperlink r:id="rId62">
        <w:r>
          <w:rPr>
            <w:rStyle w:val="Hyperlink"/>
          </w:rPr>
          <w:t xml:space="preserve">https://www.census.gov/library/publications/1993/demo/p23-186.html</w:t>
        </w:r>
      </w:hyperlink>
      <w:r>
        <w:t xml:space="preserve">].</w:t>
      </w:r>
    </w:p>
    <w:bookmarkEnd w:id="63"/>
    <w:bookmarkStart w:id="64" w:name="ref-eckland1968"/>
    <w:p>
      <w:pPr>
        <w:pStyle w:val="TextBody"/>
      </w:pPr>
      <w:r>
        <w:rPr>
          <w:i/>
        </w:rPr>
        <w:t xml:space="preserve">Eckland, Bruce K.</w:t>
      </w:r>
      <w:r>
        <w:t xml:space="preserve"> </w:t>
      </w:r>
      <w:r>
        <w:t xml:space="preserve">1968: Theories of mate selection. In: Eugenics Quarterly 15,2: 71–84.</w:t>
      </w:r>
    </w:p>
    <w:bookmarkEnd w:id="64"/>
    <w:bookmarkStart w:id="65" w:name="ref-england2010"/>
    <w:p>
      <w:pPr>
        <w:pStyle w:val="TextBody"/>
      </w:pPr>
      <w:r>
        <w:rPr>
          <w:i/>
        </w:rPr>
        <w:t xml:space="preserve">England, Paula</w:t>
      </w:r>
      <w:r>
        <w:t xml:space="preserve"> </w:t>
      </w:r>
      <w:r>
        <w:t xml:space="preserve">2010: The Gender Revolution: Uneven and Stalled. In: Gender and Society 24,2: 149–166.</w:t>
      </w:r>
    </w:p>
    <w:bookmarkEnd w:id="65"/>
    <w:bookmarkStart w:id="66" w:name="ref-esping-andersen2009"/>
    <w:p>
      <w:pPr>
        <w:pStyle w:val="TextBody"/>
      </w:pPr>
      <w:r>
        <w:rPr>
          <w:i/>
        </w:rPr>
        <w:t xml:space="preserve">Esping-Andersen, G.</w:t>
      </w:r>
      <w:r>
        <w:t xml:space="preserve"> </w:t>
      </w:r>
      <w:r>
        <w:t xml:space="preserve">2009: Incomplete Revolution: Adapting Welfare States to Women’s New Roles. Cambridge: Polity Press.</w:t>
      </w:r>
    </w:p>
    <w:bookmarkEnd w:id="66"/>
    <w:bookmarkStart w:id="67" w:name="ref-esteve_etal2012_1"/>
    <w:p>
      <w:pPr>
        <w:pStyle w:val="TextBody"/>
      </w:pPr>
      <w:r>
        <w:rPr>
          <w:i/>
        </w:rPr>
        <w:t xml:space="preserve">Esteve, A.; Garcia-Román, J.; Permanyer, I.</w:t>
      </w:r>
      <w:r>
        <w:t xml:space="preserve"> </w:t>
      </w:r>
      <w:r>
        <w:t xml:space="preserve">2012: The gender-gap reversal in education and its effect on union formation: The end of hypergamy? In: Population and Development Review 3,38: 535–546.</w:t>
      </w:r>
    </w:p>
    <w:bookmarkEnd w:id="67"/>
    <w:bookmarkStart w:id="68" w:name="ref-esteve_mcaa2007"/>
    <w:p>
      <w:pPr>
        <w:pStyle w:val="TextBody"/>
      </w:pPr>
      <w:r>
        <w:rPr>
          <w:i/>
        </w:rPr>
        <w:t xml:space="preserve">Esteve, Albert; McCaa, Robert</w:t>
      </w:r>
      <w:r>
        <w:t xml:space="preserve"> </w:t>
      </w:r>
      <w:r>
        <w:t xml:space="preserve">2007: Homogamia educacional en México y Brasil, 1970-2000: Pautas y tendencias. In: Latin American Research Review 42,2: 56–85.</w:t>
      </w:r>
    </w:p>
    <w:bookmarkEnd w:id="68"/>
    <w:bookmarkStart w:id="69" w:name="ref-esteve_etal2016"/>
    <w:p>
      <w:pPr>
        <w:pStyle w:val="TextBody"/>
      </w:pPr>
      <w:r>
        <w:rPr>
          <w:i/>
        </w:rPr>
        <w:t xml:space="preserve">Esteve, Albert et al.</w:t>
      </w:r>
      <w:r>
        <w:t xml:space="preserve"> </w:t>
      </w:r>
      <w:r>
        <w:t xml:space="preserve">2016: The End of Hypergamy: Global Trends and Implications. In: Population and Development Review 42,4: 615–625.</w:t>
      </w:r>
    </w:p>
    <w:bookmarkEnd w:id="69"/>
    <w:bookmarkStart w:id="70" w:name="ref-esteve_sobek2003"/>
    <w:p>
      <w:pPr>
        <w:pStyle w:val="TextBody"/>
      </w:pPr>
      <w:r>
        <w:rPr>
          <w:i/>
        </w:rPr>
        <w:t xml:space="preserve">Esteve, Albert; Sobek, Matthew</w:t>
      </w:r>
      <w:r>
        <w:t xml:space="preserve"> </w:t>
      </w:r>
      <w:r>
        <w:t xml:space="preserve">2003: Challenges and Methods of International Census Harmonization. In: Historical Methods: A Journal of Quantitative and Interdisciplinary History 36,2: 66–79.</w:t>
      </w:r>
    </w:p>
    <w:bookmarkEnd w:id="70"/>
    <w:bookmarkStart w:id="71" w:name="ref-esteve_etal2012_2"/>
    <w:p>
      <w:pPr>
        <w:pStyle w:val="TextBody"/>
      </w:pPr>
      <w:r>
        <w:rPr>
          <w:i/>
        </w:rPr>
        <w:t xml:space="preserve">Esteve, A.; Lesthaeghe, R.; López-Gay, A.</w:t>
      </w:r>
      <w:r>
        <w:t xml:space="preserve"> </w:t>
      </w:r>
      <w:r>
        <w:t xml:space="preserve">2012: The Latin American cohabitation boom, 1970–2007. In: Population and Development Review 38,1: 55–81.</w:t>
      </w:r>
    </w:p>
    <w:bookmarkEnd w:id="71"/>
    <w:bookmarkStart w:id="72" w:name="ref-faria1989"/>
    <w:p>
      <w:pPr>
        <w:pStyle w:val="TextBody"/>
      </w:pPr>
      <w:r>
        <w:rPr>
          <w:i/>
        </w:rPr>
        <w:t xml:space="preserve">Faria, V. E.</w:t>
      </w:r>
      <w:r>
        <w:t xml:space="preserve"> </w:t>
      </w:r>
      <w:r>
        <w:t xml:space="preserve">1989: Políticas de governo e regulação da fecundidade: Consequências não antecipadas e efeitos perversos. In: Ciências Sociais Hoje 5: 62–103.</w:t>
      </w:r>
    </w:p>
    <w:bookmarkEnd w:id="72"/>
    <w:bookmarkStart w:id="73" w:name="ref-faria1997"/>
    <w:p>
      <w:pPr>
        <w:pStyle w:val="TextBody"/>
      </w:pPr>
      <w:r>
        <w:rPr>
          <w:i/>
        </w:rPr>
        <w:t xml:space="preserve">Faria, Vilmar E.</w:t>
      </w:r>
      <w:r>
        <w:t xml:space="preserve"> </w:t>
      </w:r>
      <w:r>
        <w:t xml:space="preserve">1997: Government policy and fertility regulation: unintended consequences and perverse effects. In: Revista Brasileira de Estudos de População 1: 179–205.</w:t>
      </w:r>
    </w:p>
    <w:bookmarkEnd w:id="73"/>
    <w:bookmarkStart w:id="74" w:name="ref-faria_potter1999"/>
    <w:p>
      <w:pPr>
        <w:pStyle w:val="TextBody"/>
      </w:pPr>
      <w:r>
        <w:rPr>
          <w:i/>
        </w:rPr>
        <w:t xml:space="preserve">Faria, Vilmar E.; Potter, J. E.</w:t>
      </w:r>
      <w:r>
        <w:t xml:space="preserve"> </w:t>
      </w:r>
      <w:r>
        <w:t xml:space="preserve">1999: Television, Telenovelas, and Fertility change in North-East Brazil. In:</w:t>
      </w:r>
      <w:r>
        <w:t xml:space="preserve"> </w:t>
      </w:r>
      <w:r>
        <w:rPr>
          <w:i/>
        </w:rPr>
        <w:t xml:space="preserve">Leete, Richard</w:t>
      </w:r>
      <w:r>
        <w:t xml:space="preserve"> </w:t>
      </w:r>
      <w:r>
        <w:t xml:space="preserve">(Ed.): Dynamics of Values in Fertility Change. Oxford: Oxford University Press.</w:t>
      </w:r>
    </w:p>
    <w:bookmarkEnd w:id="74"/>
    <w:bookmarkStart w:id="75" w:name="ref-figoli2006"/>
    <w:p>
      <w:pPr>
        <w:pStyle w:val="TextBody"/>
      </w:pPr>
      <w:r>
        <w:rPr>
          <w:i/>
        </w:rPr>
        <w:t xml:space="preserve">Fígoli, Moema Gonçalves Bueno</w:t>
      </w:r>
      <w:r>
        <w:t xml:space="preserve"> </w:t>
      </w:r>
      <w:r>
        <w:t xml:space="preserve">2006: Evolução da educação no Brasil: uma análise das taxas entre 1970 e 2000 segundo o grau da última série concluída. In: Revista Brasileira de Estudos de População 23,1: 129–150.</w:t>
      </w:r>
    </w:p>
    <w:bookmarkEnd w:id="75"/>
    <w:bookmarkStart w:id="76" w:name="ref-folbre1994"/>
    <w:p>
      <w:pPr>
        <w:pStyle w:val="TextBody"/>
      </w:pPr>
      <w:r>
        <w:rPr>
          <w:i/>
        </w:rPr>
        <w:t xml:space="preserve">Folbre, N.</w:t>
      </w:r>
      <w:r>
        <w:t xml:space="preserve"> </w:t>
      </w:r>
      <w:r>
        <w:t xml:space="preserve">1994: Who Pays for the Kids? Gender and the Structures of Constraint. New York: Routledge.</w:t>
      </w:r>
    </w:p>
    <w:bookmarkEnd w:id="76"/>
    <w:bookmarkStart w:id="77" w:name="ref-folbre1983"/>
    <w:p>
      <w:pPr>
        <w:pStyle w:val="TextBody"/>
      </w:pPr>
      <w:r>
        <w:rPr>
          <w:i/>
        </w:rPr>
        <w:t xml:space="preserve">Folbre, Nancy</w:t>
      </w:r>
      <w:r>
        <w:t xml:space="preserve"> </w:t>
      </w:r>
      <w:r>
        <w:t xml:space="preserve">1983: Of Patriarchy Born: The Political Economy of Fertility Decisions. In: Feminist Studies 9,2: 261–284. Feminist Studies, Inc.</w:t>
      </w:r>
    </w:p>
    <w:bookmarkEnd w:id="77"/>
    <w:bookmarkStart w:id="78" w:name="ref-godinho_etal2006"/>
    <w:p>
      <w:pPr>
        <w:pStyle w:val="TextBody"/>
      </w:pPr>
      <w:r>
        <w:rPr>
          <w:i/>
        </w:rPr>
        <w:t xml:space="preserve">Godinho, Tatau et al.</w:t>
      </w:r>
      <w:r>
        <w:t xml:space="preserve"> </w:t>
      </w:r>
      <w:r>
        <w:t xml:space="preserve">2006: Trajetória da Mulher na Educação Brasileira, 1996-2003. Brasília: Inep/MEC – Instituto Nacional de Estudos e Pesquisas Educacionais Anísio Teixeira.</w:t>
      </w:r>
    </w:p>
    <w:bookmarkEnd w:id="78"/>
    <w:bookmarkStart w:id="79" w:name="ref-goldin2006"/>
    <w:p>
      <w:pPr>
        <w:pStyle w:val="TextBody"/>
      </w:pPr>
      <w:r>
        <w:rPr>
          <w:i/>
        </w:rPr>
        <w:t xml:space="preserve">Goldin, Claudia</w:t>
      </w:r>
      <w:r>
        <w:t xml:space="preserve"> </w:t>
      </w:r>
      <w:r>
        <w:t xml:space="preserve">2006: The Quiet Revolution That Transformed Women’s Employment, Education, and Family. In: American Economic Review 96,2: 1–21.</w:t>
      </w:r>
    </w:p>
    <w:bookmarkEnd w:id="79"/>
    <w:bookmarkStart w:id="80" w:name="ref-goldin_katz2002"/>
    <w:p>
      <w:pPr>
        <w:pStyle w:val="TextBody"/>
      </w:pPr>
      <w:r>
        <w:rPr>
          <w:i/>
        </w:rPr>
        <w:t xml:space="preserve">Goldin, Claudia; Katz, Lawrence F.</w:t>
      </w:r>
      <w:r>
        <w:t xml:space="preserve"> </w:t>
      </w:r>
      <w:r>
        <w:t xml:space="preserve">2002: The power of the pill: Oral contraceptives and women’s career and marriage decisions. In: Journal of Political Economy 110,4: 730–770.</w:t>
      </w:r>
    </w:p>
    <w:bookmarkEnd w:id="80"/>
    <w:bookmarkStart w:id="81" w:name="ref-goldscheider_etal2015"/>
    <w:p>
      <w:pPr>
        <w:pStyle w:val="TextBody"/>
      </w:pPr>
      <w:r>
        <w:rPr>
          <w:i/>
        </w:rPr>
        <w:t xml:space="preserve">Goldscheider, Frances; Bernhardt, Eva; Lappegård, Trude</w:t>
      </w:r>
      <w:r>
        <w:t xml:space="preserve"> </w:t>
      </w:r>
      <w:r>
        <w:t xml:space="preserve">2015: The Gender Revolution: A Framework for Understanding Changing Family and Demographic Behavior. In: Population and Development Review 41,2: 207–239.</w:t>
      </w:r>
    </w:p>
    <w:bookmarkEnd w:id="81"/>
    <w:bookmarkStart w:id="82" w:name="ref-goldscheider_kaufman1996"/>
    <w:p>
      <w:pPr>
        <w:pStyle w:val="TextBody"/>
      </w:pPr>
      <w:r>
        <w:rPr>
          <w:i/>
        </w:rPr>
        <w:t xml:space="preserve">Goldscheider, Frances K.; Kaufman, Gayle</w:t>
      </w:r>
      <w:r>
        <w:t xml:space="preserve"> </w:t>
      </w:r>
      <w:r>
        <w:t xml:space="preserve">1996: Fertility and Commitment: Bringing Men Back In. In: Population and Development Review 22: 87–99.</w:t>
      </w:r>
    </w:p>
    <w:bookmarkEnd w:id="82"/>
    <w:bookmarkStart w:id="83" w:name="ref-goncalves_etal2004"/>
    <w:p>
      <w:pPr>
        <w:pStyle w:val="TextBody"/>
      </w:pPr>
      <w:r>
        <w:rPr>
          <w:i/>
        </w:rPr>
        <w:t xml:space="preserve">Gonçalves, M.; Perez, E.; Wajnman, S.</w:t>
      </w:r>
      <w:r>
        <w:t xml:space="preserve"> </w:t>
      </w:r>
      <w:r>
        <w:t xml:space="preserve">2004: Taxas de participação (formal e informal) feminina no mercado de trabalho das regiões Sudeste e Nordeste: uma análise a partir das PNADs 1992-2002. In: XIV Encontro Nacional de Estudos Populacionais. Caxambu.</w:t>
      </w:r>
    </w:p>
    <w:bookmarkEnd w:id="83"/>
    <w:bookmarkStart w:id="84" w:name="ref-guedes2015"/>
    <w:p>
      <w:pPr>
        <w:pStyle w:val="TextBody"/>
      </w:pPr>
      <w:r>
        <w:rPr>
          <w:i/>
        </w:rPr>
        <w:t xml:space="preserve">Guedes, Moema Castro</w:t>
      </w:r>
      <w:r>
        <w:t xml:space="preserve"> </w:t>
      </w:r>
      <w:r>
        <w:t xml:space="preserve">2015: Heterogeneização da mão-de-obra feminina: o que mudou no período recente? In: Gênero 15,2: 139–154.</w:t>
      </w:r>
    </w:p>
    <w:bookmarkEnd w:id="84"/>
    <w:bookmarkStart w:id="85" w:name="ref-guzman_rodriguez1993"/>
    <w:p>
      <w:pPr>
        <w:pStyle w:val="TextBody"/>
      </w:pPr>
      <w:r>
        <w:rPr>
          <w:i/>
        </w:rPr>
        <w:t xml:space="preserve">Guzmán, J. M.; Rodríguez, J.</w:t>
      </w:r>
      <w:r>
        <w:t xml:space="preserve"> </w:t>
      </w:r>
      <w:r>
        <w:t xml:space="preserve">1993: La Fecundidad Pre-Transicional en América Latina: Un Capítulo Olvidado. In: Notas de Población 57: 217–235.</w:t>
      </w:r>
    </w:p>
    <w:bookmarkEnd w:id="85"/>
    <w:bookmarkStart w:id="86" w:name="ref-itaborai2016"/>
    <w:p>
      <w:pPr>
        <w:pStyle w:val="TextBody"/>
      </w:pPr>
      <w:r>
        <w:rPr>
          <w:i/>
        </w:rPr>
        <w:t xml:space="preserve">Itaboraí, Nathalie Reis</w:t>
      </w:r>
      <w:r>
        <w:t xml:space="preserve"> </w:t>
      </w:r>
      <w:r>
        <w:t xml:space="preserve">2016: Temporalidades plurais: desigualdades de gênero e classe nos usos do tempo das famílias Brasileiras. In:</w:t>
      </w:r>
      <w:r>
        <w:t xml:space="preserve"> </w:t>
      </w:r>
      <w:r>
        <w:rPr>
          <w:i/>
        </w:rPr>
        <w:t xml:space="preserve">Fontoura, Natália</w:t>
      </w:r>
      <w:r>
        <w:t xml:space="preserve">;</w:t>
      </w:r>
      <w:r>
        <w:t xml:space="preserve"> </w:t>
      </w:r>
      <w:r>
        <w:rPr>
          <w:i/>
        </w:rPr>
        <w:t xml:space="preserve">Araújo, Clara</w:t>
      </w:r>
      <w:r>
        <w:t xml:space="preserve"> </w:t>
      </w:r>
      <w:r>
        <w:t xml:space="preserve">(Eds.): Uso Do Tempo E Gênero. Rio de Janeiro: UERJ, Universidade do Estado do Rio de Janeiro: 101–138.</w:t>
      </w:r>
    </w:p>
    <w:bookmarkEnd w:id="86"/>
    <w:bookmarkStart w:id="87" w:name="ref-itaborai2015"/>
    <w:p>
      <w:pPr>
        <w:pStyle w:val="TextBody"/>
      </w:pPr>
      <w:r>
        <w:rPr>
          <w:i/>
        </w:rPr>
        <w:t xml:space="preserve">Itaboraí, Nathalie Reis</w:t>
      </w:r>
      <w:r>
        <w:t xml:space="preserve"> </w:t>
      </w:r>
      <w:r>
        <w:t xml:space="preserve">2015: Mudanças nas famílias Brasileiras (1976-2012): uma perspectiva de classe e gênero. PhD thesis. Rio de Janeiro: Instituto de Estudos Sociais e Políticos, Universidade do Estado do Rio de Janeiro.</w:t>
      </w:r>
    </w:p>
    <w:bookmarkEnd w:id="87"/>
    <w:bookmarkStart w:id="88" w:name="ref-jejeebhoy1995"/>
    <w:p>
      <w:pPr>
        <w:pStyle w:val="TextBody"/>
      </w:pPr>
      <w:r>
        <w:rPr>
          <w:i/>
        </w:rPr>
        <w:t xml:space="preserve">Jejeebhoy, S.</w:t>
      </w:r>
      <w:r>
        <w:t xml:space="preserve"> </w:t>
      </w:r>
      <w:r>
        <w:t xml:space="preserve">1995: Women’s Education, Autonomy, and Reproductive Behaviour: Experience from Developing Countries. Oxford: Clarendon Press.</w:t>
      </w:r>
    </w:p>
    <w:bookmarkEnd w:id="88"/>
    <w:bookmarkStart w:id="89" w:name="ref-kalmijn1998"/>
    <w:p>
      <w:pPr>
        <w:pStyle w:val="TextBody"/>
      </w:pPr>
      <w:r>
        <w:rPr>
          <w:i/>
        </w:rPr>
        <w:t xml:space="preserve">Kalmijn, Matthijs</w:t>
      </w:r>
      <w:r>
        <w:t xml:space="preserve"> </w:t>
      </w:r>
      <w:r>
        <w:t xml:space="preserve">1998: Intermarriage and Homogamy: Causes, Patterns, Trends. In: Annual Review of Sociology 24,1: 395–421.</w:t>
      </w:r>
    </w:p>
    <w:bookmarkEnd w:id="89"/>
    <w:bookmarkStart w:id="91" w:name="ref-kang2011"/>
    <w:p>
      <w:pPr>
        <w:pStyle w:val="TextBody"/>
      </w:pPr>
      <w:r>
        <w:rPr>
          <w:i/>
        </w:rPr>
        <w:t xml:space="preserve">Kang, Thomas H.</w:t>
      </w:r>
      <w:r>
        <w:t xml:space="preserve"> </w:t>
      </w:r>
      <w:r>
        <w:t xml:space="preserve">2011: Descentralização e financiamento da educação brasileira: uma análise comparativa, 1930-1964. In: Estudos Econômicos (São Paulo) 41,3: 573–598. [</w:t>
      </w:r>
      <w:hyperlink r:id="rId90">
        <w:r>
          <w:rPr>
            <w:rStyle w:val="Hyperlink"/>
          </w:rPr>
          <w:t xml:space="preserve">http://www.scielo.br/scielo.php?script=sci_arttext&amp;pid=S0101-41612011000300004&amp;nrm=iso</w:t>
        </w:r>
      </w:hyperlink>
      <w:r>
        <w:t xml:space="preserve">].</w:t>
      </w:r>
    </w:p>
    <w:bookmarkEnd w:id="91"/>
    <w:bookmarkStart w:id="93" w:name="ref-kang2017"/>
    <w:p>
      <w:pPr>
        <w:pStyle w:val="TextBody"/>
      </w:pPr>
      <w:r>
        <w:rPr>
          <w:i/>
        </w:rPr>
        <w:t xml:space="preserve">Kang, Thomas H.</w:t>
      </w:r>
      <w:r>
        <w:t xml:space="preserve"> </w:t>
      </w:r>
      <w:r>
        <w:t xml:space="preserve">2006: Educação para as elites, financiamento e ensino primário no Brasil, 1930–1964. In: Latin American Research Review 1,52: 35–49. [</w:t>
      </w:r>
      <w:hyperlink r:id="rId92">
        <w:r>
          <w:rPr>
            <w:rStyle w:val="Hyperlink"/>
          </w:rPr>
          <w:t xml:space="preserve">https://doi.org/https://doi.org/10.25222/larr.42</w:t>
        </w:r>
      </w:hyperlink>
      <w:r>
        <w:t xml:space="preserve">].</w:t>
      </w:r>
    </w:p>
    <w:bookmarkEnd w:id="93"/>
    <w:bookmarkStart w:id="94" w:name="ref-komatsu_etal2017"/>
    <w:p>
      <w:pPr>
        <w:pStyle w:val="TextBody"/>
      </w:pPr>
      <w:r>
        <w:rPr>
          <w:i/>
        </w:rPr>
        <w:t xml:space="preserve">Komatsu, Bruno et al.</w:t>
      </w:r>
      <w:r>
        <w:t xml:space="preserve"> </w:t>
      </w:r>
      <w:r>
        <w:t xml:space="preserve">2017:</w:t>
      </w:r>
      <w:r>
        <w:t xml:space="preserve"> </w:t>
      </w:r>
      <w:r>
        <w:t xml:space="preserve"> </w:t>
      </w:r>
      <w:r>
        <w:t xml:space="preserve">A História da Educação e as Origens da Desigualdade Regional no Brasil. Policy Paper 27. Insper (Instituto de Ensino e Pesquisa) - Centro de Políticas Públicas (CPP).</w:t>
      </w:r>
    </w:p>
    <w:bookmarkEnd w:id="94"/>
    <w:bookmarkStart w:id="95" w:name="ref-laferrara_etal2012"/>
    <w:p>
      <w:pPr>
        <w:pStyle w:val="TextBody"/>
      </w:pPr>
      <w:r>
        <w:rPr>
          <w:i/>
        </w:rPr>
        <w:t xml:space="preserve">La Ferrara, Eliana; Chong, Alberto; Duryea, Suzanne</w:t>
      </w:r>
      <w:r>
        <w:t xml:space="preserve"> </w:t>
      </w:r>
      <w:r>
        <w:t xml:space="preserve">2012: Soap Operas and Fertility: Evidence from Brazil. In: American Economic Journal: Applied Economics 4,4: 1–31.</w:t>
      </w:r>
    </w:p>
    <w:bookmarkEnd w:id="95"/>
    <w:bookmarkStart w:id="96" w:name="ref-lam_etal1992"/>
    <w:p>
      <w:pPr>
        <w:pStyle w:val="TextBody"/>
      </w:pPr>
      <w:r>
        <w:rPr>
          <w:i/>
        </w:rPr>
        <w:t xml:space="preserve">Lam, D.; Sedlacek, G.; Duryea, S.</w:t>
      </w:r>
      <w:r>
        <w:t xml:space="preserve"> </w:t>
      </w:r>
      <w:r>
        <w:t xml:space="preserve">1992: Increase in women´s education and fertility decline in Brazil. In: Anais Do VIII Encontro Nacional de Estudos Populacionais 1.</w:t>
      </w:r>
    </w:p>
    <w:bookmarkEnd w:id="96"/>
    <w:bookmarkStart w:id="97" w:name="ref-laplante_etal2015"/>
    <w:p>
      <w:pPr>
        <w:pStyle w:val="TextBody"/>
      </w:pPr>
      <w:r>
        <w:rPr>
          <w:i/>
        </w:rPr>
        <w:t xml:space="preserve">Laplante, B. et al.</w:t>
      </w:r>
      <w:r>
        <w:t xml:space="preserve"> </w:t>
      </w:r>
      <w:r>
        <w:t xml:space="preserve">2015: Childbearing within Marriage and Consensual Union in Latin America, 1980–2010. In: Population and Development Review 1,41: 85–108.</w:t>
      </w:r>
    </w:p>
    <w:bookmarkEnd w:id="97"/>
    <w:bookmarkStart w:id="98" w:name="ref-lima_etal2018"/>
    <w:p>
      <w:pPr>
        <w:pStyle w:val="TextBody"/>
      </w:pPr>
      <w:r>
        <w:rPr>
          <w:i/>
        </w:rPr>
        <w:t xml:space="preserve">Lima, Everton E. C. et al.</w:t>
      </w:r>
      <w:r>
        <w:t xml:space="preserve"> </w:t>
      </w:r>
      <w:r>
        <w:t xml:space="preserve">2018: The Emergence of Bimodal Fertility Profiles in Latin America. In: Population and Development Review 44,4: 723–743.</w:t>
      </w:r>
    </w:p>
    <w:bookmarkEnd w:id="98"/>
    <w:bookmarkStart w:id="100" w:name="ref-lustig_etal2013"/>
    <w:p>
      <w:pPr>
        <w:pStyle w:val="TextBody"/>
      </w:pPr>
      <w:r>
        <w:rPr>
          <w:i/>
        </w:rPr>
        <w:t xml:space="preserve">Lustig, Nora; Lopez-Calva, Luis F.; Ortiz-Juarez, Eduardo</w:t>
      </w:r>
      <w:r>
        <w:t xml:space="preserve"> </w:t>
      </w:r>
      <w:r>
        <w:t xml:space="preserve">2013: Declining Inequality in Latin America in the 2000s: The Cases of Argentina, Brazil, and Mexico. In: World Development 44: 129–141. [</w:t>
      </w:r>
      <w:hyperlink r:id="rId99">
        <w:r>
          <w:rPr>
            <w:rStyle w:val="Hyperlink"/>
          </w:rPr>
          <w:t xml:space="preserve">https://doi.org/https://doi.org/10.1016/j.worlddev.2012.09.013</w:t>
        </w:r>
      </w:hyperlink>
      <w:r>
        <w:t xml:space="preserve">].</w:t>
      </w:r>
    </w:p>
    <w:bookmarkEnd w:id="100"/>
    <w:bookmarkStart w:id="101" w:name="ref-lutz2010"/>
    <w:p>
      <w:pPr>
        <w:pStyle w:val="TextBody"/>
      </w:pPr>
      <w:r>
        <w:rPr>
          <w:i/>
        </w:rPr>
        <w:t xml:space="preserve">Lutz, W.</w:t>
      </w:r>
      <w:r>
        <w:t xml:space="preserve"> </w:t>
      </w:r>
      <w:r>
        <w:t xml:space="preserve">2010: Education will be at the heart of 21st century demography. In: Vienna Yearbook of Population Research 8: 8–16.</w:t>
      </w:r>
    </w:p>
    <w:bookmarkEnd w:id="101"/>
    <w:bookmarkStart w:id="102" w:name="ref-maluf_mott1998"/>
    <w:p>
      <w:pPr>
        <w:pStyle w:val="TextBody"/>
      </w:pPr>
      <w:r>
        <w:rPr>
          <w:i/>
        </w:rPr>
        <w:t xml:space="preserve">Maluf, Marina; Mott, Maria Lúcia</w:t>
      </w:r>
      <w:r>
        <w:t xml:space="preserve"> </w:t>
      </w:r>
      <w:r>
        <w:t xml:space="preserve">1998: Recônditos do mundo feminino. In:</w:t>
      </w:r>
      <w:r>
        <w:t xml:space="preserve"> </w:t>
      </w:r>
      <w:r>
        <w:rPr>
          <w:i/>
        </w:rPr>
        <w:t xml:space="preserve">Novais, Fernando A.</w:t>
      </w:r>
      <w:r>
        <w:t xml:space="preserve"> </w:t>
      </w:r>
      <w:r>
        <w:t xml:space="preserve">(Ed.): História da Vida Privada no Brasil, 3: República: da belle époque à era do rádio. São Paulo: Companhia das Letras: 367–421.</w:t>
      </w:r>
    </w:p>
    <w:bookmarkEnd w:id="102"/>
    <w:bookmarkStart w:id="103" w:name="ref-marcilio2014"/>
    <w:p>
      <w:pPr>
        <w:pStyle w:val="TextBody"/>
      </w:pPr>
      <w:r>
        <w:rPr>
          <w:i/>
        </w:rPr>
        <w:t xml:space="preserve">Marcílio, Maria Luiza</w:t>
      </w:r>
      <w:r>
        <w:t xml:space="preserve"> </w:t>
      </w:r>
      <w:r>
        <w:t xml:space="preserve">2014: História da Escola em São Paulo e no Brasil. São Paulo: Instituto Fernand Braudel de Economia Mundial.</w:t>
      </w:r>
    </w:p>
    <w:bookmarkEnd w:id="103"/>
    <w:bookmarkStart w:id="104" w:name="ref-mare1991"/>
    <w:p>
      <w:pPr>
        <w:pStyle w:val="TextBody"/>
      </w:pPr>
      <w:r>
        <w:rPr>
          <w:i/>
        </w:rPr>
        <w:t xml:space="preserve">Mare, Robert D.</w:t>
      </w:r>
      <w:r>
        <w:t xml:space="preserve"> </w:t>
      </w:r>
      <w:r>
        <w:t xml:space="preserve">1991: Five Decades of Educational Assortative Mating. In: American Sociological Review 56,1: 15–32.</w:t>
      </w:r>
    </w:p>
    <w:bookmarkEnd w:id="104"/>
    <w:bookmarkStart w:id="105" w:name="ref-martine1996"/>
    <w:p>
      <w:pPr>
        <w:pStyle w:val="TextBody"/>
      </w:pPr>
      <w:r>
        <w:rPr>
          <w:i/>
        </w:rPr>
        <w:t xml:space="preserve">Martine, G.</w:t>
      </w:r>
      <w:r>
        <w:t xml:space="preserve"> </w:t>
      </w:r>
      <w:r>
        <w:t xml:space="preserve">1996: Brazil’s Fertility Decline, 1965-95: A Fresh Look at Key Factors. In: Population and Development Review 22,1: 47–75.</w:t>
      </w:r>
    </w:p>
    <w:bookmarkEnd w:id="105"/>
    <w:bookmarkStart w:id="106" w:name="ref-mcdonald2000"/>
    <w:p>
      <w:pPr>
        <w:pStyle w:val="TextBody"/>
      </w:pPr>
      <w:r>
        <w:rPr>
          <w:i/>
        </w:rPr>
        <w:t xml:space="preserve">McDonald, P.</w:t>
      </w:r>
      <w:r>
        <w:t xml:space="preserve"> </w:t>
      </w:r>
      <w:r>
        <w:t xml:space="preserve">2000: Gender Equity in Theories of Fertility Transition. In: Population and Development Review 26,3: 427–439.</w:t>
      </w:r>
    </w:p>
    <w:bookmarkEnd w:id="106"/>
    <w:bookmarkStart w:id="107" w:name="ref-merrick_berquo1983"/>
    <w:p>
      <w:pPr>
        <w:pStyle w:val="TextBody"/>
      </w:pPr>
      <w:r>
        <w:rPr>
          <w:i/>
        </w:rPr>
        <w:t xml:space="preserve">Merrick, T.; Berquó, E.</w:t>
      </w:r>
      <w:r>
        <w:t xml:space="preserve"> </w:t>
      </w:r>
      <w:r>
        <w:t xml:space="preserve">1983: The determinants of Brazil´s recent rapid decline in fertility. Washington: National Academy.</w:t>
      </w:r>
    </w:p>
    <w:bookmarkEnd w:id="107"/>
    <w:bookmarkStart w:id="108" w:name="ref-merrick_graham1981"/>
    <w:p>
      <w:pPr>
        <w:pStyle w:val="TextBody"/>
      </w:pPr>
      <w:r>
        <w:rPr>
          <w:i/>
        </w:rPr>
        <w:t xml:space="preserve">Merrick, T. W.; Graham, D. H.</w:t>
      </w:r>
      <w:r>
        <w:t xml:space="preserve"> </w:t>
      </w:r>
      <w:r>
        <w:t xml:space="preserve">1981: População e Desenvolvimento Econômico no Brasil de 1800 até a atualidade. Rio de Janeiro: Zahar.</w:t>
      </w:r>
    </w:p>
    <w:bookmarkEnd w:id="108"/>
    <w:bookmarkStart w:id="109" w:name="ref-ipums2018"/>
    <w:p>
      <w:pPr>
        <w:pStyle w:val="TextBody"/>
      </w:pPr>
      <w:r>
        <w:rPr>
          <w:i/>
        </w:rPr>
        <w:t xml:space="preserve">Minnesota Population Center</w:t>
      </w:r>
      <w:r>
        <w:t xml:space="preserve"> </w:t>
      </w:r>
      <w:r>
        <w:t xml:space="preserve">2018: Integrated Public Use Microdata Series, International: Version 7.0 [dataset]. Minneapolis, MN: IPUMS.</w:t>
      </w:r>
    </w:p>
    <w:bookmarkEnd w:id="109"/>
    <w:bookmarkStart w:id="111" w:name="ref-monteiro-da-silva2019"/>
    <w:p>
      <w:pPr>
        <w:pStyle w:val="TextBody"/>
      </w:pPr>
      <w:r>
        <w:rPr>
          <w:i/>
        </w:rPr>
        <w:t xml:space="preserve">Monteiro da Silva, José Henrique Costa</w:t>
      </w:r>
      <w:r>
        <w:t xml:space="preserve"> </w:t>
      </w:r>
      <w:r>
        <w:t xml:space="preserve">2019: Fertility and educational pairing in Brazil: a cohort analysis. Master’s thesis. Campinas: Institute of Philosophy; the Humanities, University of Campinas. [</w:t>
      </w:r>
      <w:hyperlink r:id="rId110">
        <w:r>
          <w:rPr>
            <w:rStyle w:val="Hyperlink"/>
          </w:rPr>
          <w:t xml:space="preserve">http://repositorio.unicamp.br/jspui/bitstream/REPOSIP/333826/1/Silva_JoseHenriqueCostaMonteiroDa_M.pdf</w:t>
        </w:r>
      </w:hyperlink>
      <w:r>
        <w:t xml:space="preserve">].</w:t>
      </w:r>
    </w:p>
    <w:bookmarkEnd w:id="111"/>
    <w:bookmarkStart w:id="112" w:name="ref-moultrie_etal2013"/>
    <w:p>
      <w:pPr>
        <w:pStyle w:val="TextBody"/>
      </w:pPr>
      <w:r>
        <w:rPr>
          <w:i/>
        </w:rPr>
        <w:t xml:space="preserve">Moultrie, Tom et al.</w:t>
      </w:r>
      <w:r>
        <w:t xml:space="preserve"> </w:t>
      </w:r>
      <w:r>
        <w:t xml:space="preserve">2013: Tools for Demographic Estimation. Paris: International Union for the Scientific Study of Population (IUSSP).</w:t>
      </w:r>
    </w:p>
    <w:bookmarkEnd w:id="112"/>
    <w:bookmarkStart w:id="113" w:name="ref-myrskyla_etal2011"/>
    <w:p>
      <w:pPr>
        <w:pStyle w:val="TextBody"/>
      </w:pPr>
      <w:r>
        <w:rPr>
          <w:i/>
        </w:rPr>
        <w:t xml:space="preserve">Myrskylä, Mikko; Kohler, Hans-Peter; Billari, Francesco C.</w:t>
      </w:r>
      <w:r>
        <w:t xml:space="preserve"> </w:t>
      </w:r>
      <w:r>
        <w:t xml:space="preserve">2011: High development and fertility: fertility at older reproductive ages and gender equality explain the positive link. MPIDR Working Papers WP-2011-17. Max Planck Institute for Demographic Research, Rostock, Germany.</w:t>
      </w:r>
    </w:p>
    <w:bookmarkEnd w:id="113"/>
    <w:bookmarkStart w:id="114" w:name="ref-neels_etal2017"/>
    <w:p>
      <w:pPr>
        <w:pStyle w:val="TextBody"/>
      </w:pPr>
      <w:r>
        <w:rPr>
          <w:i/>
        </w:rPr>
        <w:t xml:space="preserve">Neels, Karel et al.</w:t>
      </w:r>
      <w:r>
        <w:t xml:space="preserve"> </w:t>
      </w:r>
      <w:r>
        <w:t xml:space="preserve">2017: Rising Educational Participation and the Trend to Later Childbearing. In: Population and Development Review 43,4: 667–693.</w:t>
      </w:r>
    </w:p>
    <w:bookmarkEnd w:id="114"/>
    <w:bookmarkStart w:id="115" w:name="ref-nitsche_etal2018"/>
    <w:p>
      <w:pPr>
        <w:pStyle w:val="TextBody"/>
      </w:pPr>
      <w:r>
        <w:rPr>
          <w:i/>
        </w:rPr>
        <w:t xml:space="preserve">Nitsche, Natalie et al.</w:t>
      </w:r>
      <w:r>
        <w:t xml:space="preserve"> </w:t>
      </w:r>
      <w:r>
        <w:t xml:space="preserve">2018: Partners’ Educational Pairings and Fertility Across Europe. In: Demography 55,4: 1195–1232.</w:t>
      </w:r>
    </w:p>
    <w:bookmarkEnd w:id="115"/>
    <w:bookmarkStart w:id="116" w:name="ref-oliveira1989"/>
    <w:p>
      <w:pPr>
        <w:pStyle w:val="TextBody"/>
      </w:pPr>
      <w:r>
        <w:rPr>
          <w:i/>
        </w:rPr>
        <w:t xml:space="preserve">Oliveira, Maria Coleta F. A.</w:t>
      </w:r>
      <w:r>
        <w:t xml:space="preserve"> </w:t>
      </w:r>
      <w:r>
        <w:t xml:space="preserve">1989: Trabalho, família e condição feminina: considerações sobre a demanda por filhos. In: Revista Brasileira de Estudos de População 6,1: 25–33.</w:t>
      </w:r>
    </w:p>
    <w:bookmarkEnd w:id="116"/>
    <w:bookmarkStart w:id="117" w:name="ref-oliveira_etal1994"/>
    <w:p>
      <w:pPr>
        <w:pStyle w:val="TextBody"/>
      </w:pPr>
      <w:r>
        <w:rPr>
          <w:i/>
        </w:rPr>
        <w:t xml:space="preserve">Oliveira, Maria Coleta F. A.; Bilac, Elizabete D.; Muszkat, Malvina</w:t>
      </w:r>
      <w:r>
        <w:t xml:space="preserve"> </w:t>
      </w:r>
      <w:r>
        <w:t xml:space="preserve">1994: Os Homens, esses desconhecidos... In: Revista Brasileira de Estudos de População 11,1: 89–93.</w:t>
      </w:r>
    </w:p>
    <w:bookmarkEnd w:id="117"/>
    <w:bookmarkStart w:id="118" w:name="ref-oliveira_etal2002"/>
    <w:p>
      <w:pPr>
        <w:pStyle w:val="TextBody"/>
      </w:pPr>
      <w:r>
        <w:rPr>
          <w:i/>
        </w:rPr>
        <w:t xml:space="preserve">Oliveira, Maria Coleta Ferreira Albino; Bilac, Elisabete; Muszkat, Malvina</w:t>
      </w:r>
      <w:r>
        <w:t xml:space="preserve"> </w:t>
      </w:r>
      <w:r>
        <w:t xml:space="preserve">2002: Homens e anticoncepção: duas gerações de camadas médias no Brasil. In: Cahiers Des Amériques Latines 39: 59–82.</w:t>
      </w:r>
    </w:p>
    <w:bookmarkEnd w:id="118"/>
    <w:bookmarkStart w:id="119" w:name="ref-oliveira2007"/>
    <w:p>
      <w:pPr>
        <w:pStyle w:val="TextBody"/>
      </w:pPr>
      <w:r>
        <w:rPr>
          <w:i/>
        </w:rPr>
        <w:t xml:space="preserve">Oliveira, M. C. F. A.</w:t>
      </w:r>
      <w:r>
        <w:t xml:space="preserve"> </w:t>
      </w:r>
      <w:r>
        <w:t xml:space="preserve">2007: O lugar dos homens na reprodução. In:</w:t>
      </w:r>
      <w:r>
        <w:t xml:space="preserve"> </w:t>
      </w:r>
      <w:r>
        <w:rPr>
          <w:i/>
        </w:rPr>
        <w:t xml:space="preserve">Gutiérrez, M. A.</w:t>
      </w:r>
      <w:r>
        <w:t xml:space="preserve"> </w:t>
      </w:r>
      <w:r>
        <w:t xml:space="preserve">(Ed.): Género, Familias Y Trabajo: Rupturas Y Continuidades. Buenos Aires: CLACSO, Consejo Latinoamericano de Ciencias Sociales.</w:t>
      </w:r>
    </w:p>
    <w:bookmarkEnd w:id="119"/>
    <w:bookmarkStart w:id="120" w:name="ref-paiva1987"/>
    <w:p>
      <w:pPr>
        <w:pStyle w:val="TextBody"/>
      </w:pPr>
      <w:r>
        <w:rPr>
          <w:i/>
        </w:rPr>
        <w:t xml:space="preserve">Paiva, P. T. A.</w:t>
      </w:r>
      <w:r>
        <w:t xml:space="preserve"> </w:t>
      </w:r>
      <w:r>
        <w:t xml:space="preserve">1987: O processo de proletarização e a transição da fecundidade no Brasil. In: Revista Brasileira de Economia 41,4: 383–414.</w:t>
      </w:r>
    </w:p>
    <w:bookmarkEnd w:id="120"/>
    <w:bookmarkStart w:id="121" w:name="ref-patarra_oliveira1988"/>
    <w:p>
      <w:pPr>
        <w:pStyle w:val="TextBody"/>
      </w:pPr>
      <w:r>
        <w:rPr>
          <w:i/>
        </w:rPr>
        <w:t xml:space="preserve">Patarra, N. L.; Oliveira, M. C. F. A.</w:t>
      </w:r>
      <w:r>
        <w:t xml:space="preserve"> </w:t>
      </w:r>
      <w:r>
        <w:t xml:space="preserve">1988: Transição, transições. In: VI Encontro Nacional de Estudos Populacionais. Olinda, Pernambuco.</w:t>
      </w:r>
    </w:p>
    <w:bookmarkEnd w:id="121"/>
    <w:bookmarkStart w:id="122" w:name="ref-perpetuo_wanjman1998"/>
    <w:p>
      <w:pPr>
        <w:pStyle w:val="TextBody"/>
      </w:pPr>
      <w:r>
        <w:rPr>
          <w:i/>
        </w:rPr>
        <w:t xml:space="preserve">Perpétuo, I. H. O.; Wajnman, S.</w:t>
      </w:r>
      <w:r>
        <w:t xml:space="preserve"> </w:t>
      </w:r>
      <w:r>
        <w:t xml:space="preserve">1998: Socioeconomic correlates of female sterilization in Brazil. In: CICRED-Isunam Seminar on Poverty, Fertility and Family Planning. Mexico City, Mexico.</w:t>
      </w:r>
    </w:p>
    <w:bookmarkEnd w:id="122"/>
    <w:bookmarkStart w:id="123" w:name="ref-perpetuo_wong2009"/>
    <w:p>
      <w:pPr>
        <w:pStyle w:val="TextBody"/>
      </w:pPr>
      <w:r>
        <w:rPr>
          <w:i/>
        </w:rPr>
        <w:t xml:space="preserve">Perpétuo, I. H. O.; Wong, L. R.</w:t>
      </w:r>
      <w:r>
        <w:t xml:space="preserve"> </w:t>
      </w:r>
      <w:r>
        <w:t xml:space="preserve">2009: Desigualdade socioeconômica na utilização de métodos anticoncepcionais no Brasil: uma análise comparativa com base nas PNDS 1996 e 2006. In:</w:t>
      </w:r>
      <w:r>
        <w:t xml:space="preserve"> </w:t>
      </w:r>
      <w:r>
        <w:rPr>
          <w:i/>
        </w:rPr>
        <w:t xml:space="preserve">CEBRAP</w:t>
      </w:r>
      <w:r>
        <w:t xml:space="preserve"> </w:t>
      </w:r>
      <w:r>
        <w:t xml:space="preserve">(Ed.): Pesquisa Nacional de Demografia E Saúde Da Criança E Da Mulher – Pnds 2006: Dimensões Do Processo Reprodutivo E Da Saúde Da Criança. Brasília: Ministério da Saúde: 85–104.</w:t>
      </w:r>
    </w:p>
    <w:bookmarkEnd w:id="123"/>
    <w:bookmarkStart w:id="124" w:name="ref-potter_etal2010"/>
    <w:p>
      <w:pPr>
        <w:pStyle w:val="TextBody"/>
      </w:pPr>
      <w:r>
        <w:rPr>
          <w:i/>
        </w:rPr>
        <w:t xml:space="preserve">Potter, J. E. et al.</w:t>
      </w:r>
      <w:r>
        <w:t xml:space="preserve"> </w:t>
      </w:r>
      <w:r>
        <w:t xml:space="preserve">2010: Mapping the Timing, Pace, and Scale of the Fertility Transition in Brazil. In: Population and Development Review 36,2: 283–307.</w:t>
      </w:r>
    </w:p>
    <w:bookmarkEnd w:id="124"/>
    <w:bookmarkStart w:id="125" w:name="ref-potter_etal2002"/>
    <w:p>
      <w:pPr>
        <w:pStyle w:val="TextBody"/>
      </w:pPr>
      <w:r>
        <w:rPr>
          <w:i/>
        </w:rPr>
        <w:t xml:space="preserve">Potter, J. E.; Schmertmann, C. P.; Cavenaghi, S.</w:t>
      </w:r>
      <w:r>
        <w:t xml:space="preserve"> </w:t>
      </w:r>
      <w:r>
        <w:t xml:space="preserve">2002: Fertility and Development: Evidence from Brazil. In: Demography 4,39: 739–761.</w:t>
      </w:r>
    </w:p>
    <w:bookmarkEnd w:id="125"/>
    <w:bookmarkStart w:id="126" w:name="ref-ribeiro_silva2009"/>
    <w:p>
      <w:pPr>
        <w:pStyle w:val="TextBody"/>
      </w:pPr>
      <w:r>
        <w:rPr>
          <w:i/>
        </w:rPr>
        <w:t xml:space="preserve">Ribeiro, Carlos Antonio Costa; Silva, Nelson Valle</w:t>
      </w:r>
      <w:r>
        <w:t xml:space="preserve"> </w:t>
      </w:r>
      <w:r>
        <w:t xml:space="preserve">2009: Cor, educação e casamento: tendências da seletividade marital no Brasil, 1960 a 2000. In: Dados - Revista de Ciências Sociais 52: 7–51.</w:t>
      </w:r>
    </w:p>
    <w:bookmarkEnd w:id="126"/>
    <w:bookmarkStart w:id="127" w:name="ref-rios-neto_etal2018"/>
    <w:p>
      <w:pPr>
        <w:pStyle w:val="TextBody"/>
      </w:pPr>
      <w:r>
        <w:rPr>
          <w:i/>
        </w:rPr>
        <w:t xml:space="preserve">Rios-Neto, Eduardo L. G.; Miranda-Ribeiro, Adriana; Miranda-Ribeiro, Paula</w:t>
      </w:r>
      <w:r>
        <w:t xml:space="preserve"> </w:t>
      </w:r>
      <w:r>
        <w:t xml:space="preserve">2018: Fertility Differentials by Education in Brazil: From the Conclusion of Fertility to the Onset of Postponement Transition. In: Population and Development Review 44,3: 489–517.</w:t>
      </w:r>
    </w:p>
    <w:bookmarkEnd w:id="127"/>
    <w:bookmarkStart w:id="128" w:name="ref-romanelli1986"/>
    <w:p>
      <w:pPr>
        <w:pStyle w:val="TextBody"/>
      </w:pPr>
      <w:r>
        <w:rPr>
          <w:i/>
        </w:rPr>
        <w:t xml:space="preserve">Romanelli, Otaíza Oliveira</w:t>
      </w:r>
      <w:r>
        <w:t xml:space="preserve"> </w:t>
      </w:r>
      <w:r>
        <w:t xml:space="preserve">1986: História Da Educação No Brasil (1930/1970). Petrópolis: Editora Vozes.</w:t>
      </w:r>
    </w:p>
    <w:bookmarkEnd w:id="128"/>
    <w:bookmarkStart w:id="129" w:name="ref-bixby_etal2009"/>
    <w:p>
      <w:pPr>
        <w:pStyle w:val="TextBody"/>
      </w:pPr>
      <w:r>
        <w:rPr>
          <w:i/>
        </w:rPr>
        <w:t xml:space="preserve">Rosero-Bixby, L.; Castro-Martin, T.; Martin-Garcia, T.</w:t>
      </w:r>
      <w:r>
        <w:t xml:space="preserve"> </w:t>
      </w:r>
      <w:r>
        <w:t xml:space="preserve">2009: Is Latin America starting to retreat from early and universal childbearing? In: Demographic Research 20: 169–194.</w:t>
      </w:r>
    </w:p>
    <w:bookmarkEnd w:id="129"/>
    <w:bookmarkStart w:id="130" w:name="ref-ryder1965"/>
    <w:p>
      <w:pPr>
        <w:pStyle w:val="TextBody"/>
      </w:pPr>
      <w:r>
        <w:rPr>
          <w:i/>
        </w:rPr>
        <w:t xml:space="preserve">Ryder, Norman B.</w:t>
      </w:r>
      <w:r>
        <w:t xml:space="preserve"> </w:t>
      </w:r>
      <w:r>
        <w:t xml:space="preserve">1965: The Cohort as a Concept in the Study of Social Change. In: American Sociological Review 30,6: 843–861.</w:t>
      </w:r>
    </w:p>
    <w:bookmarkEnd w:id="130"/>
    <w:bookmarkStart w:id="132" w:name="ref-schoumaker2019"/>
    <w:p>
      <w:pPr>
        <w:pStyle w:val="TextBody"/>
      </w:pPr>
      <w:r>
        <w:rPr>
          <w:i/>
        </w:rPr>
        <w:t xml:space="preserve">Schoumaker, Bruno</w:t>
      </w:r>
      <w:r>
        <w:t xml:space="preserve"> </w:t>
      </w:r>
      <w:r>
        <w:t xml:space="preserve">2019: Male Fertility Around the World and over Time: How Different Is It from Female Fertility? In: Population and Development Review 45,3: 459–487. [</w:t>
      </w:r>
      <w:hyperlink r:id="rId131">
        <w:r>
          <w:rPr>
            <w:rStyle w:val="Hyperlink"/>
          </w:rPr>
          <w:t xml:space="preserve">https://doi.org/10.1111/padr.12273</w:t>
        </w:r>
      </w:hyperlink>
      <w:r>
        <w:t xml:space="preserve">].</w:t>
      </w:r>
    </w:p>
    <w:bookmarkEnd w:id="132"/>
    <w:bookmarkStart w:id="133" w:name="ref-scorzafave2001"/>
    <w:p>
      <w:pPr>
        <w:pStyle w:val="TextBody"/>
      </w:pPr>
      <w:r>
        <w:rPr>
          <w:i/>
        </w:rPr>
        <w:t xml:space="preserve">Scorzafave, L. G.; Menezes-Filho, N. A.</w:t>
      </w:r>
      <w:r>
        <w:t xml:space="preserve"> </w:t>
      </w:r>
      <w:r>
        <w:t xml:space="preserve">2001: Participação feminina no mercado de trabalho Brasileiro: evolução e determinantes. In: Pesquisa E Planejamento Econômico 31,3.</w:t>
      </w:r>
    </w:p>
    <w:bookmarkEnd w:id="133"/>
    <w:bookmarkStart w:id="135" w:name="ref-silva_etal2016"/>
    <w:p>
      <w:pPr>
        <w:pStyle w:val="TextBody"/>
      </w:pPr>
      <w:r>
        <w:rPr>
          <w:i/>
        </w:rPr>
        <w:t xml:space="preserve">Silva, Lariça Emiliano da; Freire, Flávio Henrique Miranda de Araújo; Pereira, Rafael Henrique Moraes</w:t>
      </w:r>
      <w:r>
        <w:t xml:space="preserve"> </w:t>
      </w:r>
      <w:r>
        <w:t xml:space="preserve">2016: Diferenciais de mortalidade por escolaridade da população adulta brasileira, em 2010. In: Cadernos de Saúde Pública 32. [</w:t>
      </w:r>
      <w:hyperlink r:id="rId134">
        <w:r>
          <w:rPr>
            <w:rStyle w:val="Hyperlink"/>
          </w:rPr>
          <w:t xml:space="preserve">http://www.scielo.br/scielo.php?script=sci_arttext&amp;pid=S0102-311X2016000400709&amp;nrm=iso</w:t>
        </w:r>
      </w:hyperlink>
      <w:r>
        <w:t xml:space="preserve">].</w:t>
      </w:r>
    </w:p>
    <w:bookmarkEnd w:id="135"/>
    <w:bookmarkStart w:id="136" w:name="ref-singer1973"/>
    <w:p>
      <w:pPr>
        <w:pStyle w:val="TextBody"/>
      </w:pPr>
      <w:r>
        <w:rPr>
          <w:i/>
        </w:rPr>
        <w:t xml:space="preserve">Singer, Paul</w:t>
      </w:r>
      <w:r>
        <w:t xml:space="preserve"> </w:t>
      </w:r>
      <w:r>
        <w:t xml:space="preserve">1973: Economia Política da Urbanização. São Paulo: Editora Brasiliense.</w:t>
      </w:r>
    </w:p>
    <w:bookmarkEnd w:id="136"/>
    <w:bookmarkStart w:id="137" w:name="ref-sobotka2004"/>
    <w:p>
      <w:pPr>
        <w:pStyle w:val="TextBody"/>
      </w:pPr>
      <w:r>
        <w:rPr>
          <w:i/>
        </w:rPr>
        <w:t xml:space="preserve">Sobotka, Tomáš</w:t>
      </w:r>
      <w:r>
        <w:t xml:space="preserve"> </w:t>
      </w:r>
      <w:r>
        <w:t xml:space="preserve">2004: Is Lowest-Low Fertility in Europe Explained by the Postponement of Childbearing? In: Population and Development Review 30,2: 195–220.</w:t>
      </w:r>
    </w:p>
    <w:bookmarkEnd w:id="137"/>
    <w:bookmarkStart w:id="138" w:name="ref-sobotka_lutz2010"/>
    <w:p>
      <w:pPr>
        <w:pStyle w:val="TextBody"/>
      </w:pPr>
      <w:r>
        <w:rPr>
          <w:i/>
        </w:rPr>
        <w:t xml:space="preserve">Sobotka, Tomáš; Lutz, Wolfgang</w:t>
      </w:r>
      <w:r>
        <w:t xml:space="preserve"> </w:t>
      </w:r>
      <w:r>
        <w:t xml:space="preserve">2010: Misleading Policy Messages Derived from the Period TFR: Should We Stop Using It? In: Comparative Population Studies 35,3: 637–664.</w:t>
      </w:r>
    </w:p>
    <w:bookmarkEnd w:id="138"/>
    <w:bookmarkStart w:id="139" w:name="ref-teixeira2014"/>
    <w:p>
      <w:pPr>
        <w:pStyle w:val="TextBody"/>
      </w:pPr>
      <w:r>
        <w:rPr>
          <w:i/>
        </w:rPr>
        <w:t xml:space="preserve">Teixeira, Marilane Oliveira</w:t>
      </w:r>
      <w:r>
        <w:t xml:space="preserve"> </w:t>
      </w:r>
      <w:r>
        <w:t xml:space="preserve">2014: Formalização do emprego e permanência das desigualdades de gênero. Análise. Brasil: FES, Fundação Friedrich Ebert.</w:t>
      </w:r>
    </w:p>
    <w:bookmarkEnd w:id="139"/>
    <w:bookmarkStart w:id="140" w:name="ref-thomson1997"/>
    <w:p>
      <w:pPr>
        <w:pStyle w:val="TextBody"/>
      </w:pPr>
      <w:r>
        <w:rPr>
          <w:i/>
        </w:rPr>
        <w:t xml:space="preserve">Thomson, Elizabeth</w:t>
      </w:r>
      <w:r>
        <w:t xml:space="preserve"> </w:t>
      </w:r>
      <w:r>
        <w:t xml:space="preserve">1997: Couple Childbearing Desires, Intentions, and Births. In: Demography 34,3: 343–354.</w:t>
      </w:r>
    </w:p>
    <w:bookmarkEnd w:id="140"/>
    <w:bookmarkStart w:id="141" w:name="ref-torche2010"/>
    <w:p>
      <w:pPr>
        <w:pStyle w:val="TextBody"/>
      </w:pPr>
      <w:r>
        <w:rPr>
          <w:i/>
        </w:rPr>
        <w:t xml:space="preserve">Torche, Florencia</w:t>
      </w:r>
      <w:r>
        <w:t xml:space="preserve"> </w:t>
      </w:r>
      <w:r>
        <w:t xml:space="preserve">2010: Educational Assortative Mating and Economic Inequality: A Comparative Analysis of Three Latin American Countries. In: Demography 47,2: 481–502.</w:t>
      </w:r>
    </w:p>
    <w:bookmarkEnd w:id="141"/>
    <w:bookmarkStart w:id="142" w:name="ref-vanbavel2017"/>
    <w:p>
      <w:pPr>
        <w:pStyle w:val="TextBody"/>
      </w:pPr>
      <w:r>
        <w:rPr>
          <w:i/>
        </w:rPr>
        <w:t xml:space="preserve">Van Bavel, Jan</w:t>
      </w:r>
      <w:r>
        <w:t xml:space="preserve"> </w:t>
      </w:r>
      <w:r>
        <w:t xml:space="preserve">2017: What Do Men Want? The Growing Importance of Men’s Characteristics for Fertility. In: Vienna Yearbook of Population Research 15: 41–47.</w:t>
      </w:r>
    </w:p>
    <w:bookmarkEnd w:id="142"/>
    <w:bookmarkStart w:id="143" w:name="ref-vanbavel_etal2018"/>
    <w:p>
      <w:pPr>
        <w:pStyle w:val="TextBody"/>
      </w:pPr>
      <w:r>
        <w:rPr>
          <w:i/>
        </w:rPr>
        <w:t xml:space="preserve">Van Bavel, Jan; Schwartz, Christine R.; Esteve, Albert</w:t>
      </w:r>
      <w:r>
        <w:t xml:space="preserve"> </w:t>
      </w:r>
      <w:r>
        <w:t xml:space="preserve">2018: The Reversal of the Gender Gap in Education and its Consequences for Family Life. In: Annual Review of Sociology 44,1: null.</w:t>
      </w:r>
    </w:p>
    <w:bookmarkEnd w:id="143"/>
    <w:bookmarkStart w:id="144" w:name="ref-vieira2016"/>
    <w:p>
      <w:pPr>
        <w:pStyle w:val="TextBody"/>
      </w:pPr>
      <w:r>
        <w:rPr>
          <w:i/>
        </w:rPr>
        <w:t xml:space="preserve">Vieira, Joice Melo</w:t>
      </w:r>
      <w:r>
        <w:t xml:space="preserve"> </w:t>
      </w:r>
      <w:r>
        <w:t xml:space="preserve">2016: Diferenciales en la fecundidad Brasileña según la naturaleza de la unión: algunas reflexiones sobre decisiones reproductivas y convivencia. In: Notas de Población 102: 67–94.</w:t>
      </w:r>
    </w:p>
    <w:bookmarkEnd w:id="144"/>
    <w:bookmarkStart w:id="145" w:name="ref-vieira_alves2016"/>
    <w:p>
      <w:pPr>
        <w:pStyle w:val="TextBody"/>
      </w:pPr>
      <w:r>
        <w:rPr>
          <w:i/>
        </w:rPr>
        <w:t xml:space="preserve">Vieira, Joice Melo; Alves, Luciana Correia</w:t>
      </w:r>
      <w:r>
        <w:t xml:space="preserve"> </w:t>
      </w:r>
      <w:r>
        <w:t xml:space="preserve">2016: O comportamento da idade média à união e ao casamento no Brasil em 2000 e 2010. In: Revista Latinoamericana de Población 19: 107–126.</w:t>
      </w:r>
    </w:p>
    <w:bookmarkEnd w:id="145"/>
    <w:bookmarkStart w:id="146" w:name="ref-warren1966"/>
    <w:p>
      <w:pPr>
        <w:pStyle w:val="TextBody"/>
      </w:pPr>
      <w:r>
        <w:rPr>
          <w:i/>
        </w:rPr>
        <w:t xml:space="preserve">Warren, Bruce L.</w:t>
      </w:r>
      <w:r>
        <w:t xml:space="preserve"> </w:t>
      </w:r>
      <w:r>
        <w:t xml:space="preserve">1966: A multiple variable approach to the assortative mating phenomenon. In: Eugenics Quarterly 13,4: 285–290.</w:t>
      </w:r>
    </w:p>
    <w:bookmarkEnd w:id="146"/>
    <w:bookmarkStart w:id="147" w:name="ref-wong_carvalho2006"/>
    <w:p>
      <w:pPr>
        <w:pStyle w:val="TextBody"/>
      </w:pPr>
      <w:r>
        <w:rPr>
          <w:i/>
        </w:rPr>
        <w:t xml:space="preserve">Wong, Laura L. Rodríguez; Carvalho, José Alberto Magno</w:t>
      </w:r>
      <w:r>
        <w:t xml:space="preserve"> </w:t>
      </w:r>
      <w:r>
        <w:t xml:space="preserve">2006: O rápido processo de envelhecimento populacional do Brasil: sérios desafios para as políticas públicas. In: Revista Brasileira de Estudos de População 23,1: 5–26.</w:t>
      </w:r>
    </w:p>
    <w:bookmarkEnd w:id="147"/>
    <w:bookmarkStart w:id="148" w:name="ref-wood_carvalho1988"/>
    <w:p>
      <w:pPr>
        <w:pStyle w:val="TextBody"/>
      </w:pPr>
      <w:r>
        <w:rPr>
          <w:i/>
        </w:rPr>
        <w:t xml:space="preserve">Wood, C. H.; Carvalho, J. A. M.</w:t>
      </w:r>
      <w:r>
        <w:t xml:space="preserve"> </w:t>
      </w:r>
      <w:r>
        <w:t xml:space="preserve">1988: The Demography of Inequality in Brazil. Cambridge: Cambridge University Press.</w:t>
      </w:r>
    </w:p>
    <w:bookmarkEnd w:id="148"/>
    <w:bookmarkStart w:id="150" w:name="ref-yoo2014"/>
    <w:p>
      <w:pPr>
        <w:pStyle w:val="TextBody"/>
      </w:pPr>
      <w:r>
        <w:rPr>
          <w:i/>
        </w:rPr>
        <w:t xml:space="preserve">Yoo, Sam Hyun</w:t>
      </w:r>
      <w:r>
        <w:t xml:space="preserve"> </w:t>
      </w:r>
      <w:r>
        <w:t xml:space="preserve">2014: Educational differentials in cohort fertility during the fertility transition in South Korea. In: Demographic Research 30,53: 1463–1494. [</w:t>
      </w:r>
      <w:hyperlink r:id="rId149">
        <w:r>
          <w:rPr>
            <w:rStyle w:val="Hyperlink"/>
          </w:rPr>
          <w:t xml:space="preserve">https://doi.org/10.4054/DemRes.2014.30.53</w:t>
        </w:r>
      </w:hyperlink>
      <w:r>
        <w:t xml:space="preserve">].</w:t>
      </w:r>
    </w:p>
    <w:bookmarkEnd w:id="150"/>
    <w:bookmarkEnd w:id="151"/>
    <w:p>
      <w:r>
        <w:br w:type="page"/>
      </w:r>
    </w:p>
    <w:p>
      <w:pPr>
        <w:pStyle w:val="TextBody"/>
      </w:pPr>
      <w:r>
        <w:t xml:space="preserve">Figure 1. Educational pairings cohort fertility trends for female birth cohorts grouped in five-year intervals for Brazil and Regions. Source: Brazilian national censuses 1970, 1980, 1991, 2000, 2010.</w:t>
      </w:r>
      <w:r>
        <w:t xml:space="preserve"> </w:t>
      </w:r>
      <w:r>
        <w:drawing>
          <wp:inline>
            <wp:extent cx="5486400" cy="5486400"/>
            <wp:effectExtent b="0" l="0" r="0" t="0"/>
            <wp:docPr descr="" title="" id="1" name="Picture"/>
            <a:graphic>
              <a:graphicData uri="http://schemas.openxmlformats.org/drawingml/2006/picture">
                <pic:pic>
                  <pic:nvPicPr>
                    <pic:cNvPr descr="/home/josehcms/git-repository/msthesis-article/FIGS/plot_cfr_5year_cohort.png" id="0" name="Picture"/>
                    <pic:cNvPicPr>
                      <a:picLocks noChangeArrowheads="1" noChangeAspect="1"/>
                    </pic:cNvPicPr>
                  </pic:nvPicPr>
                  <pic:blipFill>
                    <a:blip r:embed="rId152"/>
                    <a:stretch>
                      <a:fillRect/>
                    </a:stretch>
                  </pic:blipFill>
                  <pic:spPr bwMode="auto">
                    <a:xfrm>
                      <a:off x="0" y="0"/>
                      <a:ext cx="5486400" cy="5486400"/>
                    </a:xfrm>
                    <a:prstGeom prst="rect">
                      <a:avLst/>
                    </a:prstGeom>
                    <a:noFill/>
                    <a:ln w="9525">
                      <a:noFill/>
                      <a:headEnd/>
                      <a:tailEnd/>
                    </a:ln>
                  </pic:spPr>
                </pic:pic>
              </a:graphicData>
            </a:graphic>
          </wp:inline>
        </w:drawing>
      </w:r>
    </w:p>
    <w:p>
      <w:r>
        <w:br w:type="page"/>
      </w:r>
    </w:p>
    <w:p>
      <w:pPr>
        <w:pStyle w:val="TextBody"/>
      </w:pPr>
      <w:r>
        <w:t xml:space="preserve">Table 1: Educational pairings prevalence rates and cohort fertility rates for female cohorts born in 1925-39, 1940-54 and 1955-69 - Brazil. Source: Brazilian National Censuses, 1970, 1980, 1991, 2000, 2010.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NA"/&gt;
        <w:tblLayout w:type="fixed"/>
        <w:jc w:val="center"/>
        <w:tblW w:type="dxa" w:w="8640"/>
        <w:tblLook w:firstRow="1" w:lastRow="0" w:firstColumn="0" w:lastColumn="0" w:noHBand="0" w:noVBand="1"/>
      </w:tblPr>
      <w:tblGrid>
        <w:gridCol w:w="1080"/>
        <w:gridCol w:w="1080"/>
        <w:gridCol w:w="1080"/>
        <w:gridCol w:w="1080"/>
        <w:gridCol w:w="1080"/>
        <w:gridCol w:w="1080"/>
        <w:gridCol w:w="1080"/>
        <w:gridCol w:w="1080"/>
      </w:tblGrid>
      <w:tr>
        <w:trPr>
          <w:cantSplit/>
          <w:trHeight w:val="360" w:hRule="auto"/>
          <w:tblHeader/>
        </w:trPr>
        <w:tc>
          <w:tcPr>
            <w:gridSpan w:val="2"/>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Education</w:t>
            </w:r>
          </w:p>
        </w:tc>
        <w:tc>
          <w:tcPr>
            <w:gridSpan w:val="3"/>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Prevalence (%)</w:t>
            </w:r>
          </w:p>
        </w:tc>
        <w:tc>
          <w:tcPr>
            <w:gridSpan w:val="3"/>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CFR</w:t>
            </w:r>
          </w:p>
        </w:tc>
      </w:tr>
      <w:tr>
        <w:trPr>
          <w:cantSplit/>
          <w:trHeight w:val="360" w:hRule="auto"/>
          <w:tblHeader/>
        </w:trPr>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Female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1925-39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1940-54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1955-69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1925-39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1940-54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1955-69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80.87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62.17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36.59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6.84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5.52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3.87</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4.01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5.47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6.65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4.61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3.85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2.99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1.70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2.22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2.28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4.13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3.47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2.67</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0.56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0.48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0.26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3.91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2.47</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2.34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5.08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8.60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4.68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3.76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2.91</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1.95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4.22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9.57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3.85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3.12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2.51</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1.18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2.17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4.02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3.64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2.95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2.38</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0.84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0.86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0.77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3.45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2.85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2.22</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1.20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2.56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3.76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4.31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2.50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0.82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1.92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4.46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3.54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2.76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1.49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4.06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9.15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3.39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2.09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1.43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2.60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2.97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3.54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2.06</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0.21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0.59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0.79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3.71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2.23</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0.19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0.67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1.31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3.07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2.42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1.98</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0.33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1.50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3.21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3.18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2.36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1.86</w:t>
            </w:r>
          </w:p>
        </w:tc>
      </w:tr>
      <w:tr>
        <w:trPr>
          <w:cantSplit/>
          <w:trHeight w:val="360" w:hRule="auto"/>
        </w:trPr>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0.88</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3.45</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5.60</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3.29</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2.45</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1.86</w:t>
            </w:r>
          </w:p>
        </w:tc>
      </w:tr>
    </w:tbl>
    <w:p>
      <w:r>
        <w:br w:type="page"/>
      </w:r>
    </w:p>
    <w:p>
      <w:pPr>
        <w:pStyle w:val="TextBody"/>
      </w:pPr>
      <w:r>
        <w:t xml:space="preserve">Table 2: Educational pairings prevalence rates and cohort fertility rates for female cohorts born in 1925-39, 1940-54 and 1955-69 - Central-West region. Source: Brazilian National Censuses, 1970, 1980, 1991, 2000, 2010.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NA"/&gt;
        <w:tblLayout w:type="fixed"/>
        <w:jc w:val="center"/>
        <w:tblW w:type="dxa" w:w="8640"/>
        <w:tblLook w:firstRow="1" w:lastRow="0" w:firstColumn="0" w:lastColumn="0" w:noHBand="0" w:noVBand="1"/>
      </w:tblPr>
      <w:tblGrid>
        <w:gridCol w:w="1080"/>
        <w:gridCol w:w="1080"/>
        <w:gridCol w:w="1080"/>
        <w:gridCol w:w="1080"/>
        <w:gridCol w:w="1080"/>
        <w:gridCol w:w="1080"/>
        <w:gridCol w:w="1080"/>
        <w:gridCol w:w="1080"/>
      </w:tblGrid>
      <w:tr>
        <w:trPr>
          <w:cantSplit/>
          <w:trHeight w:val="360" w:hRule="auto"/>
          <w:tblHeader/>
        </w:trPr>
        <w:tc>
          <w:tcPr>
            <w:gridSpan w:val="2"/>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Education</w:t>
            </w:r>
          </w:p>
        </w:tc>
        <w:tc>
          <w:tcPr>
            <w:gridSpan w:val="3"/>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Prevalence (%)</w:t>
            </w:r>
          </w:p>
        </w:tc>
        <w:tc>
          <w:tcPr>
            <w:gridSpan w:val="3"/>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CFR</w:t>
            </w:r>
          </w:p>
        </w:tc>
      </w:tr>
      <w:tr>
        <w:trPr>
          <w:cantSplit/>
          <w:trHeight w:val="360" w:hRule="auto"/>
          <w:tblHeader/>
        </w:trPr>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Female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1925-39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1940-54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1955-69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1925-39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1940-54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1955-69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83.70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62.63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34.89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7.15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5.45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3.54</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2.90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4.73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6.21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5.75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4.21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3.00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1.16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1.73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1.93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4.83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3.83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2.74</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0.40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0.38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0.25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4.29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3.81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2.28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5.66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9.42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4.82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3.91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2.88</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1.67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3.91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9.44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4.52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3.42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2.61</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0.94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1.92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3.75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4.38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3.36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2.51</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0.81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0.68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0.77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3.99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3.12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2.39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1.11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2.98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4.41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4.72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3.38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2.51</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0.72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2.06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4.80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4.16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3.01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2.33</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1.15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3.84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8.63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3.94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2.90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2.26</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1.39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2.55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3.05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3.68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2.90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2.22</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0.22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0.67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1.09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3.87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2.88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2.32</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0.21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0.79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1.63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2.86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2.19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0.32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1.65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3.57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3.72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2.58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2.06</w:t>
            </w:r>
          </w:p>
        </w:tc>
      </w:tr>
      <w:tr>
        <w:trPr>
          <w:cantSplit/>
          <w:trHeight w:val="360" w:hRule="auto"/>
        </w:trPr>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1.02</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3.82</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6.17</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3.35</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2.63</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2.08</w:t>
            </w:r>
          </w:p>
        </w:tc>
      </w:tr>
    </w:tbl>
    <w:p>
      <w:r>
        <w:br w:type="page"/>
      </w:r>
    </w:p>
    <w:p>
      <w:pPr>
        <w:pStyle w:val="TextBody"/>
      </w:pPr>
      <w:r>
        <w:t xml:space="preserve">Table 3: Educational pairings prevalence rates and cohort fertility rates for female cohorts born in 1925-39, 1940-54 and 1955-69 - North-Northeast regions. Source: Brazilian National Censuses, 1970, 1980, 1991, 2000, 2010.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NA"/&gt;
        <w:tblLayout w:type="fixed"/>
        <w:jc w:val="center"/>
        <w:tblW w:type="dxa" w:w="8640"/>
        <w:tblLook w:firstRow="1" w:lastRow="0" w:firstColumn="0" w:lastColumn="0" w:noHBand="0" w:noVBand="1"/>
      </w:tblPr>
      <w:tblGrid>
        <w:gridCol w:w="1080"/>
        <w:gridCol w:w="1080"/>
        <w:gridCol w:w="1080"/>
        <w:gridCol w:w="1080"/>
        <w:gridCol w:w="1080"/>
        <w:gridCol w:w="1080"/>
        <w:gridCol w:w="1080"/>
        <w:gridCol w:w="1080"/>
      </w:tblGrid>
      <w:tr>
        <w:trPr>
          <w:cantSplit/>
          <w:trHeight w:val="360" w:hRule="auto"/>
          <w:tblHeader/>
        </w:trPr>
        <w:tc>
          <w:tcPr>
            <w:gridSpan w:val="2"/>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Education</w:t>
            </w:r>
          </w:p>
        </w:tc>
        <w:tc>
          <w:tcPr>
            <w:gridSpan w:val="3"/>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Prevalence (%)</w:t>
            </w:r>
          </w:p>
        </w:tc>
        <w:tc>
          <w:tcPr>
            <w:gridSpan w:val="3"/>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CFR</w:t>
            </w:r>
          </w:p>
        </w:tc>
      </w:tr>
      <w:tr>
        <w:trPr>
          <w:cantSplit/>
          <w:trHeight w:val="360" w:hRule="auto"/>
          <w:tblHeader/>
        </w:trPr>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Female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1925-39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1940-54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1955-69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1925-39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1940-54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1955-69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89.30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73.99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48.47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8.36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7.07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4.85</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2.02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3.38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5.10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6.59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5.18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3.68</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0.78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1.27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1.67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5.91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4.56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3.22</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0.22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0.18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0.15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5.22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4.39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2.88</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1.78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4.43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8.76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6.34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4.93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3.48</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1.02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2.40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6.61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5.63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4.11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2.89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0.62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1.26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2.79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4.80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3.68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2.70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0.33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0.31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0.40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4.33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3.49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2.42</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1.01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2.79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4.54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5.51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4.04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2.86</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0.54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1.58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4.08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4.42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2.40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0.87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3.17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7.96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4.26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3.01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2.26</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0.64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1.33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1.84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3.99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3.07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2.28</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0.15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0.48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0.92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5.21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2.59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0.11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0.44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1.07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3.78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2.73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2.24</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0.20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1.13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2.42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3.62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2.06</w:t>
            </w:r>
          </w:p>
        </w:tc>
      </w:tr>
      <w:tr>
        <w:trPr>
          <w:cantSplit/>
          <w:trHeight w:val="360" w:hRule="auto"/>
        </w:trPr>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0.40</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1.85</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3.23</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3.54</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2.78</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2.07</w:t>
            </w:r>
          </w:p>
        </w:tc>
      </w:tr>
    </w:tbl>
    <w:p>
      <w:r>
        <w:br w:type="page"/>
      </w:r>
    </w:p>
    <w:p>
      <w:pPr>
        <w:pStyle w:val="TextBody"/>
      </w:pPr>
      <w:r>
        <w:t xml:space="preserve">Table 4: Educational pairings prevalence rates and cohort fertility rates for female cohorts born in 1925-39, 1940-54 and 1955-69 - South-Southeast regions. Source: Brazilian National Censuses, 1970, 1980, 1991, 2000, 2010.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NA"/&gt;
        <w:tblLayout w:type="fixed"/>
        <w:jc w:val="center"/>
        <w:tblW w:type="dxa" w:w="8640"/>
        <w:tblLook w:firstRow="1" w:lastRow="0" w:firstColumn="0" w:lastColumn="0" w:noHBand="0" w:noVBand="1"/>
      </w:tblPr>
      <w:tblGrid>
        <w:gridCol w:w="1080"/>
        <w:gridCol w:w="1080"/>
        <w:gridCol w:w="1080"/>
        <w:gridCol w:w="1080"/>
        <w:gridCol w:w="1080"/>
        <w:gridCol w:w="1080"/>
        <w:gridCol w:w="1080"/>
        <w:gridCol w:w="1080"/>
      </w:tblGrid>
      <w:tr>
        <w:trPr>
          <w:cantSplit/>
          <w:trHeight w:val="360" w:hRule="auto"/>
          <w:tblHeader/>
        </w:trPr>
        <w:tc>
          <w:tcPr>
            <w:gridSpan w:val="2"/>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Education</w:t>
            </w:r>
          </w:p>
        </w:tc>
        <w:tc>
          <w:tcPr>
            <w:gridSpan w:val="3"/>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Prevalence (%)</w:t>
            </w:r>
          </w:p>
        </w:tc>
        <w:tc>
          <w:tcPr>
            <w:gridSpan w:val="3"/>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CFR</w:t>
            </w:r>
          </w:p>
        </w:tc>
      </w:tr>
      <w:tr>
        <w:trPr>
          <w:cantSplit/>
          <w:trHeight w:val="360" w:hRule="auto"/>
          <w:tblHeader/>
        </w:trPr>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Female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1925-39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1940-54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1955-69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1925-39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1940-54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0" w:before="0"/>
              <w:ind w:firstLine="0" w:left="0" w:right="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0"/>
                <w:szCs w:val="20"/>
                <w:color w:val="000000"/>
              </w:rPr>
              <w:t xml:space="preserve">1955-69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76.80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56.61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31.32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6.01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4.59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3.22</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5.00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6.52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7.42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4.20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3.50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2.77</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2.16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2.71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2.61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3.81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2.50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0.73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0.63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0.32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3.71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3.09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2.37</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2.60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5.33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8.44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4.16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2.65</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2.39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5.10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10.95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3.47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2.88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2.40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1.45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2.61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4.61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3.37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2.76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2.28</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1.07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1.13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0.94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2.75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2.16</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1.30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2.41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3.32</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3.85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2.81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2.27</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0.96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2.07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4.60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2.56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2.10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1.81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4.49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9.76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3.17</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2.49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2.00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1.79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3.20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3.48</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3.46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2.60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1.99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LP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0.23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0.63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0.70</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2.44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1.99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0.23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0.76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1.39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2.93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2.31</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1.86</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S</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0.39</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1.66</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3.53</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3.04</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2.25</w:t>
            </w:r>
          </w:p>
        </w:tc>
        <w:tc>
          <w:tcPr>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1.77</w:t>
            </w:r>
          </w:p>
        </w:tc>
      </w:tr>
      <w:tr>
        <w:trPr>
          <w:cantSplit/>
          <w:trHeight w:val="360" w:hRule="auto"/>
        </w:trPr>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T</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1.09</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4.16</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 6.62</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3.24</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2.37</w:t>
            </w:r>
          </w:p>
        </w:tc>
        <w:tc>
          <w:tcPr>
            <w:tcBorders>
              <w:bottom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1.79</w:t>
            </w:r>
          </w:p>
        </w:tc>
      </w:tr>
    </w:tbl>
    <w:p>
      <w:r>
        <w:br w:type="page"/>
      </w:r>
    </w:p>
    <w:p>
      <w:pPr>
        <w:pStyle w:val="TextBody"/>
      </w:pPr>
      <w:r>
        <w:t xml:space="preserve">Table 5: Overall cohort fertility rates and decomposition of rates in CFR and Pairing Composition effects for female birth cohorts born in 1925-39, 1940-54, 1955-69 - Brazil and regions. Source: Brazilian National Censuses, 1970, 1980, 1991, 2000, 2010.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NA"/&gt;
        <w:tblLayout w:type="fixed"/>
        <w:jc w:val="center"/>
        <w:tblW w:type="dxa" w:w="9360"/>
        <w:tblLook w:firstRow="1" w:lastRow="0" w:firstColumn="0" w:lastColumn="0" w:noHBand="0" w:noVBand="1"/>
      </w:tblPr>
      <w:tblGrid>
        <w:gridCol w:w="3600"/>
        <w:gridCol w:w="1440"/>
        <w:gridCol w:w="1440"/>
        <w:gridCol w:w="1440"/>
        <w:gridCol w:w="1440"/>
      </w:tblGrid>
      <w:tr>
        <w:trPr>
          <w:cantSplit/>
          <w:trHeight w:val="360" w:hRule="auto"/>
          <w:tblHeader/>
        </w:trPr>
        <w:tc>
          <w:tcPr>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
            </w:r>
          </w:p>
        </w:tc>
        <w:tc>
          <w:tcPr>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Brazil</w:t>
            </w:r>
          </w:p>
        </w:tc>
        <w:tc>
          <w:tcPr>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Central-West</w:t>
            </w:r>
          </w:p>
        </w:tc>
        <w:tc>
          <w:tcPr>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North-Northeast</w:t>
            </w:r>
          </w:p>
        </w:tc>
        <w:tc>
          <w:tcPr>
            <w:tcBorders>
              <w:bottom w:val="single" w:sz="16" w:space="0" w:color="000000"/>
              <w:top w:val="single" w:sz="16" w:space="0" w:color="000000"/>
            </w:tcBorders>
            <w:shd w:val="clear" w:color="auto" w:fill="FFFFFF"/>
            <w:tcMar>
              <w:top w:w="0" w:type="dxa"/>
              <w:bottom w:w="0" w:type="dxa"/>
              <w:left w:w="0" w:type="dxa"/>
              <w:right w:w="0" w:type="dxa"/>
            </w:tcMar>
            <w:vAlign w:val="center"/>
          </w:tcPr>
          <w:p>
            <w:pPr>
              <w:jc w:val="center"/>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South-Southeast</w:t>
            </w:r>
          </w:p>
        </w:tc>
      </w:tr>
      <w:tr>
        <w:trPr>
          <w:cantSplit/>
          <w:trHeight w:val="360" w:hRule="auto"/>
        </w:trPr>
        <w:tc>
          <w:tcPr>
            <w:tcBorders>
              <w:bottom w:val="single" w:sz="8" w:space="0" w:color="000000"/>
            </w:tcBorders>
            <w:shd w:val="clear" w:color="auto" w:fill="FFFFFF"/>
            <w:tcMar>
              <w:top w:w="0" w:type="dxa"/>
              <w:bottom w:w="0" w:type="dxa"/>
              <w:left w:w="0" w:type="dxa"/>
              <w:right w:w="0" w:type="dxa"/>
            </w:tcMar>
            <w:vAlign w:val="center"/>
          </w:tcPr>
          <w:p>
            <w:pPr>
              <w:jc w:val="lef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CFR(1925-39)</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6.30</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6.72</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8.04</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5.47</w:t>
            </w:r>
          </w:p>
        </w:tc>
      </w:tr>
      <w:tr>
        <w:trPr>
          <w:cantSplit/>
          <w:trHeight w:val="360" w:hRule="auto"/>
        </w:trPr>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lef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CFR(1940-54)</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4.61</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4.66</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6.25</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3.84</w:t>
            </w:r>
          </w:p>
        </w:tc>
      </w:tr>
      <w:tr>
        <w:trPr>
          <w:cantSplit/>
          <w:trHeight w:val="360" w:hRule="auto"/>
        </w:trPr>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lef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CFR(1955-69)</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2.94</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2.86</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3.79</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2.55</w:t>
            </w:r>
          </w:p>
        </w:tc>
      </w:tr>
      <w:tr>
        <w:trPr>
          <w:cantSplit/>
          <w:trHeight w:val="360" w:hRule="auto"/>
        </w:trPr>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lef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CFR(1925-39) - CFR(1940-54)</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1.69 (100.00%)</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2.06 (100.00%)</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1.79 (100.00%)</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1.63 (100.00%)</w:t>
            </w:r>
          </w:p>
        </w:tc>
      </w:tr>
      <w:tr>
        <w:trPr>
          <w:cantSplit/>
          <w:trHeight w:val="360" w:hRule="auto"/>
        </w:trPr>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CFR Effect</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1.17 (69.23%)</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1.52 (73.79%)</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1.29 (72.07%)</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1.19 (73.01%)</w:t>
            </w:r>
          </w:p>
        </w:tc>
      </w:tr>
      <w:tr>
        <w:trPr>
          <w:cantSplit/>
          <w:trHeight w:val="360" w:hRule="auto"/>
        </w:trPr>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Pairing Composition Effect</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0.52 (30.77%)</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0.53 (25.73%)</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0.5 (27.93%)</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0.44 (26.99%)</w:t>
            </w:r>
          </w:p>
        </w:tc>
      </w:tr>
      <w:tr>
        <w:trPr>
          <w:cantSplit/>
          <w:trHeight w:val="360" w:hRule="auto"/>
        </w:trPr>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lef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CFR(1925-39) - CFR(1955-69)</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3.36 (100.00%)</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3.86 (100.00%)</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4.25 (100.00%)</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2.92 (100.00%)</w:t>
            </w:r>
          </w:p>
        </w:tc>
      </w:tr>
      <w:tr>
        <w:trPr>
          <w:cantSplit/>
          <w:trHeight w:val="360" w:hRule="auto"/>
        </w:trPr>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CFR Effect</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2.35 (69.94%)</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2.9 (75.13%)</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3.16 (74.35%)</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2.11 (72.26%)</w:t>
            </w:r>
          </w:p>
        </w:tc>
      </w:tr>
      <w:tr>
        <w:trPr>
          <w:cantSplit/>
          <w:trHeight w:val="360" w:hRule="auto"/>
        </w:trPr>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Pairing Composition Effect</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1.01 (30.06%)</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0.96 (24.87%)</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1.1 (25.88%)</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0.81 (27.74%)</w:t>
            </w:r>
          </w:p>
        </w:tc>
      </w:tr>
      <w:tr>
        <w:trPr>
          <w:cantSplit/>
          <w:trHeight w:val="360" w:hRule="auto"/>
        </w:trPr>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lef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b/>
                <w:sz w:val="22"/>
                <w:szCs w:val="22"/>
                <w:color w:val="111111"/>
              </w:rPr>
              <w:t xml:space="preserve">CFR(1940-54) - CFR(1955-69)</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1.68 (100.00%)</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1.8 (100.00%)</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2.46 (100.00%)</w:t>
            </w:r>
          </w:p>
        </w:tc>
        <w:tc>
          <w:tcPr>
            <w:tcBorders>
              <w:bottom w:val="single" w:sz="8" w:space="0" w:color="000000"/>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1.29 (100.00%)</w:t>
            </w:r>
          </w:p>
        </w:tc>
      </w:tr>
      <w:tr>
        <w:trPr>
          <w:cantSplit/>
          <w:trHeight w:val="360" w:hRule="auto"/>
        </w:trPr>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CFR Effect</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1.15 (68.45%)</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1.35 (75.00%)</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1.78 (72.36%)</w:t>
            </w:r>
          </w:p>
        </w:tc>
        <w:tc>
          <w:tcPr>
            <w:tcBorders>
              <w:top w:val="single" w:sz="8"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0.92 (71.32%)</w:t>
            </w:r>
          </w:p>
        </w:tc>
      </w:tr>
      <w:tr>
        <w:trPr>
          <w:cantSplit/>
          <w:trHeight w:val="360" w:hRule="auto"/>
        </w:trPr>
        <w:tc>
          <w:tcPr>
            <w:tcBorders>
              <w:bottom w:val="single" w:sz="16"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Pairing Composition Effect</w:t>
            </w:r>
          </w:p>
        </w:tc>
        <w:tc>
          <w:tcPr>
            <w:tcBorders>
              <w:bottom w:val="single" w:sz="16"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0.52 (30.95%)</w:t>
            </w:r>
          </w:p>
        </w:tc>
        <w:tc>
          <w:tcPr>
            <w:tcBorders>
              <w:bottom w:val="single" w:sz="16"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0.46 (25.56%)</w:t>
            </w:r>
          </w:p>
        </w:tc>
        <w:tc>
          <w:tcPr>
            <w:tcBorders>
              <w:bottom w:val="single" w:sz="16"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0.69 (28.05%)</w:t>
            </w:r>
          </w:p>
        </w:tc>
        <w:tc>
          <w:tcPr>
            <w:tcBorders>
              <w:bottom w:val="single" w:sz="16" w:space="0" w:color="000000"/>
            </w:tcBorders>
            <w:shd w:val="clear" w:color="auto" w:fill="FFFFFF"/>
            <w:tcMar>
              <w:top w:w="0" w:type="dxa"/>
              <w:bottom w:w="0" w:type="dxa"/>
              <w:left w:w="0" w:type="dxa"/>
              <w:right w:w="0" w:type="dxa"/>
            </w:tcMar>
            <w:vAlign w:val="center"/>
          </w:tcPr>
          <w:p>
            <w:pPr>
              <w:jc w:val="right"/>
              <w:spacing w:after="40" w:before="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sz w:val="22"/>
                <w:szCs w:val="22"/>
                <w:color w:val="111111"/>
              </w:rPr>
              <w:t xml:space="preserve">0.37 (28.68%)</w:t>
            </w:r>
          </w:p>
        </w:tc>
      </w:tr>
    </w:tbl>
    <w:p>
      <w:r>
        <w:br w:type="page"/>
      </w:r>
    </w:p>
    <w:sectPr>
      <w:type w:val="nextPage"/>
      <w:pgSz w:w="12240" w:h="15840"/>
      <w:pgMar w:left="1800" w:right="1800" w:header="0" w:top="1440" w:footer="0" w:bottom="1440" w:gutter="0"/>
      <w:pgNumType w:fmt="decimal"/>
      <w:formProt w:val="false"/>
      <w:textDirection w:val="lrTb"/>
      <w:docGrid w:type="default" w:linePitch="100"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swiss"/>
    <w:pitch w:val="default"/>
  </w:font>
  <w:font w:name="Calibri">
    <w:charset w:val="01"/>
    <w:family w:val="roman"/>
    <w:pitch w:val="variable"/>
  </w:font>
  <w:font w:name="Consolas">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Cs w:val="24"/>
        <w:lang w:val="en-US" w:eastAsia="en-US" w:bidi="ar-SA"/>
      </w:rPr>
    </w:rPrDefault>
    <w:pPrDefault>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uiPriority w:val="9"/>
    <w:qFormat/>
    <w:pPr>
      <w:keepNext w:val="true"/>
      <w:keepLines/>
      <w:spacing w:before="480" w:after="0"/>
      <w:outlineLvl w:val="0"/>
    </w:pPr>
    <w:rPr>
      <w:rFonts w:ascii="arial" w:hAnsi="arial" w:eastAsia="" w:cs="" w:cstheme="majorBidi" w:eastAsiaTheme="majorEastAsia"/>
      <w:b/>
      <w:bCs/>
      <w:color w:val="000000" w:themeShade="b5"/>
      <w:sz w:val="28"/>
      <w:szCs w:val="28"/>
    </w:rPr>
  </w:style>
  <w:style w:type="paragraph" w:styleId="Heading2">
    <w:name w:val="Heading 2"/>
    <w:basedOn w:val="Normal"/>
    <w:uiPriority w:val="9"/>
    <w:unhideWhenUsed/>
    <w:qFormat/>
    <w:pPr>
      <w:keepNext w:val="true"/>
      <w:keepLines/>
      <w:spacing w:before="200" w:after="0"/>
      <w:outlineLvl w:val="1"/>
    </w:pPr>
    <w:rPr>
      <w:rFonts w:ascii="arial" w:hAnsi="arial" w:eastAsia="" w:cs="" w:cstheme="majorBidi" w:eastAsiaTheme="majorEastAsia"/>
      <w:b/>
      <w:bCs/>
      <w:color w:val="000000"/>
      <w:sz w:val="26"/>
      <w:szCs w:val="26"/>
    </w:rPr>
  </w:style>
  <w:style w:type="paragraph" w:styleId="Heading3">
    <w:name w:val="Heading 3"/>
    <w:basedOn w:val="Normal"/>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val="4F81BD" w:themeColor="accent1"/>
      <w:sz w:val="28"/>
      <w:szCs w:val="28"/>
    </w:rPr>
  </w:style>
  <w:style w:type="paragraph" w:styleId="Heading4">
    <w:name w:val="Heading 4"/>
    <w:basedOn w:val="Normal"/>
    <w:uiPriority w:val="9"/>
    <w:unhideWhenUsed/>
    <w:qFormat/>
    <w:pPr>
      <w:keepNext w:val="true"/>
      <w:keepLines/>
      <w:spacing w:before="200" w:after="0"/>
      <w:outlineLvl w:val="3"/>
    </w:pPr>
    <w:rPr>
      <w:rFonts w:ascii="Calibri" w:hAnsi="Calibri" w:eastAsia="" w:cs="" w:asciiTheme="majorHAnsi" w:cstheme="majorBidi" w:eastAsiaTheme="majorEastAsia" w:hAnsiTheme="majorHAnsi"/>
      <w:b/>
      <w:bCs/>
      <w:color w:val="4F81BD" w:themeColor="accent1"/>
      <w:sz w:val="24"/>
      <w:szCs w:val="24"/>
    </w:rPr>
  </w:style>
  <w:style w:type="paragraph" w:styleId="Heading5">
    <w:name w:val="Heading 5"/>
    <w:basedOn w:val="Normal"/>
    <w:uiPriority w:val="9"/>
    <w:unhideWhenUsed/>
    <w:qFormat/>
    <w:pPr>
      <w:keepNext w:val="true"/>
      <w:keepLines/>
      <w:spacing w:before="200" w:after="0"/>
      <w:outlineLvl w:val="4"/>
    </w:pPr>
    <w:rPr>
      <w:rFonts w:ascii="Calibri" w:hAnsi="Calibri" w:eastAsia="" w:cs="" w:asciiTheme="majorHAnsi" w:cstheme="majorBidi" w:eastAsiaTheme="majorEastAsia" w:hAnsiTheme="majorHAnsi"/>
      <w:i/>
      <w:iCs/>
      <w:color w:val="4F81BD" w:themeColor="accent1"/>
      <w:sz w:val="24"/>
      <w:szCs w:val="24"/>
    </w:rPr>
  </w:style>
  <w:style w:type="paragraph" w:styleId="Heading6">
    <w:name w:val="Heading 6"/>
    <w:basedOn w:val="Normal"/>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val="4F81BD" w:themeColor="accent1"/>
      <w:sz w:val="24"/>
      <w:szCs w:val="24"/>
    </w:rPr>
  </w:style>
  <w:style w:type="paragraph" w:styleId="Heading7">
    <w:name w:val="Heading 7"/>
    <w:basedOn w:val="Normal"/>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val="4F81BD" w:themeColor="accent1"/>
      <w:sz w:val="24"/>
      <w:szCs w:val="24"/>
    </w:rPr>
  </w:style>
  <w:style w:type="paragraph" w:styleId="Heading8">
    <w:name w:val="Heading 8"/>
    <w:basedOn w:val="Normal"/>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val="4F81BD" w:themeColor="accent1"/>
      <w:sz w:val="24"/>
      <w:szCs w:val="24"/>
    </w:rPr>
  </w:style>
  <w:style w:type="paragraph" w:styleId="Heading9">
    <w:name w:val="Heading 9"/>
    <w:basedOn w:val="Normal"/>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val="4F81BD" w:themeColor="accent1"/>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link w:val="BodyText"/>
    <w:qFormat/>
    <w:rPr/>
  </w:style>
  <w:style w:type="character" w:styleId="VerbatimChar" w:customStyle="1">
    <w:name w:val="Verbatim Char"/>
    <w:basedOn w:val="BodyTextChar"/>
    <w:qFormat/>
    <w:rPr>
      <w:rFonts w:ascii="Consolas" w:hAnsi="Consolas"/>
      <w:sz w:val="22"/>
    </w:rPr>
  </w:style>
  <w:style w:type="character" w:styleId="FootnoteCharacters">
    <w:name w:val="Footnote Characters"/>
    <w:basedOn w:val="BodyTextChar"/>
    <w:qFormat/>
    <w:rPr>
      <w:vertAlign w:val="superscript"/>
    </w:rPr>
  </w:style>
  <w:style w:type="character" w:styleId="FootnoteAnchor">
    <w:name w:val="Footnote Anchor"/>
    <w:rPr>
      <w:vertAlign w:val="superscript"/>
    </w:rPr>
  </w:style>
  <w:style w:type="character" w:styleId="InternetLink">
    <w:name w:val="Internet Link"/>
    <w:basedOn w:val="BodyTextChar"/>
    <w:rPr>
      <w:color w:val="4F81BD" w:themeColor="accent1"/>
    </w:rPr>
  </w:style>
  <w:style w:type="character" w:styleId="KeywordTok" w:customStyle="1">
    <w:name w:val="KeywordTok"/>
    <w:basedOn w:val="VerbatimChar"/>
    <w:qFormat/>
    <w:rPr>
      <w:color w:val="204A87"/>
      <w:shd w:fill="F8F8F8" w:val="clear"/>
    </w:rPr>
  </w:style>
  <w:style w:type="character" w:styleId="DataTypeTok" w:customStyle="1">
    <w:name w:val="DataTypeTok"/>
    <w:basedOn w:val="VerbatimChar"/>
    <w:qFormat/>
    <w:rPr>
      <w:color w:val="204A87"/>
      <w:shd w:fill="F8F8F8" w:val="clear"/>
    </w:rPr>
  </w:style>
  <w:style w:type="character" w:styleId="DecValTok" w:customStyle="1">
    <w:name w:val="DecValTok"/>
    <w:basedOn w:val="VerbatimChar"/>
    <w:qFormat/>
    <w:rPr>
      <w:color w:val="0000CF"/>
      <w:shd w:fill="F8F8F8" w:val="clear"/>
    </w:rPr>
  </w:style>
  <w:style w:type="character" w:styleId="BaseNTok" w:customStyle="1">
    <w:name w:val="BaseNTok"/>
    <w:basedOn w:val="VerbatimChar"/>
    <w:qFormat/>
    <w:rPr>
      <w:color w:val="0000CF"/>
      <w:shd w:fill="F8F8F8" w:val="clear"/>
    </w:rPr>
  </w:style>
  <w:style w:type="character" w:styleId="FloatTok" w:customStyle="1">
    <w:name w:val="FloatTok"/>
    <w:basedOn w:val="VerbatimChar"/>
    <w:qFormat/>
    <w:rPr>
      <w:color w:val="0000CF"/>
      <w:shd w:fill="F8F8F8" w:val="clear"/>
    </w:rPr>
  </w:style>
  <w:style w:type="character" w:styleId="ConstantTok" w:customStyle="1">
    <w:name w:val="ConstantTok"/>
    <w:basedOn w:val="VerbatimChar"/>
    <w:qFormat/>
    <w:rPr>
      <w:color w:val="000000"/>
      <w:shd w:fill="F8F8F8" w:val="clear"/>
    </w:rPr>
  </w:style>
  <w:style w:type="character" w:styleId="CharTok" w:customStyle="1">
    <w:name w:val="CharTok"/>
    <w:basedOn w:val="VerbatimChar"/>
    <w:qFormat/>
    <w:rPr>
      <w:color w:val="4E9A06"/>
      <w:shd w:fill="F8F8F8" w:val="clear"/>
    </w:rPr>
  </w:style>
  <w:style w:type="character" w:styleId="SpecialCharTok" w:customStyle="1">
    <w:name w:val="SpecialCharTok"/>
    <w:basedOn w:val="VerbatimChar"/>
    <w:qFormat/>
    <w:rPr>
      <w:color w:val="000000"/>
      <w:shd w:fill="F8F8F8" w:val="clear"/>
    </w:rPr>
  </w:style>
  <w:style w:type="character" w:styleId="StringTok" w:customStyle="1">
    <w:name w:val="StringTok"/>
    <w:basedOn w:val="VerbatimChar"/>
    <w:qFormat/>
    <w:rPr>
      <w:color w:val="4E9A06"/>
      <w:shd w:fill="F8F8F8" w:val="clear"/>
    </w:rPr>
  </w:style>
  <w:style w:type="character" w:styleId="VerbatimStringTok" w:customStyle="1">
    <w:name w:val="VerbatimStringTok"/>
    <w:basedOn w:val="VerbatimChar"/>
    <w:qFormat/>
    <w:rPr>
      <w:color w:val="4E9A06"/>
      <w:shd w:fill="F8F8F8" w:val="clear"/>
    </w:rPr>
  </w:style>
  <w:style w:type="character" w:styleId="SpecialStringTok" w:customStyle="1">
    <w:name w:val="SpecialStringTok"/>
    <w:basedOn w:val="VerbatimChar"/>
    <w:qFormat/>
    <w:rPr>
      <w:color w:val="4E9A06"/>
      <w:shd w:fill="F8F8F8" w:val="clear"/>
    </w:rPr>
  </w:style>
  <w:style w:type="character" w:styleId="ImportTok" w:customStyle="1">
    <w:name w:val="ImportTok"/>
    <w:basedOn w:val="VerbatimChar"/>
    <w:qFormat/>
    <w:rPr>
      <w:shd w:fill="F8F8F8" w:val="clear"/>
    </w:rPr>
  </w:style>
  <w:style w:type="character" w:styleId="CommentTok" w:customStyle="1">
    <w:name w:val="CommentTok"/>
    <w:basedOn w:val="VerbatimChar"/>
    <w:qFormat/>
    <w:rPr>
      <w:i/>
      <w:color w:val="8F5902"/>
      <w:shd w:fill="F8F8F8" w:val="clear"/>
    </w:rPr>
  </w:style>
  <w:style w:type="character" w:styleId="DocumentationTok" w:customStyle="1">
    <w:name w:val="DocumentationTok"/>
    <w:basedOn w:val="VerbatimChar"/>
    <w:qFormat/>
    <w:rPr>
      <w:i/>
      <w:color w:val="8F5902"/>
      <w:shd w:fill="F8F8F8" w:val="clear"/>
    </w:rPr>
  </w:style>
  <w:style w:type="character" w:styleId="AnnotationTok" w:customStyle="1">
    <w:name w:val="AnnotationTok"/>
    <w:basedOn w:val="VerbatimChar"/>
    <w:qFormat/>
    <w:rPr>
      <w:i/>
      <w:color w:val="8F5902"/>
      <w:shd w:fill="F8F8F8" w:val="clear"/>
    </w:rPr>
  </w:style>
  <w:style w:type="character" w:styleId="CommentVarTok" w:customStyle="1">
    <w:name w:val="CommentVarTok"/>
    <w:basedOn w:val="VerbatimChar"/>
    <w:qFormat/>
    <w:rPr>
      <w:i/>
      <w:color w:val="8F5902"/>
      <w:shd w:fill="F8F8F8" w:val="clear"/>
    </w:rPr>
  </w:style>
  <w:style w:type="character" w:styleId="OtherTok" w:customStyle="1">
    <w:name w:val="OtherTok"/>
    <w:basedOn w:val="VerbatimChar"/>
    <w:qFormat/>
    <w:rPr>
      <w:color w:val="8F5902"/>
      <w:shd w:fill="F8F8F8" w:val="clear"/>
    </w:rPr>
  </w:style>
  <w:style w:type="character" w:styleId="FunctionTok" w:customStyle="1">
    <w:name w:val="FunctionTok"/>
    <w:basedOn w:val="VerbatimChar"/>
    <w:qFormat/>
    <w:rPr>
      <w:color w:val="000000"/>
      <w:shd w:fill="F8F8F8" w:val="clear"/>
    </w:rPr>
  </w:style>
  <w:style w:type="character" w:styleId="VariableTok" w:customStyle="1">
    <w:name w:val="VariableTok"/>
    <w:basedOn w:val="VerbatimChar"/>
    <w:qFormat/>
    <w:rPr>
      <w:color w:val="000000"/>
      <w:shd w:fill="F8F8F8" w:val="clear"/>
    </w:rPr>
  </w:style>
  <w:style w:type="character" w:styleId="ControlFlowTok" w:customStyle="1">
    <w:name w:val="ControlFlowTok"/>
    <w:basedOn w:val="VerbatimChar"/>
    <w:qFormat/>
    <w:rPr>
      <w:color w:val="204A87"/>
      <w:shd w:fill="F8F8F8" w:val="clear"/>
    </w:rPr>
  </w:style>
  <w:style w:type="character" w:styleId="OperatorTok" w:customStyle="1">
    <w:name w:val="OperatorTok"/>
    <w:basedOn w:val="VerbatimChar"/>
    <w:qFormat/>
    <w:rPr>
      <w:color w:val="CE5C00"/>
      <w:shd w:fill="F8F8F8" w:val="clear"/>
    </w:rPr>
  </w:style>
  <w:style w:type="character" w:styleId="BuiltInTok" w:customStyle="1">
    <w:name w:val="BuiltInTok"/>
    <w:basedOn w:val="VerbatimChar"/>
    <w:qFormat/>
    <w:rPr>
      <w:shd w:fill="F8F8F8" w:val="clear"/>
    </w:rPr>
  </w:style>
  <w:style w:type="character" w:styleId="ExtensionTok" w:customStyle="1">
    <w:name w:val="ExtensionTok"/>
    <w:basedOn w:val="VerbatimChar"/>
    <w:qFormat/>
    <w:rPr>
      <w:shd w:fill="F8F8F8" w:val="clear"/>
    </w:rPr>
  </w:style>
  <w:style w:type="character" w:styleId="PreprocessorTok" w:customStyle="1">
    <w:name w:val="PreprocessorTok"/>
    <w:basedOn w:val="VerbatimChar"/>
    <w:qFormat/>
    <w:rPr>
      <w:i/>
      <w:color w:val="8F5902"/>
      <w:shd w:fill="F8F8F8" w:val="clear"/>
    </w:rPr>
  </w:style>
  <w:style w:type="character" w:styleId="AttributeTok" w:customStyle="1">
    <w:name w:val="AttributeTok"/>
    <w:basedOn w:val="VerbatimChar"/>
    <w:qFormat/>
    <w:rPr>
      <w:color w:val="C4A000"/>
      <w:shd w:fill="F8F8F8" w:val="clear"/>
    </w:rPr>
  </w:style>
  <w:style w:type="character" w:styleId="RegionMarkerTok" w:customStyle="1">
    <w:name w:val="RegionMarkerTok"/>
    <w:basedOn w:val="VerbatimChar"/>
    <w:qFormat/>
    <w:rPr>
      <w:shd w:fill="F8F8F8" w:val="clear"/>
    </w:rPr>
  </w:style>
  <w:style w:type="character" w:styleId="InformationTok" w:customStyle="1">
    <w:name w:val="InformationTok"/>
    <w:basedOn w:val="VerbatimChar"/>
    <w:qFormat/>
    <w:rPr>
      <w:i/>
      <w:color w:val="8F5902"/>
      <w:shd w:fill="F8F8F8" w:val="clear"/>
    </w:rPr>
  </w:style>
  <w:style w:type="character" w:styleId="WarningTok" w:customStyle="1">
    <w:name w:val="WarningTok"/>
    <w:basedOn w:val="VerbatimChar"/>
    <w:qFormat/>
    <w:rPr>
      <w:i/>
      <w:color w:val="8F5902"/>
      <w:shd w:fill="F8F8F8" w:val="clear"/>
    </w:rPr>
  </w:style>
  <w:style w:type="character" w:styleId="AlertTok" w:customStyle="1">
    <w:name w:val="AlertTok"/>
    <w:basedOn w:val="VerbatimChar"/>
    <w:qFormat/>
    <w:rPr>
      <w:color w:val="EF2929"/>
      <w:shd w:fill="F8F8F8" w:val="clear"/>
    </w:rPr>
  </w:style>
  <w:style w:type="character" w:styleId="ErrorTok" w:customStyle="1">
    <w:name w:val="ErrorTok"/>
    <w:basedOn w:val="VerbatimChar"/>
    <w:qFormat/>
    <w:rPr>
      <w:color w:val="A40000"/>
      <w:shd w:fill="F8F8F8" w:val="clear"/>
    </w:rPr>
  </w:style>
  <w:style w:type="character" w:styleId="NormalTok" w:customStyle="1">
    <w:name w:val="NormalTok"/>
    <w:basedOn w:val="VerbatimChar"/>
    <w:qFormat/>
    <w:rPr>
      <w:shd w:fill="F8F8F8" w:val="clear"/>
    </w:rPr>
  </w:style>
  <w:style w:type="character" w:styleId="ListLabel1">
    <w:name w:val="ListLabel 1"/>
    <w:qFormat/>
    <w:rPr/>
  </w:style>
  <w:style w:type="character" w:styleId="ListLabel2">
    <w:name w:val="ListLabel 2"/>
    <w:qFormat/>
    <w:rPr>
      <w:rFonts w:cs="Symbol"/>
    </w:rPr>
  </w:style>
  <w:style w:type="character" w:styleId="ListLabel3">
    <w:name w:val="ListLabel 3"/>
    <w:qFormat/>
    <w:rPr>
      <w:rFonts w:cs="Symbol"/>
    </w:rPr>
  </w:style>
  <w:style w:type="character" w:styleId="ListLabel4">
    <w:name w:val="ListLabel 4"/>
    <w:qFormat/>
    <w:rPr>
      <w:rFonts w:cs="Symbol"/>
    </w:rPr>
  </w:style>
  <w:style w:type="character" w:styleId="ListLabel5">
    <w:name w:val="ListLabel 5"/>
    <w:qFormat/>
    <w:rPr>
      <w:rFonts w:cs="Symbol"/>
    </w:rPr>
  </w:style>
  <w:style w:type="character" w:styleId="ListLabel6">
    <w:name w:val="ListLabel 6"/>
    <w:qFormat/>
    <w:rPr>
      <w:rFonts w:cs="Symbol"/>
    </w:rPr>
  </w:style>
  <w:style w:type="character" w:styleId="ListLabel7">
    <w:name w:val="ListLabel 7"/>
    <w:qFormat/>
    <w:rPr>
      <w:rFonts w:cs="Symbol"/>
    </w:rPr>
  </w:style>
  <w:style w:type="character" w:styleId="ListLabel8">
    <w:name w:val="ListLabel 8"/>
    <w:qFormat/>
    <w:rPr>
      <w:rFonts w:cs="Symbol"/>
    </w:rPr>
  </w:style>
  <w:style w:type="character" w:styleId="ListLabel9">
    <w:name w:val="ListLabel 9"/>
    <w:qFormat/>
    <w:rPr>
      <w:rFonts w:cs="Symbol"/>
    </w:rPr>
  </w:style>
  <w:style w:type="character" w:styleId="ListLabel10">
    <w:name w:val="ListLabel 10"/>
    <w:qFormat/>
    <w:rPr>
      <w:rFonts w:cs="Symbol"/>
    </w:rPr>
  </w:style>
  <w:style w:type="character" w:styleId="ListLabel11">
    <w:name w:val="ListLabel 11"/>
    <w:qFormat/>
    <w:rPr>
      <w:rFonts w:cs="Symbol"/>
    </w:rPr>
  </w:style>
  <w:style w:type="character" w:styleId="ListLabel12">
    <w:name w:val="ListLabel 12"/>
    <w:qFormat/>
    <w:rPr>
      <w:rFonts w:cs="Symbol"/>
    </w:rPr>
  </w:style>
  <w:style w:type="character" w:styleId="ListLabel13">
    <w:name w:val="ListLabel 13"/>
    <w:qFormat/>
    <w:rPr>
      <w:rFonts w:cs="Symbol"/>
    </w:rPr>
  </w:style>
  <w:style w:type="character" w:styleId="ListLabel14">
    <w:name w:val="ListLabel 14"/>
    <w:qFormat/>
    <w:rPr>
      <w:rFonts w:cs="Symbol"/>
    </w:rPr>
  </w:style>
  <w:style w:type="character" w:styleId="ListLabel15">
    <w:name w:val="ListLabel 15"/>
    <w:qFormat/>
    <w:rPr>
      <w:rFonts w:cs="Symbol"/>
    </w:rPr>
  </w:style>
  <w:style w:type="character" w:styleId="ListLabel16">
    <w:name w:val="ListLabel 16"/>
    <w:qFormat/>
    <w:rPr>
      <w:rFonts w:cs="Symbol"/>
    </w:rPr>
  </w:style>
  <w:style w:type="character" w:styleId="ListLabel17">
    <w:name w:val="ListLabel 17"/>
    <w:qFormat/>
    <w:rPr>
      <w:rFonts w:cs="Symbol"/>
    </w:rPr>
  </w:style>
  <w:style w:type="character" w:styleId="ListLabel18">
    <w:name w:val="ListLabel 18"/>
    <w:qFormat/>
    <w:rPr>
      <w:rFonts w:cs="Symbol"/>
    </w:rPr>
  </w:style>
  <w:style w:type="character" w:styleId="ListLabel19">
    <w:name w:val="ListLabel 19"/>
    <w:qFormat/>
    <w:rPr>
      <w:rFonts w:cs="Symbol"/>
    </w:rPr>
  </w:style>
  <w:style w:type="character" w:styleId="ListLabel20">
    <w:name w:val="ListLabel 20"/>
    <w:qFormat/>
    <w:rPr>
      <w:rFonts w:cs="Symbol"/>
    </w:rPr>
  </w:style>
  <w:style w:type="character" w:styleId="ListLabel21">
    <w:name w:val="ListLabel 21"/>
    <w:qFormat/>
    <w:rPr>
      <w:rFonts w:cs="Symbol"/>
    </w:rPr>
  </w:style>
  <w:style w:type="character" w:styleId="ListLabel22">
    <w:name w:val="ListLabel 22"/>
    <w:qFormat/>
    <w:rPr>
      <w:rFonts w:cs="Symbol"/>
    </w:rPr>
  </w:style>
  <w:style w:type="character" w:styleId="ListLabel23">
    <w:name w:val="ListLabel 23"/>
    <w:qFormat/>
    <w:rPr>
      <w:rFonts w:cs="Symbol"/>
    </w:rPr>
  </w:style>
  <w:style w:type="character" w:styleId="ListLabel24">
    <w:name w:val="ListLabel 24"/>
    <w:qFormat/>
    <w:rPr>
      <w:rFonts w:cs="Symbol"/>
    </w:rPr>
  </w:style>
  <w:style w:type="character" w:styleId="ListLabel25">
    <w:name w:val="ListLabel 25"/>
    <w:qFormat/>
    <w:rPr>
      <w:rFonts w:cs="Symbol"/>
    </w:rPr>
  </w:style>
  <w:style w:type="character" w:styleId="ListLabel26">
    <w:name w:val="ListLabel 26"/>
    <w:qFormat/>
    <w:rPr>
      <w:rFonts w:cs="Symbol"/>
    </w:rPr>
  </w:style>
  <w:style w:type="character" w:styleId="ListLabel27">
    <w:name w:val="ListLabel 27"/>
    <w:qFormat/>
    <w:rPr>
      <w:rFonts w:cs="Symbol"/>
    </w:rPr>
  </w:style>
  <w:style w:type="character" w:styleId="ListLabel28">
    <w:name w:val="ListLabel 28"/>
    <w:qFormat/>
    <w:rPr>
      <w:rFonts w:cs="Symbol"/>
    </w:rPr>
  </w:style>
  <w:style w:type="character" w:styleId="ListLabel29">
    <w:name w:val="ListLabel 29"/>
    <w:qFormat/>
    <w:rPr>
      <w:rFonts w:cs="Symbol"/>
    </w:rPr>
  </w:style>
  <w:style w:type="character" w:styleId="ListLabel30">
    <w:name w:val="ListLabel 30"/>
    <w:qFormat/>
    <w:rPr>
      <w:rFonts w:cs="Symbol"/>
    </w:rPr>
  </w:style>
  <w:style w:type="character" w:styleId="ListLabel31">
    <w:name w:val="ListLabel 31"/>
    <w:qFormat/>
    <w:rPr>
      <w:rFonts w:cs="Symbol"/>
    </w:rPr>
  </w:style>
  <w:style w:type="character" w:styleId="ListLabel32">
    <w:name w:val="ListLabel 32"/>
    <w:qFormat/>
    <w:rPr>
      <w:rFonts w:cs="Symbol"/>
    </w:rPr>
  </w:style>
  <w:style w:type="character" w:styleId="ListLabel33">
    <w:name w:val="ListLabel 33"/>
    <w:qFormat/>
    <w:rPr>
      <w:rFonts w:cs="Symbol"/>
    </w:rPr>
  </w:style>
  <w:style w:type="character" w:styleId="ListLabel34">
    <w:name w:val="ListLabel 34"/>
    <w:qFormat/>
    <w:rPr>
      <w:rFonts w:cs="Symbol"/>
    </w:rPr>
  </w:style>
  <w:style w:type="character" w:styleId="ListLabel35">
    <w:name w:val="ListLabel 35"/>
    <w:qFormat/>
    <w:rPr>
      <w:rFonts w:cs="Symbol"/>
    </w:rPr>
  </w:style>
  <w:style w:type="character" w:styleId="ListLabel36">
    <w:name w:val="ListLabel 36"/>
    <w:qFormat/>
    <w:rPr>
      <w:rFonts w:cs="Symbol"/>
    </w:rPr>
  </w:style>
  <w:style w:type="character" w:styleId="ListLabel37">
    <w:name w:val="ListLabel 37"/>
    <w:qFormat/>
    <w:rPr>
      <w:rFonts w:cs="Symbol"/>
    </w:rPr>
  </w:style>
  <w:style w:type="character" w:styleId="ListLabel38">
    <w:name w:val="ListLabel 38"/>
    <w:qFormat/>
    <w:rPr>
      <w:rFonts w:cs="Symbol"/>
    </w:rPr>
  </w:style>
  <w:style w:type="character" w:styleId="ListLabel39">
    <w:name w:val="ListLabel 39"/>
    <w:qFormat/>
    <w:rPr>
      <w:rFonts w:cs="Symbol"/>
    </w:rPr>
  </w:style>
  <w:style w:type="character" w:styleId="ListLabel40">
    <w:name w:val="ListLabel 40"/>
    <w:qFormat/>
    <w:rPr>
      <w:rFonts w:cs="Symbol"/>
    </w:rPr>
  </w:style>
  <w:style w:type="character" w:styleId="ListLabel41">
    <w:name w:val="ListLabel 41"/>
    <w:qFormat/>
    <w:rPr>
      <w:rFonts w:cs="Symbol"/>
    </w:rPr>
  </w:style>
  <w:style w:type="character" w:styleId="ListLabel42">
    <w:name w:val="ListLabel 42"/>
    <w:qFormat/>
    <w:rPr>
      <w:rFonts w:cs="Symbol"/>
    </w:rPr>
  </w:style>
  <w:style w:type="character" w:styleId="ListLabel43">
    <w:name w:val="ListLabel 43"/>
    <w:qFormat/>
    <w:rPr>
      <w:rFonts w:cs="Symbol"/>
    </w:rPr>
  </w:style>
  <w:style w:type="character" w:styleId="ListLabel44">
    <w:name w:val="ListLabel 44"/>
    <w:qFormat/>
    <w:rPr>
      <w:rFonts w:cs="Symbol"/>
    </w:rPr>
  </w:style>
  <w:style w:type="character" w:styleId="ListLabel45">
    <w:name w:val="ListLabel 45"/>
    <w:qFormat/>
    <w:rPr>
      <w:rFonts w:cs="Symbol"/>
    </w:rPr>
  </w:style>
  <w:style w:type="character" w:styleId="ListLabel46">
    <w:name w:val="ListLabel 46"/>
    <w:qFormat/>
    <w:rPr>
      <w:rFonts w:cs="Symbol"/>
    </w:rPr>
  </w:style>
  <w:style w:type="character" w:styleId="ListLabel47">
    <w:name w:val="ListLabel 47"/>
    <w:qFormat/>
    <w:rPr>
      <w:rFonts w:cs="Symbol"/>
    </w:rPr>
  </w:style>
  <w:style w:type="character" w:styleId="ListLabel48">
    <w:name w:val="ListLabel 48"/>
    <w:qFormat/>
    <w:rPr>
      <w:rFonts w:cs="Symbol"/>
    </w:rPr>
  </w:style>
  <w:style w:type="character" w:styleId="ListLabel49">
    <w:name w:val="ListLabel 49"/>
    <w:qFormat/>
    <w:rPr>
      <w:rFonts w:cs="Symbol"/>
    </w:rPr>
  </w:style>
  <w:style w:type="character" w:styleId="ListLabel50">
    <w:name w:val="ListLabel 50"/>
    <w:qFormat/>
    <w:rPr>
      <w:rFonts w:cs="Symbol"/>
    </w:rPr>
  </w:style>
  <w:style w:type="character" w:styleId="ListLabel51">
    <w:name w:val="ListLabel 51"/>
    <w:qFormat/>
    <w:rPr>
      <w:rFonts w:cs="Symbol"/>
    </w:rPr>
  </w:style>
  <w:style w:type="character" w:styleId="ListLabel52">
    <w:name w:val="ListLabel 52"/>
    <w:qFormat/>
    <w:rPr>
      <w:rFonts w:cs="Symbol"/>
    </w:rPr>
  </w:style>
  <w:style w:type="character" w:styleId="ListLabel53">
    <w:name w:val="ListLabel 53"/>
    <w:qFormat/>
    <w:rPr>
      <w:rFonts w:cs="Symbol"/>
    </w:rPr>
  </w:style>
  <w:style w:type="character" w:styleId="ListLabel54">
    <w:name w:val="ListLabel 54"/>
    <w:qFormat/>
    <w:rPr>
      <w:rFonts w:cs="Symbol"/>
    </w:rPr>
  </w:style>
  <w:style w:type="character" w:styleId="ListLabel55">
    <w:name w:val="ListLabel 55"/>
    <w:qFormat/>
    <w:rPr>
      <w:rFonts w:cs="Symbol"/>
    </w:rPr>
  </w:style>
  <w:style w:type="character" w:styleId="ListLabel56">
    <w:name w:val="ListLabel 56"/>
    <w:qFormat/>
    <w:rPr>
      <w:rFonts w:cs="Symbol"/>
    </w:rPr>
  </w:style>
  <w:style w:type="character" w:styleId="ListLabel57">
    <w:name w:val="ListLabel 57"/>
    <w:qFormat/>
    <w:rPr>
      <w:rFonts w:cs="Symbol"/>
    </w:rPr>
  </w:style>
  <w:style w:type="character" w:styleId="ListLabel58">
    <w:name w:val="ListLabel 58"/>
    <w:qFormat/>
    <w:rPr>
      <w:rFonts w:cs="Symbol"/>
    </w:rPr>
  </w:style>
  <w:style w:type="character" w:styleId="ListLabel59">
    <w:name w:val="ListLabel 59"/>
    <w:qFormat/>
    <w:rPr>
      <w:rFonts w:cs="Symbol"/>
    </w:rPr>
  </w:style>
  <w:style w:type="character" w:styleId="ListLabel60">
    <w:name w:val="ListLabel 60"/>
    <w:qFormat/>
    <w:rPr>
      <w:rFonts w:cs="Symbol"/>
    </w:rPr>
  </w:style>
  <w:style w:type="character" w:styleId="ListLabel61">
    <w:name w:val="ListLabel 61"/>
    <w:qFormat/>
    <w:rPr>
      <w:rFonts w:cs="Symbol"/>
    </w:rPr>
  </w:style>
  <w:style w:type="character" w:styleId="ListLabel62">
    <w:name w:val="ListLabel 62"/>
    <w:qFormat/>
    <w:rPr>
      <w:rFonts w:cs="Symbol"/>
    </w:rPr>
  </w:style>
  <w:style w:type="character" w:styleId="ListLabel63">
    <w:name w:val="ListLabel 63"/>
    <w:qFormat/>
    <w:rPr>
      <w:rFonts w:cs="Symbol"/>
    </w:rPr>
  </w:style>
  <w:style w:type="character" w:styleId="ListLabel64">
    <w:name w:val="ListLabel 64"/>
    <w:qFormat/>
    <w:rPr>
      <w:rFonts w:cs="Symbol"/>
    </w:rPr>
  </w:style>
  <w:style w:type="character" w:styleId="ListLabel65">
    <w:name w:val="ListLabel 65"/>
    <w:qFormat/>
    <w:rPr>
      <w:rFonts w:cs="Symbol"/>
    </w:rPr>
  </w:style>
  <w:style w:type="character" w:styleId="ListLabel66">
    <w:name w:val="ListLabel 66"/>
    <w:qFormat/>
    <w:rPr>
      <w:rFonts w:cs="Symbol"/>
    </w:rPr>
  </w:style>
  <w:style w:type="character" w:styleId="ListLabel67">
    <w:name w:val="ListLabel 67"/>
    <w:qFormat/>
    <w:rPr>
      <w:rFonts w:cs="Symbol"/>
    </w:rPr>
  </w:style>
  <w:style w:type="character" w:styleId="ListLabel68">
    <w:name w:val="ListLabel 68"/>
    <w:qFormat/>
    <w:rPr>
      <w:rFonts w:cs="Symbol"/>
    </w:rPr>
  </w:style>
  <w:style w:type="character" w:styleId="ListLabel69">
    <w:name w:val="ListLabel 69"/>
    <w:qFormat/>
    <w:rPr>
      <w:rFonts w:cs="Symbol"/>
    </w:rPr>
  </w:style>
  <w:style w:type="character" w:styleId="ListLabel70">
    <w:name w:val="ListLabel 70"/>
    <w:qFormat/>
    <w:rPr>
      <w:rFonts w:cs="Symbol"/>
    </w:rPr>
  </w:style>
  <w:style w:type="character" w:styleId="ListLabel71">
    <w:name w:val="ListLabel 71"/>
    <w:qFormat/>
    <w:rPr>
      <w:rFonts w:cs="Symbol"/>
    </w:rPr>
  </w:style>
  <w:style w:type="character" w:styleId="ListLabel72">
    <w:name w:val="ListLabel 72"/>
    <w:qFormat/>
    <w:rPr>
      <w:rFonts w:cs="Symbol"/>
    </w:rPr>
  </w:style>
  <w:style w:type="character" w:styleId="ListLabel73">
    <w:name w:val="ListLabel 73"/>
    <w:qFormat/>
    <w:rPr>
      <w:rFonts w:cs="Symbol"/>
    </w:rPr>
  </w:style>
  <w:style w:type="character" w:styleId="ListLabel74">
    <w:name w:val="ListLabel 74"/>
    <w:qFormat/>
    <w:rPr>
      <w:rFonts w:cs="Symbol"/>
    </w:rPr>
  </w:style>
  <w:style w:type="character" w:styleId="ListLabel75">
    <w:name w:val="ListLabel 75"/>
    <w:qFormat/>
    <w:rPr>
      <w:rFonts w:cs="Symbol"/>
    </w:rPr>
  </w:style>
  <w:style w:type="character" w:styleId="ListLabel76">
    <w:name w:val="ListLabel 76"/>
    <w:qFormat/>
    <w:rPr>
      <w:rFonts w:cs="Symbol"/>
    </w:rPr>
  </w:style>
  <w:style w:type="character" w:styleId="ListLabel77">
    <w:name w:val="ListLabel 77"/>
    <w:qFormat/>
    <w:rPr>
      <w:rFonts w:cs="Symbol"/>
    </w:rPr>
  </w:style>
  <w:style w:type="character" w:styleId="ListLabel78">
    <w:name w:val="ListLabel 78"/>
    <w:qFormat/>
    <w:rPr>
      <w:rFonts w:cs="Symbol"/>
    </w:rPr>
  </w:style>
  <w:style w:type="character" w:styleId="ListLabel79">
    <w:name w:val="ListLabel 79"/>
    <w:qFormat/>
    <w:rPr>
      <w:rFonts w:cs="Symbol"/>
    </w:rPr>
  </w:style>
  <w:style w:type="character" w:styleId="ListLabel80">
    <w:name w:val="ListLabel 80"/>
    <w:qFormat/>
    <w:rPr>
      <w:rFonts w:cs="Symbol"/>
    </w:rPr>
  </w:style>
  <w:style w:type="character" w:styleId="ListLabel81">
    <w:name w:val="ListLabel 81"/>
    <w:qFormat/>
    <w:rPr>
      <w:rFonts w:cs="Symbol"/>
    </w:rPr>
  </w:style>
  <w:style w:type="character" w:styleId="ListLabel82">
    <w:name w:val="ListLabel 82"/>
    <w:qFormat/>
    <w:rPr>
      <w:rFonts w:cs="Symbol"/>
    </w:rPr>
  </w:style>
  <w:style w:type="character" w:styleId="ListLabel83">
    <w:name w:val="ListLabel 83"/>
    <w:qFormat/>
    <w:rPr>
      <w:rFonts w:cs="Symbol"/>
    </w:rPr>
  </w:style>
  <w:style w:type="character" w:styleId="ListLabel84">
    <w:name w:val="ListLabel 84"/>
    <w:qFormat/>
    <w:rPr>
      <w:rFonts w:cs="Symbol"/>
    </w:rPr>
  </w:style>
  <w:style w:type="character" w:styleId="ListLabel85">
    <w:name w:val="ListLabel 85"/>
    <w:qFormat/>
    <w:rPr>
      <w:rFonts w:cs="Symbol"/>
    </w:rPr>
  </w:style>
  <w:style w:type="character" w:styleId="ListLabel86">
    <w:name w:val="ListLabel 86"/>
    <w:qFormat/>
    <w:rPr>
      <w:rFonts w:cs="Symbol"/>
    </w:rPr>
  </w:style>
  <w:style w:type="character" w:styleId="ListLabel87">
    <w:name w:val="ListLabel 87"/>
    <w:qFormat/>
    <w:rPr>
      <w:rFonts w:cs="Symbol"/>
    </w:rPr>
  </w:style>
  <w:style w:type="character" w:styleId="ListLabel88">
    <w:name w:val="ListLabel 88"/>
    <w:qFormat/>
    <w:rPr>
      <w:rFonts w:cs="Symbol"/>
    </w:rPr>
  </w:style>
  <w:style w:type="character" w:styleId="ListLabel89">
    <w:name w:val="ListLabel 89"/>
    <w:qFormat/>
    <w:rPr>
      <w:rFonts w:cs="Symbol"/>
    </w:rPr>
  </w:style>
  <w:style w:type="character" w:styleId="ListLabel90">
    <w:name w:val="ListLabel 90"/>
    <w:qFormat/>
    <w:rPr>
      <w:rFonts w:cs="Symbol"/>
    </w:rPr>
  </w:style>
  <w:style w:type="character" w:styleId="ListLabel91">
    <w:name w:val="ListLabel 91"/>
    <w:qFormat/>
    <w:rPr>
      <w:rFonts w:cs="Symbol"/>
    </w:rPr>
  </w:style>
  <w:style w:type="character" w:styleId="ListLabel92">
    <w:name w:val="ListLabel 92"/>
    <w:qFormat/>
    <w:rPr>
      <w:rFonts w:cs="Symbol"/>
    </w:rPr>
  </w:style>
  <w:style w:type="character" w:styleId="ListLabel93">
    <w:name w:val="ListLabel 93"/>
    <w:qFormat/>
    <w:rPr>
      <w:rFonts w:cs="Symbol"/>
    </w:rPr>
  </w:style>
  <w:style w:type="character" w:styleId="ListLabel94">
    <w:name w:val="ListLabel 94"/>
    <w:qFormat/>
    <w:rPr>
      <w:rFonts w:cs="Symbol"/>
    </w:rPr>
  </w:style>
  <w:style w:type="character" w:styleId="ListLabel95">
    <w:name w:val="ListLabel 95"/>
    <w:qFormat/>
    <w:rPr>
      <w:rFonts w:cs="Symbol"/>
    </w:rPr>
  </w:style>
  <w:style w:type="character" w:styleId="ListLabel96">
    <w:name w:val="ListLabel 96"/>
    <w:qFormat/>
    <w:rPr>
      <w:rFonts w:cs="Symbol"/>
    </w:rPr>
  </w:style>
  <w:style w:type="character" w:styleId="ListLabel97">
    <w:name w:val="ListLabel 97"/>
    <w:qFormat/>
    <w:rPr>
      <w:rFonts w:cs="Symbol"/>
    </w:rPr>
  </w:style>
  <w:style w:type="character" w:styleId="ListLabel98">
    <w:name w:val="ListLabel 98"/>
    <w:qFormat/>
    <w:rPr>
      <w:rFonts w:cs="Symbol"/>
    </w:rPr>
  </w:style>
  <w:style w:type="character" w:styleId="ListLabel99">
    <w:name w:val="ListLabel 99"/>
    <w:qFormat/>
    <w:rPr>
      <w:rFonts w:cs="Symbol"/>
    </w:rPr>
  </w:style>
  <w:style w:type="character" w:styleId="ListLabel100">
    <w:name w:val="ListLabel 100"/>
    <w:qFormat/>
    <w:rPr>
      <w:rFonts w:cs="Symbol"/>
    </w:rPr>
  </w:style>
  <w:style w:type="character" w:styleId="ListLabel101">
    <w:name w:val="ListLabel 101"/>
    <w:qFormat/>
    <w:rPr>
      <w:rFonts w:cs="Symbol"/>
    </w:rPr>
  </w:style>
  <w:style w:type="character" w:styleId="ListLabel102">
    <w:name w:val="ListLabel 102"/>
    <w:qFormat/>
    <w:rPr>
      <w:rFonts w:cs="Symbol"/>
    </w:rPr>
  </w:style>
  <w:style w:type="character" w:styleId="ListLabel103">
    <w:name w:val="ListLabel 103"/>
    <w:qFormat/>
    <w:rPr>
      <w:rFonts w:cs="Symbol"/>
    </w:rPr>
  </w:style>
  <w:style w:type="character" w:styleId="ListLabel104">
    <w:name w:val="ListLabel 104"/>
    <w:qFormat/>
    <w:rPr>
      <w:rFonts w:cs="Symbol"/>
    </w:rPr>
  </w:style>
  <w:style w:type="character" w:styleId="ListLabel105">
    <w:name w:val="ListLabel 105"/>
    <w:qFormat/>
    <w:rPr>
      <w:rFonts w:cs="Symbol"/>
    </w:rPr>
  </w:style>
  <w:style w:type="character" w:styleId="ListLabel106">
    <w:name w:val="ListLabel 106"/>
    <w:qFormat/>
    <w:rPr>
      <w:rFonts w:cs="Symbol"/>
    </w:rPr>
  </w:style>
  <w:style w:type="character" w:styleId="ListLabel107">
    <w:name w:val="ListLabel 107"/>
    <w:qFormat/>
    <w:rPr>
      <w:rFonts w:cs="Symbol"/>
    </w:rPr>
  </w:style>
  <w:style w:type="character" w:styleId="ListLabel108">
    <w:name w:val="ListLabel 108"/>
    <w:qFormat/>
    <w:rPr>
      <w:rFonts w:cs="Symbol"/>
    </w:rPr>
  </w:style>
  <w:style w:type="character" w:styleId="ListLabel109">
    <w:name w:val="ListLabel 109"/>
    <w:qFormat/>
    <w:rPr>
      <w:rFonts w:cs="Symbol"/>
    </w:rPr>
  </w:style>
  <w:style w:type="character" w:styleId="ListLabel110">
    <w:name w:val="ListLabel 110"/>
    <w:qFormat/>
    <w:rPr>
      <w:rFonts w:cs="Symbol"/>
    </w:rPr>
  </w:style>
  <w:style w:type="character" w:styleId="ListLabel111">
    <w:name w:val="ListLabel 111"/>
    <w:qFormat/>
    <w:rPr>
      <w:rFonts w:cs="Symbol"/>
    </w:rPr>
  </w:style>
  <w:style w:type="character" w:styleId="ListLabel112">
    <w:name w:val="ListLabel 112"/>
    <w:qFormat/>
    <w:rPr>
      <w:rFonts w:cs="Symbol"/>
    </w:rPr>
  </w:style>
  <w:style w:type="character" w:styleId="ListLabel113">
    <w:name w:val="ListLabel 113"/>
    <w:qFormat/>
    <w:rPr>
      <w:rFonts w:cs="Symbol"/>
    </w:rPr>
  </w:style>
  <w:style w:type="character" w:styleId="ListLabel114">
    <w:name w:val="ListLabel 114"/>
    <w:qFormat/>
    <w:rPr>
      <w:rFonts w:cs="Symbol"/>
    </w:rPr>
  </w:style>
  <w:style w:type="character" w:styleId="ListLabel115">
    <w:name w:val="ListLabel 115"/>
    <w:qFormat/>
    <w:rPr>
      <w:rFonts w:cs="Symbol"/>
    </w:rPr>
  </w:style>
  <w:style w:type="character" w:styleId="ListLabel116">
    <w:name w:val="ListLabel 116"/>
    <w:qFormat/>
    <w:rPr>
      <w:rFonts w:cs="Symbol"/>
    </w:rPr>
  </w:style>
  <w:style w:type="character" w:styleId="ListLabel117">
    <w:name w:val="ListLabel 117"/>
    <w:qFormat/>
    <w:rPr>
      <w:rFonts w:cs="Symbol"/>
    </w:rPr>
  </w:style>
  <w:style w:type="character" w:styleId="ListLabel118">
    <w:name w:val="ListLabel 118"/>
    <w:qFormat/>
    <w:rPr>
      <w:rFonts w:cs="Symbol"/>
    </w:rPr>
  </w:style>
  <w:style w:type="character" w:styleId="ListLabel119">
    <w:name w:val="ListLabel 119"/>
    <w:qFormat/>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qFormat/>
    <w:pPr>
      <w:spacing w:before="180" w:after="180"/>
    </w:pPr>
    <w:rPr>
      <w:rFonts w:ascii="arial" w:hAnsi="arial"/>
      <w:sz w:val="24"/>
      <w:szCs w:val="24"/>
    </w:rPr>
  </w:style>
  <w:style w:type="paragraph" w:styleId="List">
    <w:name w:val="List"/>
    <w:basedOn w:val="TextBody"/>
    <w:pPr/>
    <w:rPr>
      <w:rFonts w:cs="Lohit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Lohit Devanagari"/>
    </w:rPr>
  </w:style>
  <w:style w:type="paragraph" w:styleId="FirstParagraph" w:customStyle="1">
    <w:name w:val="First Paragraph"/>
    <w:basedOn w:val="TextBody"/>
    <w:qFormat/>
    <w:pPr>
      <w:jc w:val="both"/>
    </w:pPr>
    <w:rPr>
      <w:rFonts w:ascii="arial" w:hAnsi="arial"/>
      <w:b w:val="false"/>
      <w:bCs w:val="false"/>
      <w:sz w:val="24"/>
      <w:szCs w:val="24"/>
    </w:rPr>
  </w:style>
  <w:style w:type="paragraph" w:styleId="Compact" w:customStyle="1">
    <w:name w:val="Compact"/>
    <w:basedOn w:val="TextBody"/>
    <w:qFormat/>
    <w:pPr>
      <w:spacing w:before="36" w:after="36"/>
    </w:pPr>
    <w:rPr/>
  </w:style>
  <w:style w:type="paragraph" w:styleId="Title">
    <w:name w:val="Title"/>
    <w:basedOn w:val="Normal"/>
    <w:qFormat/>
    <w:pPr>
      <w:keepNext w:val="true"/>
      <w:keepLines/>
      <w:spacing w:before="480" w:after="240"/>
      <w:jc w:val="center"/>
    </w:pPr>
    <w:rPr>
      <w:rFonts w:ascii="arial" w:hAnsi="arial" w:eastAsia="" w:cs="" w:cstheme="majorBidi" w:eastAsiaTheme="majorEastAsia"/>
      <w:b/>
      <w:bCs/>
      <w:color w:val="000000" w:themeShade="b5"/>
      <w:sz w:val="30"/>
      <w:szCs w:val="30"/>
    </w:rPr>
  </w:style>
  <w:style w:type="paragraph" w:styleId="Subtitle">
    <w:name w:val="Subtitle"/>
    <w:basedOn w:val="Title"/>
    <w:qFormat/>
    <w:pPr>
      <w:keepNext w:val="true"/>
      <w:keepLines/>
      <w:spacing w:before="240" w:after="240"/>
      <w:jc w:val="center"/>
    </w:pPr>
    <w:rPr>
      <w:sz w:val="30"/>
      <w:szCs w:val="30"/>
    </w:rPr>
  </w:style>
  <w:style w:type="paragraph" w:styleId="Author" w:customStyle="1">
    <w:name w:val="Author"/>
    <w:qFormat/>
    <w:pPr>
      <w:keepNext w:val="true"/>
      <w:keepLines/>
      <w:widowControl/>
      <w:bidi w:val="0"/>
      <w:jc w:val="center"/>
    </w:pPr>
    <w:rPr>
      <w:rFonts w:ascii="arial" w:hAnsi="arial" w:eastAsia="Cambria" w:cs="" w:cstheme="minorBidi" w:eastAsiaTheme="minorHAnsi"/>
      <w:b/>
      <w:bCs/>
      <w:color w:val="auto"/>
      <w:kern w:val="0"/>
      <w:sz w:val="24"/>
      <w:szCs w:val="24"/>
      <w:lang w:val="en-US" w:eastAsia="en-US" w:bidi="ar-SA"/>
    </w:rPr>
  </w:style>
  <w:style w:type="paragraph" w:styleId="Date">
    <w:name w:val="Date"/>
    <w:qFormat/>
    <w:pPr>
      <w:keepNext w:val="true"/>
      <w:keepLines/>
      <w:widowControl/>
      <w:bidi w:val="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qFormat/>
    <w:pPr>
      <w:keepNext w:val="true"/>
      <w:keepLines/>
      <w:spacing w:before="300" w:after="300"/>
    </w:pPr>
    <w:rPr>
      <w:sz w:val="20"/>
      <w:szCs w:val="20"/>
    </w:rPr>
  </w:style>
  <w:style w:type="paragraph" w:styleId="Bibliography">
    <w:name w:val="Bibliography"/>
    <w:basedOn w:val="Normal"/>
    <w:qFormat/>
    <w:pPr>
      <w:jc w:val="both"/>
    </w:pPr>
    <w:rPr>
      <w:rFonts w:ascii="arial" w:hAnsi="arial"/>
      <w:sz w:val="24"/>
      <w:szCs w:val="24"/>
    </w:rPr>
  </w:style>
  <w:style w:type="paragraph" w:styleId="BlockText">
    <w:name w:val="Block Text"/>
    <w:basedOn w:val="TextBody"/>
    <w:uiPriority w:val="9"/>
    <w:unhideWhenUsed/>
    <w:qFormat/>
    <w:pPr>
      <w:spacing w:before="100" w:after="100"/>
      <w:ind w:hanging="0"/>
    </w:pPr>
    <w:rPr>
      <w:rFonts w:ascii="Calibri" w:hAnsi="Calibri" w:eastAsia="" w:cs="" w:asciiTheme="majorHAnsi" w:cstheme="majorBidi" w:eastAsiaTheme="majorEastAsia" w:hAnsiTheme="majorHAnsi"/>
      <w:bCs/>
      <w:sz w:val="20"/>
      <w:szCs w:val="20"/>
    </w:rPr>
  </w:style>
  <w:style w:type="paragraph" w:styleId="Footnote">
    <w:name w:val="Footnote Text"/>
    <w:basedOn w:val="Normal"/>
    <w:uiPriority w:val="9"/>
    <w:unhideWhenUsed/>
    <w:qFormat/>
    <w:pPr/>
    <w:rPr/>
  </w:style>
  <w:style w:type="paragraph" w:styleId="DefinitionTerm" w:customStyle="1">
    <w:name w:val="Definition Term"/>
    <w:basedOn w:val="Normal"/>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TOCHeading">
    <w:name w:val="TOC Heading"/>
    <w:basedOn w:val="Heading1"/>
    <w:uiPriority w:val="39"/>
    <w:unhideWhenUsed/>
    <w:qFormat/>
    <w:pPr>
      <w:spacing w:lineRule="auto" w:line="259" w:before="240" w:after="0"/>
    </w:pPr>
    <w:rPr>
      <w:rFonts w:ascii="Calibri" w:hAnsi="Calibri" w:eastAsia="" w:cs="" w:asciiTheme="majorHAnsi" w:cstheme="majorBidi" w:eastAsiaTheme="majorEastAsia" w:hAnsiTheme="majorHAnsi"/>
      <w:b w:val="false"/>
      <w:bCs w:val="false"/>
      <w:color w:val="365F91" w:themeColor="accent1" w:themeShade="bf"/>
    </w:rPr>
  </w:style>
  <w:style w:type="paragraph" w:styleId="SourceCode" w:customStyle="1">
    <w:name w:val="Source Code"/>
    <w:basedOn w:val="Normal"/>
    <w:link w:val="VerbatimChar"/>
    <w:qFormat/>
    <w:pPr>
      <w:shd w:val="clear" w:fill="F8F8F8"/>
    </w:pPr>
    <w:rPr/>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2" Target="media/rId152.png" /><Relationship Type="http://schemas.openxmlformats.org/officeDocument/2006/relationships/hyperlink" Id="rId110" Target="http://repositorio.unicamp.br/jspui/bitstream/REPOSIP/333826/1/Silva_JoseHenriqueCostaMonteiroDa_M.pdf" TargetMode="External" /><Relationship Type="http://schemas.openxmlformats.org/officeDocument/2006/relationships/hyperlink" Id="rId90" Target="http://www.scielo.br/scielo.php?script=sci_arttext&amp;pid=S0101-41612011000300004&amp;nrm=iso" TargetMode="External" /><Relationship Type="http://schemas.openxmlformats.org/officeDocument/2006/relationships/hyperlink" Id="rId134" Target="http://www.scielo.br/scielo.php?script=sci_arttext&amp;pid=S0102-311X2016000400709&amp;nrm=iso" TargetMode="External" /><Relationship Type="http://schemas.openxmlformats.org/officeDocument/2006/relationships/hyperlink" Id="rId40" Target="http://www.scielo.br/scielo.php?script=sci_arttext&amp;pid=S0102-69092000000100009&amp;nrm=iso" TargetMode="External" /><Relationship Type="http://schemas.openxmlformats.org/officeDocument/2006/relationships/hyperlink" Id="rId131" Target="https://doi.org/10.1111/padr.12273" TargetMode="External" /><Relationship Type="http://schemas.openxmlformats.org/officeDocument/2006/relationships/hyperlink" Id="rId149" Target="https://doi.org/10.4054/DemRes.2014.30.53" TargetMode="External" /><Relationship Type="http://schemas.openxmlformats.org/officeDocument/2006/relationships/hyperlink" Id="rId99" Target="https://doi.org/https://doi.org/10.1016/j.worlddev.2012.09.013" TargetMode="External" /><Relationship Type="http://schemas.openxmlformats.org/officeDocument/2006/relationships/hyperlink" Id="rId92" Target="https://doi.org/https://doi.org/10.25222/larr.42" TargetMode="External" /><Relationship Type="http://schemas.openxmlformats.org/officeDocument/2006/relationships/hyperlink" Id="rId62" Target="https://www.census.gov/library/publications/1993/demo/p23-186.html" TargetMode="External" /></Relationships>
</file>

<file path=word/_rels/footnotes.xml.rels><?xml version="1.0" encoding="UTF-8"?>
<Relationships xmlns="http://schemas.openxmlformats.org/package/2006/relationships"><Relationship Type="http://schemas.openxmlformats.org/officeDocument/2006/relationships/hyperlink" Id="rId110" Target="http://repositorio.unicamp.br/jspui/bitstream/REPOSIP/333826/1/Silva_JoseHenriqueCostaMonteiroDa_M.pdf" TargetMode="External" /><Relationship Type="http://schemas.openxmlformats.org/officeDocument/2006/relationships/hyperlink" Id="rId90" Target="http://www.scielo.br/scielo.php?script=sci_arttext&amp;pid=S0101-41612011000300004&amp;nrm=iso" TargetMode="External" /><Relationship Type="http://schemas.openxmlformats.org/officeDocument/2006/relationships/hyperlink" Id="rId134" Target="http://www.scielo.br/scielo.php?script=sci_arttext&amp;pid=S0102-311X2016000400709&amp;nrm=iso" TargetMode="External" /><Relationship Type="http://schemas.openxmlformats.org/officeDocument/2006/relationships/hyperlink" Id="rId40" Target="http://www.scielo.br/scielo.php?script=sci_arttext&amp;pid=S0102-69092000000100009&amp;nrm=iso" TargetMode="External" /><Relationship Type="http://schemas.openxmlformats.org/officeDocument/2006/relationships/hyperlink" Id="rId131" Target="https://doi.org/10.1111/padr.12273" TargetMode="External" /><Relationship Type="http://schemas.openxmlformats.org/officeDocument/2006/relationships/hyperlink" Id="rId149" Target="https://doi.org/10.4054/DemRes.2014.30.53" TargetMode="External" /><Relationship Type="http://schemas.openxmlformats.org/officeDocument/2006/relationships/hyperlink" Id="rId99" Target="https://doi.org/https://doi.org/10.1016/j.worlddev.2012.09.013" TargetMode="External" /><Relationship Type="http://schemas.openxmlformats.org/officeDocument/2006/relationships/hyperlink" Id="rId92" Target="https://doi.org/https://doi.org/10.25222/larr.42" TargetMode="External" /><Relationship Type="http://schemas.openxmlformats.org/officeDocument/2006/relationships/hyperlink" Id="rId62" Target="https://www.census.gov/library/publications/1993/demo/p23-186.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Application>LibreOffice/6.0.7.3$Linux_X86_64 LibreOffice_project/00m0$Build-3</Application>
  <Pages>1</Pages>
  <Words>173</Words>
  <Characters>1189</Characters>
  <CharactersWithSpaces>1343</CharactersWithSpaces>
  <Paragraphs>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Educational Pairings and Fertility Decline in Brazil: An Analysis Through Cohort Fertility</dc:title>
  <dc:creator/>
  <cp:keywords/>
  <dcterms:created xsi:type="dcterms:W3CDTF">2020-07-14T17:59:37Z</dcterms:created>
  <dcterms:modified xsi:type="dcterms:W3CDTF">2020-07-14T17:59:37Z</dcterms:modified>
</cp:coreProperties>
</file>