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Educational</w:t>
      </w:r>
      <w:r>
        <w:t xml:space="preserve"> </w:t>
      </w:r>
      <w:r>
        <w:t xml:space="preserve">Pairings</w:t>
      </w:r>
      <w:r>
        <w:t xml:space="preserve"> </w:t>
      </w:r>
      <w:r>
        <w:t xml:space="preserve">and</w:t>
      </w:r>
      <w:r>
        <w:t xml:space="preserve"> </w:t>
      </w:r>
      <w:r>
        <w:t xml:space="preserve">Fertility</w:t>
      </w:r>
      <w:r>
        <w:t xml:space="preserve"> </w:t>
      </w:r>
      <w:r>
        <w:t xml:space="preserve">Decline</w:t>
      </w:r>
      <w:r>
        <w:t xml:space="preserve"> </w:t>
      </w:r>
      <w:r>
        <w:t xml:space="preserve">in</w:t>
      </w:r>
      <w:r>
        <w:t xml:space="preserve"> </w:t>
      </w:r>
      <w:r>
        <w:t xml:space="preserve">Brazil:</w:t>
      </w:r>
      <w:r>
        <w:t xml:space="preserve"> </w:t>
      </w:r>
      <w:r>
        <w:t xml:space="preserve">An</w:t>
      </w:r>
      <w:r>
        <w:t xml:space="preserve"> </w:t>
      </w:r>
      <w:r>
        <w:t xml:space="preserve">Analysis</w:t>
      </w:r>
      <w:r>
        <w:t xml:space="preserve"> </w:t>
      </w:r>
      <w:r>
        <w:t xml:space="preserve">Through</w:t>
      </w:r>
      <w:r>
        <w:t xml:space="preserve"> </w:t>
      </w:r>
      <w:r>
        <w:t xml:space="preserve">Cohort</w:t>
      </w:r>
      <w:r>
        <w:t xml:space="preserve"> </w:t>
      </w:r>
      <w:r>
        <w:t xml:space="preserve">Fertility</w:t>
      </w:r>
    </w:p>
    <w:p>
      <w:pPr>
        <w:pStyle w:val="Heading1"/>
      </w:pPr>
      <w:bookmarkStart w:id="20" w:name="introduction"/>
      <w:r>
        <w:t xml:space="preserve">Introduction</w:t>
      </w:r>
      <w:bookmarkEnd w:id="20"/>
    </w:p>
    <w:p>
      <w:pPr>
        <w:pStyle w:val="FirstParagraph"/>
      </w:pPr>
      <w:r>
        <w:t xml:space="preserve">Brazil perceived a steep drop on its total fertility levels from 1960s</w:t>
      </w:r>
      <w:r>
        <w:t xml:space="preserve"> </w:t>
      </w:r>
      <w:r>
        <w:t xml:space="preserve">(Merrick/Berquó 1983)</w:t>
      </w:r>
      <w:r>
        <w:t xml:space="preserve"> </w:t>
      </w:r>
      <w:r>
        <w:t xml:space="preserve">and nowadays exhibits below replacement fertility levels</w:t>
      </w:r>
      <w:r>
        <w:t xml:space="preserve"> </w:t>
      </w:r>
      <w:r>
        <w:t xml:space="preserve">(Berquó/Cavenaghi 2014; Castanheira/Kohler 2015; Lima et al. 2018; Rios-Neto et al. 2018)</w:t>
      </w:r>
      <w:r>
        <w:t xml:space="preserve">. The Brazilian fertility transition occured in a heterogeneous way among the country’s regions and social strata in terms of pace and beggining of transition</w:t>
      </w:r>
      <w:r>
        <w:t xml:space="preserve"> </w:t>
      </w:r>
      <w:r>
        <w:t xml:space="preserve">(Potter et al. 2010)</w:t>
      </w:r>
      <w:r>
        <w:t xml:space="preserve">. In this sense, the higher status social strata of urban and industrialized areas already practiced birth control before the generalized decline of fertility in the 1960s</w:t>
      </w:r>
      <w:r>
        <w:t xml:space="preserve"> </w:t>
      </w:r>
      <w:r>
        <w:t xml:space="preserve">(Guzmán/Rodríguez 1993; Merrick/Berquó 1983)</w:t>
      </w:r>
      <w:r>
        <w:t xml:space="preserve">, a behaviour that rapidly spread towards the lower status socioeconomic groups</w:t>
      </w:r>
      <w:r>
        <w:t xml:space="preserve"> </w:t>
      </w:r>
      <w:r>
        <w:t xml:space="preserve">(Berquó/Cavenaghi 2014; Carvalho/Wong 1992; Perpétuo/Wajnman 1998)</w:t>
      </w:r>
    </w:p>
    <w:p>
      <w:pPr>
        <w:pStyle w:val="TextBody"/>
      </w:pPr>
      <w:r>
        <w:t xml:space="preserve">Several factors explain the converging fertility regimes of social groups in Brazil, industrialization and urbanization, changes in labor market and productive structures, reduction of infant mortality rates, higher access to formal schooling followed by a higher presence of females in the labor market, reduction of rural workers, changes in gender relations, expansion of consume society and communication systems among other factors related to socioeconomic and technological development</w:t>
      </w:r>
      <w:r>
        <w:t xml:space="preserve"> </w:t>
      </w:r>
      <w:r>
        <w:t xml:space="preserve">(Alves 1994; Castanheira/Kohler 2017; Faria 1989; Lam et al. 1992; Martine 1996; Merrick/Berquó 1983; Oliveira 1989; Paiva 1987; Potter et al. 2002; Rios-Neto et al. 2018)</w:t>
      </w:r>
      <w:r>
        <w:t xml:space="preserve">. Different transition paces were, however, observed among regions and social strata. Lower income and lower educated social groups from North and Northeast regions, for example, only started its fertility transition process in the decade of 1980 at an accelerated pace whereas Southern regions already observed a declining fertility trend in 1960 decade</w:t>
      </w:r>
      <w:r>
        <w:t xml:space="preserve"> </w:t>
      </w:r>
      <w:r>
        <w:t xml:space="preserve">(Potter et al. 2010, 2002)</w:t>
      </w:r>
      <w:r>
        <w:t xml:space="preserve">.</w:t>
      </w:r>
    </w:p>
    <w:p>
      <w:pPr>
        <w:pStyle w:val="TextBody"/>
      </w:pPr>
      <w:r>
        <w:t xml:space="preserve">While the country observed a declining fertility trend it was already experiencing an expansion of its educational systems. This resulted in the increase of population proportions attending formal schooling</w:t>
      </w:r>
      <w:r>
        <w:t xml:space="preserve"> </w:t>
      </w:r>
      <w:r>
        <w:t xml:space="preserve">(Romanelli 1986)</w:t>
      </w:r>
      <w:r>
        <w:t xml:space="preserve">. As documented in the literature, education has a direct influence in reproductive behavior of population since it has a key hole in family formation, human capital development, female participation in labor force, adoption of contraceptive methods, definition of time of entry in motherhood, reduction of gender inequalities and in determining assortative mating patterns</w:t>
      </w:r>
      <w:r>
        <w:t xml:space="preserve"> </w:t>
      </w:r>
      <w:r>
        <w:t xml:space="preserve">(Arriagada 2002, schwartz_mare2005, esping-andersen2009; Castro-Martin/Juarez 1995; Jejeebhoy 1995; McDonald 2000; Messina 2002)</w:t>
      </w:r>
      <w:r>
        <w:t xml:space="preserve">. Therefore, formal education enrolment expansion in Brazil corroborated to changes in reproductive behavior in the country in terms of level and pattern of fertility trends</w:t>
      </w:r>
      <w:r>
        <w:t xml:space="preserve"> </w:t>
      </w:r>
      <w:r>
        <w:t xml:space="preserve">(Berquó/Cavenaghi 2014; Lam et al. 1992; Lima et al. 2018; Merrick/Berquó 1983; Rios-Neto et al. 2018; Rios-Neto/Guimarães 2013)</w:t>
      </w:r>
      <w:r>
        <w:t xml:space="preserve">. Also, it influenced the assortative mating patterns in the country</w:t>
      </w:r>
      <w:r>
        <w:t xml:space="preserve"> </w:t>
      </w:r>
      <w:r>
        <w:t xml:space="preserve">(Esteve/McCaa 2007; Longo 2011; Ribeiro/Silva 2009)</w:t>
      </w:r>
      <w:r>
        <w:t xml:space="preserve">.</w:t>
      </w:r>
    </w:p>
    <w:p>
      <w:pPr>
        <w:pStyle w:val="TextBody"/>
      </w:pPr>
      <w:r>
        <w:t xml:space="preserve">Nevertheless, persisting inequalities in income distribution did not allow for further reductions in educational disparities among social groups and regions</w:t>
      </w:r>
      <w:r>
        <w:t xml:space="preserve"> </w:t>
      </w:r>
      <w:r>
        <w:t xml:space="preserve">(Silva/Hasenbalg 2000; Wood/Carvalho 1988)</w:t>
      </w:r>
      <w:r>
        <w:t xml:space="preserve">. In this sense, educational inequalities became part of the country’s social structure and have broad effects on the fertility level</w:t>
      </w:r>
      <w:r>
        <w:t xml:space="preserve"> </w:t>
      </w:r>
      <w:r>
        <w:t xml:space="preserve">(Berquó/Cavenaghi 2014)</w:t>
      </w:r>
      <w:r>
        <w:t xml:space="preserve"> </w:t>
      </w:r>
      <w:r>
        <w:t xml:space="preserve">and age-specific schedule</w:t>
      </w:r>
      <w:r>
        <w:t xml:space="preserve"> </w:t>
      </w:r>
      <w:r>
        <w:t xml:space="preserve">(Lima et al. 2018)</w:t>
      </w:r>
      <w:r>
        <w:t xml:space="preserve">.</w:t>
      </w:r>
    </w:p>
    <w:p>
      <w:pPr>
        <w:pStyle w:val="TextBody"/>
      </w:pPr>
      <w:r>
        <w:t xml:space="preserve">Further, recent trends in assorative mating and family settings led to new family arrangements as results of changing family norms</w:t>
      </w:r>
      <w:r>
        <w:t xml:space="preserve"> </w:t>
      </w:r>
      <w:r>
        <w:t xml:space="preserve">(Berquó 1998)</w:t>
      </w:r>
      <w:r>
        <w:t xml:space="preserve">. Therefore, new assortative mating patterns</w:t>
      </w:r>
      <w:r>
        <w:t xml:space="preserve"> </w:t>
      </w:r>
      <w:r>
        <w:t xml:space="preserve">(Esteve/McCaa 2007; Ribeiro/Silva 2009)</w:t>
      </w:r>
      <w:r>
        <w:t xml:space="preserve">, fertility postponement</w:t>
      </w:r>
      <w:r>
        <w:t xml:space="preserve"> </w:t>
      </w:r>
      <w:r>
        <w:t xml:space="preserve">(Miranda-Ribeiro et al. 2016; Rios-Neto et al. 2018; Rosero-Bixby et al. 2009)</w:t>
      </w:r>
      <w:r>
        <w:t xml:space="preserve">, educational fertility differentials and below replacement fertility</w:t>
      </w:r>
      <w:r>
        <w:t xml:space="preserve"> </w:t>
      </w:r>
      <w:r>
        <w:t xml:space="preserve">(Berquó/Cavenaghi 2014; Lima et al. 2018)</w:t>
      </w:r>
      <w:r>
        <w:t xml:space="preserve"> </w:t>
      </w:r>
      <w:r>
        <w:t xml:space="preserve">are part of the new Brazilian demographic scenario.</w:t>
      </w:r>
    </w:p>
    <w:p>
      <w:pPr>
        <w:pStyle w:val="TextBody"/>
      </w:pPr>
      <w:r>
        <w:t xml:space="preserve">This complexity of elements acting in demographic processes of recent periods require novel tools and perspectives of evaluation. Two approaches in fertility studies are proeminent: cohort analysis and male-perspective in reproductive behavior. Cohort fertility analysis have the advantage of considering simultaneous experiences of different social groups along their life courses which may cause distortions in period analysis</w:t>
      </w:r>
      <w:r>
        <w:t xml:space="preserve"> </w:t>
      </w:r>
      <w:r>
        <w:t xml:space="preserve">(Bongaarts/Feeney 1998; Bongaarts/Sobotka 2012; Ryder 1990, 1965; Sobotka et al. 2012)</w:t>
      </w:r>
      <w:r>
        <w:t xml:space="preserve">. Moreover, the evaluation of male fertility trends and influences in the couple’s reproductive decision making are being used as a resource to tackle recent demographic scenarios</w:t>
      </w:r>
      <w:r>
        <w:t xml:space="preserve"> </w:t>
      </w:r>
      <w:r>
        <w:t xml:space="preserve">(Nitsche et al. 2018; Oliveira 2007; Thomson 1997; Van Bavel 2017)</w:t>
      </w:r>
      <w:r>
        <w:t xml:space="preserve">, such as increasing hipogamy</w:t>
      </w:r>
      <w:r>
        <w:t xml:space="preserve"> </w:t>
      </w:r>
      <w:r>
        <w:t xml:space="preserve">(A. Esteve/Garcia-Román/et al. 2012; Esteve et al. 2016)</w:t>
      </w:r>
      <w:r>
        <w:t xml:space="preserve"> </w:t>
      </w:r>
      <w:r>
        <w:t xml:space="preserve">and changing gender norms within and out of family</w:t>
      </w:r>
      <w:r>
        <w:t xml:space="preserve"> </w:t>
      </w:r>
      <w:r>
        <w:t xml:space="preserve">(Esping-Andersen 2009; McDonald 2000)</w:t>
      </w:r>
      <w:r>
        <w:t xml:space="preserve">. This two approaches, however, have not been explored in Brazilian fertility studies</w:t>
      </w:r>
      <w:r>
        <w:t xml:space="preserve"> </w:t>
      </w:r>
      <w:r>
        <w:t xml:space="preserve">(Lam et al. 1992; Oliveira 2007; Reher/Requena 2014)</w:t>
      </w:r>
      <w:r>
        <w:t xml:space="preserve">.</w:t>
      </w:r>
    </w:p>
    <w:p>
      <w:pPr>
        <w:pStyle w:val="TextBody"/>
      </w:pPr>
      <w:r>
        <w:t xml:space="preserve">Brazilian statistics lacks longitudinal studies to track demographic changes of the country along time. Hence, cohort studies based on census data are alternatives to evaluate social trends of social groups that experience similar events throughout time without requiring complex statistical manipulation</w:t>
      </w:r>
      <w:r>
        <w:t xml:space="preserve"> </w:t>
      </w:r>
      <w:r>
        <w:t xml:space="preserve">(Bongaarts/Sobotka 2012; Ryder 1965; Sobotka et al. 2012)</w:t>
      </w:r>
      <w:r>
        <w:t xml:space="preserve">. In relation to cohort fertility analysis, this methodological approach permits the reconstruction and analysis of reproductive trends of cohorts that experienced the processes of intense urbanization, industrialization and schooling expansion of the country. This trends provide important subsidies for the evaluation of next generation’s fertility patterns.</w:t>
      </w:r>
    </w:p>
    <w:p>
      <w:pPr>
        <w:pStyle w:val="TextBody"/>
      </w:pPr>
      <w:r>
        <w:t xml:space="preserve">This study aims to evaluate cohort fertility of Brazilian educational pairings through the period of the country’s fertility transition. We evaluate the cohort fertility of women within specific educational pairings in order to take male’s educational influence on couple’s reproductive decision making. We will also look for regional disparities, taking in account the countries persisting and historical inequalities among regions.</w:t>
      </w:r>
    </w:p>
    <w:p>
      <w:pPr>
        <w:pStyle w:val="TextBody"/>
      </w:pPr>
      <w:r>
        <w:t xml:space="preserve">This work brings important discussions and contributions to Brazilian demographic analysis for many reasons. First, there are few works that evaluate cohort fertility patterns trends throughout the process of educational expansion. Also, this work recognizes the relevance of considering the partner’s influence on couple’s reproductive decision making</w:t>
      </w:r>
      <w:r>
        <w:t xml:space="preserve"> </w:t>
      </w:r>
      <w:r>
        <w:t xml:space="preserve">(Thomson 1997; Van Bavel 2017)</w:t>
      </w:r>
      <w:r>
        <w:t xml:space="preserve">. Therefore, the evaluation of cohort trends within the analysis of the partners characteristics aims to identify changes in gender norms and family structures throughout the period of fertility transition</w:t>
      </w:r>
      <w:r>
        <w:t xml:space="preserve"> </w:t>
      </w:r>
      <w:r>
        <w:t xml:space="preserve">(Pampel 2011)</w:t>
      </w:r>
      <w:r>
        <w:t xml:space="preserve">.</w:t>
      </w:r>
    </w:p>
    <w:p>
      <w:pPr>
        <w:pStyle w:val="TextBody"/>
      </w:pPr>
      <w:r>
        <w:t xml:space="preserve">Our results show that …</w:t>
      </w:r>
    </w:p>
    <w:p>
      <w:pPr>
        <w:pStyle w:val="Heading1"/>
      </w:pPr>
      <w:bookmarkStart w:id="21" w:name="background"/>
      <w:r>
        <w:t xml:space="preserve">Background</w:t>
      </w:r>
      <w:bookmarkEnd w:id="21"/>
    </w:p>
    <w:p>
      <w:pPr>
        <w:pStyle w:val="Heading2"/>
      </w:pPr>
      <w:bookmarkStart w:id="22" w:name="schooling-expansion-and-fertility-decline-in-brazil"/>
      <w:r>
        <w:t xml:space="preserve">Schooling expansion and fertility decline in Brazil</w:t>
      </w:r>
      <w:bookmarkEnd w:id="22"/>
    </w:p>
    <w:p>
      <w:pPr>
        <w:pStyle w:val="FirstParagraph"/>
      </w:pPr>
      <w:r>
        <w:t xml:space="preserve">Education plays an important role in individual’s human capital, life quality and decision making</w:t>
      </w:r>
      <w:r>
        <w:t xml:space="preserve"> </w:t>
      </w:r>
      <w:r>
        <w:t xml:space="preserve">(Lutz 2010)</w:t>
      </w:r>
      <w:r>
        <w:t xml:space="preserve">. Educational systems were set up as children education was perceived as a social duty and since then, schools have gained relevance in shaping individual’s transition into adulthood</w:t>
      </w:r>
      <w:r>
        <w:t xml:space="preserve"> </w:t>
      </w:r>
      <w:r>
        <w:t xml:space="preserve">(Ariès 1978)</w:t>
      </w:r>
      <w:r>
        <w:t xml:space="preserve">.</w:t>
      </w:r>
    </w:p>
    <w:p>
      <w:pPr>
        <w:pStyle w:val="TextBody"/>
      </w:pPr>
      <w:r>
        <w:t xml:space="preserve">Schooling acts as a strong determinant of reproductive behavior of women through several mechanisms</w:t>
      </w:r>
      <w:r>
        <w:t xml:space="preserve"> </w:t>
      </w:r>
      <w:r>
        <w:t xml:space="preserve">(Jejeebhoy 1995)</w:t>
      </w:r>
      <w:r>
        <w:t xml:space="preserve">. In particular, formal education influences in female entry into labor market and marriage, which changes women exposure to childbearing</w:t>
      </w:r>
      <w:r>
        <w:t xml:space="preserve"> </w:t>
      </w:r>
      <w:r>
        <w:t xml:space="preserve">(Castro-Martin/Juarez 1995; Neels et al. 2017)</w:t>
      </w:r>
      <w:r>
        <w:t xml:space="preserve">. Also, education provides the accomplishment of reproductive intentions through information on modern contraceptive measures and by giving support to scientific knowledge</w:t>
      </w:r>
      <w:r>
        <w:t xml:space="preserve"> </w:t>
      </w:r>
      <w:r>
        <w:t xml:space="preserve">(Cleland/Wilson 1987; Jejeebhoy 1995)</w:t>
      </w:r>
      <w:r>
        <w:t xml:space="preserve">.</w:t>
      </w:r>
    </w:p>
    <w:p>
      <w:pPr>
        <w:pStyle w:val="TextBody"/>
      </w:pPr>
      <w:r>
        <w:t xml:space="preserve">The massification of educational systems brings substantial indirect effects over population fertility levels. This effect is a result of increasing social costs of the maintainance of child in schools by families, cultural changes promoted by education and propagation of Western middle class values [</w:t>
      </w:r>
      <w:r>
        <w:t xml:space="preserve">Ariès (1978)</w:t>
      </w:r>
      <w:r>
        <w:t xml:space="preserve">;</w:t>
      </w:r>
      <w:r>
        <w:t xml:space="preserve">Caldwell (1980)</w:t>
      </w:r>
      <w:r>
        <w:t xml:space="preserve">;</w:t>
      </w:r>
      <w:r>
        <w:t xml:space="preserve">Folbre (1983)</w:t>
      </w:r>
      <w:r>
        <w:t xml:space="preserve">;caldwell2006]. In addition, higher educated women show increased productive potential at the labor market, which inccurs in lower opportunity costs of childbearing than their lower educated counterparts</w:t>
      </w:r>
      <w:r>
        <w:t xml:space="preserve"> </w:t>
      </w:r>
      <w:r>
        <w:t xml:space="preserve">(Becker 1993; Goldin 2006; Goldin/Katz 2002)</w:t>
      </w:r>
      <w:r>
        <w:t xml:space="preserve">.</w:t>
      </w:r>
    </w:p>
    <w:p>
      <w:pPr>
        <w:pStyle w:val="TextBody"/>
      </w:pPr>
      <w:r>
        <w:t xml:space="preserve">Therefore, the population’s formal instruction is a key element in the comprehension of fertility transition timing</w:t>
      </w:r>
      <w:r>
        <w:t xml:space="preserve"> </w:t>
      </w:r>
      <w:r>
        <w:t xml:space="preserve">(Bongaarts 2003; Chackiel/Schkolnik 2003; Guzmán 1991)</w:t>
      </w:r>
      <w:r>
        <w:t xml:space="preserve">. Usually, social elites show a precursor movement of reproductive control due to their higher schooling</w:t>
      </w:r>
      <w:r>
        <w:t xml:space="preserve"> </w:t>
      </w:r>
      <w:r>
        <w:t xml:space="preserve">(Cleland/Wilson 1987)</w:t>
      </w:r>
      <w:r>
        <w:t xml:space="preserve">. This behavior is then difunded to other social strata through time and marks the beginning of the generalized decline of fertility levels</w:t>
      </w:r>
      <w:r>
        <w:t xml:space="preserve"> </w:t>
      </w:r>
      <w:r>
        <w:t xml:space="preserve">(Bongaarts 2003; Cleland/Wilson 1987)</w:t>
      </w:r>
      <w:r>
        <w:t xml:space="preserve">.</w:t>
      </w:r>
    </w:p>
    <w:p>
      <w:pPr>
        <w:pStyle w:val="TextBody"/>
      </w:pPr>
      <w:r>
        <w:t xml:space="preserve">In Brazil, the fertility transition was marked by social differentials. Higher educated social groups already addopted reprodutve control methods by the time of the begining of the generalized decline of Brazilian fertility</w:t>
      </w:r>
      <w:r>
        <w:t xml:space="preserve"> </w:t>
      </w:r>
      <w:r>
        <w:t xml:space="preserve">(Merrick/Berquó 1983)</w:t>
      </w:r>
      <w:r>
        <w:t xml:space="preserve">. Throughout time, the fertility rates of different social groups converged into replacement fertility levels</w:t>
      </w:r>
      <w:r>
        <w:t xml:space="preserve"> </w:t>
      </w:r>
      <w:r>
        <w:t xml:space="preserve">(Berquó/Cavenaghi 2014)</w:t>
      </w:r>
      <w:r>
        <w:t xml:space="preserve">. This was accomplished by the diffusion of modern contraceptive methods, especially female sterilization and contraceptive pill</w:t>
      </w:r>
      <w:r>
        <w:t xml:space="preserve"> </w:t>
      </w:r>
      <w:r>
        <w:t xml:space="preserve">(Martine 1996; Merrick/Berquó 1983; Perpétuo/Wajnman 1998; Perpétuo 2009)</w:t>
      </w:r>
      <w:r>
        <w:t xml:space="preserve">. However, the access to family planning was not even among social groups which brought negative implications to the most vulnerable social groups, which made use of health-threatening methods such as sterilization and even clandestine abortion [</w:t>
      </w:r>
      <w:r>
        <w:t xml:space="preserve">Martine (1996)</w:t>
      </w:r>
      <w:r>
        <w:t xml:space="preserve">;</w:t>
      </w:r>
      <w:r>
        <w:t xml:space="preserve">Faria (1997)</w:t>
      </w:r>
      <w:r>
        <w:t xml:space="preserve">;perpetuo_wajnman1998;perpetuo_wong2009].</w:t>
      </w:r>
    </w:p>
    <w:p>
      <w:pPr>
        <w:pStyle w:val="TextBody"/>
      </w:pPr>
      <w:r>
        <w:t xml:space="preserve">Nowadays, educational fertility differentials manifest in terms of fertility timing - lower educated women usually exhibit younger ages of entry into motherhood</w:t>
      </w:r>
      <w:r>
        <w:t xml:space="preserve"> </w:t>
      </w:r>
      <w:r>
        <w:t xml:space="preserve">(Lima et al. 2018)</w:t>
      </w:r>
      <w:r>
        <w:t xml:space="preserve">. Thus, fertility postponement is already a reality for social elites of the country</w:t>
      </w:r>
      <w:r>
        <w:t xml:space="preserve"> </w:t>
      </w:r>
      <w:r>
        <w:t xml:space="preserve">(Rios-Neto et al. 2018)</w:t>
      </w:r>
      <w:r>
        <w:t xml:space="preserve">.</w:t>
      </w:r>
    </w:p>
    <w:p>
      <w:pPr>
        <w:pStyle w:val="TextBody"/>
      </w:pPr>
      <w:r>
        <w:t xml:space="preserve">Compared to other educational systems in Latin America, the Brazilian educational expansion showed significant lags in schooling improvement of its population [</w:t>
      </w:r>
      <w:r>
        <w:t xml:space="preserve">Kang (2011)</w:t>
      </w:r>
      <w:r>
        <w:t xml:space="preserve">;</w:t>
      </w:r>
      <w:r>
        <w:t xml:space="preserve">Lustig et al. (2013)</w:t>
      </w:r>
      <w:r>
        <w:t xml:space="preserve">;komatsu_etal2017]. The begining of a sustained movement of educational expansion in the country only started in 1930s</w:t>
      </w:r>
      <w:r>
        <w:t xml:space="preserve"> </w:t>
      </w:r>
      <w:r>
        <w:t xml:space="preserve">(Romanelli 1986)</w:t>
      </w:r>
      <w:r>
        <w:t xml:space="preserve"> </w:t>
      </w:r>
      <w:r>
        <w:t xml:space="preserve">with the acceleration of school enrolment</w:t>
      </w:r>
      <w:r>
        <w:t xml:space="preserve"> </w:t>
      </w:r>
      <w:r>
        <w:t xml:space="preserve">(Komatsu et al. 2017)</w:t>
      </w:r>
      <w:r>
        <w:t xml:space="preserve">. Prior to 1930, the pressure for the expansion of educational systems were restricted to minor political groups due to the rural characteristics of the country, marked by geographical disconnection of populations and an outdated agricultural productive system</w:t>
      </w:r>
      <w:r>
        <w:t xml:space="preserve"> </w:t>
      </w:r>
      <w:r>
        <w:t xml:space="preserve">(Merrick/Graham 1981; Romanelli 1986; Wood/Carvalho 1988)</w:t>
      </w:r>
      <w:r>
        <w:t xml:space="preserve">.</w:t>
      </w:r>
    </w:p>
    <w:p>
      <w:pPr>
        <w:pStyle w:val="TextBody"/>
      </w:pPr>
      <w:r>
        <w:t xml:space="preserve">The decade of 1930 was marked by a rupture with old dominant political classes of the country, which brought significant changes for the country’s economy</w:t>
      </w:r>
      <w:r>
        <w:t xml:space="preserve"> </w:t>
      </w:r>
      <w:r>
        <w:t xml:space="preserve">(Merrick/Graham 1981)</w:t>
      </w:r>
      <w:r>
        <w:t xml:space="preserve">. Brazil’s productive model shifted from an economy based on exports of agricultural goods to an economy partially based on urban centers and industry</w:t>
      </w:r>
      <w:r>
        <w:t xml:space="preserve"> </w:t>
      </w:r>
      <w:r>
        <w:t xml:space="preserve">(Merrick/Graham 1981; Romanelli 1986)</w:t>
      </w:r>
      <w:r>
        <w:t xml:space="preserve">. The capitalist industrial economic model requires a mass educational system in order to succeed in terms of productive and consumption capacity</w:t>
      </w:r>
      <w:r>
        <w:t xml:space="preserve"> </w:t>
      </w:r>
      <w:r>
        <w:t xml:space="preserve">(Romanelli 1986)</w:t>
      </w:r>
      <w:r>
        <w:t xml:space="preserve">. In this sense, the change in productive model of the country resulted in a redesign of country’s educational policies. The expansion of the primary education however had lower incentives than secondary or tertiary education which aimed to the new urban-industrialized economy [</w:t>
      </w:r>
      <w:r>
        <w:t xml:space="preserve">Romanelli (1986)</w:t>
      </w:r>
      <w:r>
        <w:t xml:space="preserve">;</w:t>
      </w:r>
      <w:r>
        <w:t xml:space="preserve">Kang (2006)</w:t>
      </w:r>
      <w:r>
        <w:t xml:space="preserve">;komatsu_etal2017]. The administration of primary educational systems were of responsability of states and municipalities whereas the financial resources were centralized in the federal government</w:t>
      </w:r>
      <w:r>
        <w:t xml:space="preserve"> </w:t>
      </w:r>
      <w:r>
        <w:t xml:space="preserve">(Kang 2011)</w:t>
      </w:r>
      <w:r>
        <w:t xml:space="preserve">. Therefore, urbanized regions with more resources could invest in education more than other underfunded areas and this reflects in the structural inequalities that are perceived until nowadays in the country’s territory where the North-Northeast lags in socioeconomic indicators in relation to South-Southeastern regions</w:t>
      </w:r>
      <w:r>
        <w:t xml:space="preserve"> </w:t>
      </w:r>
      <w:r>
        <w:t xml:space="preserve">(Merrick/Graham 1981;</w:t>
      </w:r>
      <w:r>
        <w:t xml:space="preserve"> </w:t>
      </w:r>
      <w:hyperlink r:id="rId23">
        <w:r>
          <w:rPr>
            <w:rStyle w:val="Hyperlink"/>
          </w:rPr>
          <w:t xml:space="preserve">wood_carvalho1988;@barros_mendonca1995</w:t>
        </w:r>
      </w:hyperlink>
      <w:r>
        <w:t xml:space="preserve">; Komatsu et al. 2017)</w:t>
      </w:r>
      <w:r>
        <w:t xml:space="preserve">.</w:t>
      </w:r>
    </w:p>
    <w:p>
      <w:pPr>
        <w:pStyle w:val="TextBody"/>
      </w:pPr>
      <w:r>
        <w:t xml:space="preserve">Therefore, the main changes in educational policy in the period from 1930 to 1960 were aimed to prepare the population for an urban-industrial economic model. This was granted by the foundation of Ministry of Education and Health in 1931, followed by the creation of the National Institute of Pedagogy (which now is the National Institute for Educational Studies and Research</w:t>
      </w:r>
      <w:r>
        <w:t xml:space="preserve"> </w:t>
      </w:r>
      <w:r>
        <w:t xml:space="preserve">“</w:t>
      </w:r>
      <w:r>
        <w:t xml:space="preserve">Anísio Teixeira</w:t>
      </w:r>
      <w:r>
        <w:t xml:space="preserve">”</w:t>
      </w:r>
      <w:r>
        <w:t xml:space="preserve">), the National Institute of Geography and Statistics (responsible for country’s statistics and national censuses) and national services of industrial and retail learning [marcilio2014]. In 1961, the first Law of Directives and Bases of National Education, reviewed in 1971, which reinforced the obligation of basic education and set up the bases of the current educational system of the country composed by primary and secondary schooling for a compulsory instruction of population</w:t>
      </w:r>
      <w:r>
        <w:t xml:space="preserve"> </w:t>
      </w:r>
      <w:r>
        <w:t xml:space="preserve">(Marcílio 2014)</w:t>
      </w:r>
      <w:r>
        <w:t xml:space="preserve">. Thus, from 1970 to 2000, Brazil experienced relevant increases in enrolment rates in all educational levels</w:t>
      </w:r>
      <w:r>
        <w:t xml:space="preserve"> </w:t>
      </w:r>
      <w:r>
        <w:t xml:space="preserve">(Fígoli 2006)</w:t>
      </w:r>
      <w:r>
        <w:t xml:space="preserve"> </w:t>
      </w:r>
      <w:r>
        <w:t xml:space="preserve">and in the 1990s the country finally achieved universal primary schooling enrolment</w:t>
      </w:r>
      <w:r>
        <w:t xml:space="preserve"> </w:t>
      </w:r>
      <w:r>
        <w:t xml:space="preserve">(Castro 1998)</w:t>
      </w:r>
      <w:r>
        <w:t xml:space="preserve">.</w:t>
      </w:r>
    </w:p>
    <w:p>
      <w:pPr>
        <w:pStyle w:val="TextBody"/>
      </w:pPr>
      <w:r>
        <w:t xml:space="preserve">This educational expansion process brought also multiple changes for Brazilian females. The female schooling expansion was in the begining fomented by a sex-stratified educational system in which women received instruction for specific labor sectors such as health, hospitality and education</w:t>
      </w:r>
      <w:r>
        <w:t xml:space="preserve"> </w:t>
      </w:r>
      <w:r>
        <w:t xml:space="preserve">(Besse 1999)</w:t>
      </w:r>
      <w:r>
        <w:t xml:space="preserve">. Even though this process inccurred in labor market and, therefore, wage gender inequalities, it fostered female participation in the labor market and the translation of women from the private relm (household and family) to the public relms of the society (public spaces and labor market)</w:t>
      </w:r>
      <w:r>
        <w:t xml:space="preserve"> </w:t>
      </w:r>
      <w:r>
        <w:t xml:space="preserve">(Azevedo/Ferreira 2006; Maluf/Mott 1998)</w:t>
      </w:r>
      <w:r>
        <w:t xml:space="preserve">. Thus, female educational expansion resulted in the reversion of male educational advantages</w:t>
      </w:r>
      <w:r>
        <w:t xml:space="preserve"> </w:t>
      </w:r>
      <w:r>
        <w:t xml:space="preserve">(Beltrão/Alves 2009)</w:t>
      </w:r>
      <w:r>
        <w:t xml:space="preserve"> </w:t>
      </w:r>
      <w:r>
        <w:t xml:space="preserve">and promoted important transformations in gender relations and social norms of the country through XX century</w:t>
      </w:r>
      <w:r>
        <w:t xml:space="preserve"> </w:t>
      </w:r>
      <w:r>
        <w:t xml:space="preserve">(Itaboraí 2015)</w:t>
      </w:r>
      <w:r>
        <w:t xml:space="preserve"> </w:t>
      </w:r>
      <w:r>
        <w:t xml:space="preserve">with increasing participation in labor markets</w:t>
      </w:r>
      <w:r>
        <w:t xml:space="preserve"> </w:t>
      </w:r>
      <w:r>
        <w:t xml:space="preserve">(Scorzafave/Menezes-Filho 2001)</w:t>
      </w:r>
      <w:r>
        <w:t xml:space="preserve"> </w:t>
      </w:r>
      <w:r>
        <w:t xml:space="preserve">and larger enrolments in secondary and tertiary education</w:t>
      </w:r>
      <w:r>
        <w:t xml:space="preserve"> </w:t>
      </w:r>
      <w:r>
        <w:t xml:space="preserve">(Godinho et al. 2006)</w:t>
      </w:r>
      <w:r>
        <w:t xml:space="preserve"> </w:t>
      </w:r>
      <w:r>
        <w:t xml:space="preserve">.</w:t>
      </w:r>
    </w:p>
    <w:p>
      <w:pPr>
        <w:pStyle w:val="Heading2"/>
      </w:pPr>
      <w:bookmarkStart w:id="24" w:name="assortative-mating-trends-in-brazil"/>
      <w:r>
        <w:t xml:space="preserve">Assortative mating trends in Brazil</w:t>
      </w:r>
      <w:bookmarkEnd w:id="24"/>
    </w:p>
    <w:p>
      <w:pPr>
        <w:pStyle w:val="FirstParagraph"/>
      </w:pPr>
      <w:r>
        <w:t xml:space="preserve">The population’s assortative mating patterns are associated to the heterogeneity of social characteristics of its individuals</w:t>
      </w:r>
      <w:r>
        <w:t xml:space="preserve"> </w:t>
      </w:r>
      <w:r>
        <w:t xml:space="preserve">(Blau/Schwartz 1997)</w:t>
      </w:r>
      <w:r>
        <w:t xml:space="preserve">. Hence, the opportunity of social interactions throughout unions between social groups depends on the composition of marriage markets and on the size of social groups</w:t>
      </w:r>
      <w:r>
        <w:t xml:space="preserve"> </w:t>
      </w:r>
      <w:r>
        <w:t xml:space="preserve">(Kalmijn 1998)</w:t>
      </w:r>
      <w:r>
        <w:t xml:space="preserve">. In this sense, educational composition of marriage markets are usually analysed by demographers due to some important advantages over other socioeconomic measures such as income. Education attainment is usually constant over time for adult populations (income, on the other hand is volatile) and it shapes individual’s life course, preferences and professional aspirations</w:t>
      </w:r>
      <w:r>
        <w:t xml:space="preserve"> </w:t>
      </w:r>
      <w:r>
        <w:t xml:space="preserve">(A. Esteve/Garcia-Román/et al. 2012; Kalmijn 1998; Mare 1991; Warren 1966)</w:t>
      </w:r>
      <w:r>
        <w:t xml:space="preserve">.</w:t>
      </w:r>
    </w:p>
    <w:p>
      <w:pPr>
        <w:pStyle w:val="TextBody"/>
      </w:pPr>
      <w:r>
        <w:t xml:space="preserve">Schools (such as labor markets and neighborhoods) creates social networks in which union formation takes place</w:t>
      </w:r>
      <w:r>
        <w:t xml:space="preserve"> </w:t>
      </w:r>
      <w:r>
        <w:t xml:space="preserve">(Eckland 1968; Warren 1966)</w:t>
      </w:r>
      <w:r>
        <w:t xml:space="preserve">. Therefore, the mass formal education system culture is one of the responsibles for non-randomness of union formation. In general, unions take place between people of similar educational levels due to closer social contact of school classes and due to shared human capital formation</w:t>
      </w:r>
      <w:r>
        <w:t xml:space="preserve"> </w:t>
      </w:r>
      <w:r>
        <w:t xml:space="preserve">(Kalmijn 1998)</w:t>
      </w:r>
      <w:r>
        <w:t xml:space="preserve">. Universities, for example, constitute the most homogamous marriage markets, since its couples usually spend most of its youth in the educational system with similar peers</w:t>
      </w:r>
      <w:r>
        <w:t xml:space="preserve"> </w:t>
      </w:r>
      <w:r>
        <w:t xml:space="preserve">(Mare 1991)</w:t>
      </w:r>
      <w:r>
        <w:t xml:space="preserve">.</w:t>
      </w:r>
    </w:p>
    <w:p>
      <w:pPr>
        <w:pStyle w:val="TextBody"/>
      </w:pPr>
      <w:r>
        <w:t xml:space="preserve">Educational composition changes in Brazilian demography were not only responsible for fertility decline</w:t>
      </w:r>
      <w:r>
        <w:t xml:space="preserve"> </w:t>
      </w:r>
      <w:r>
        <w:t xml:space="preserve">(Lam et al. 1992)</w:t>
      </w:r>
      <w:r>
        <w:t xml:space="preserve">, but also had major effects on assortative mating patterns of the country</w:t>
      </w:r>
      <w:r>
        <w:t xml:space="preserve"> </w:t>
      </w:r>
      <w:r>
        <w:t xml:space="preserve">(Ribeiro/Silva 2009)</w:t>
      </w:r>
      <w:r>
        <w:t xml:space="preserve">. Both hipogamy (couples in which females are higher educated) and hipergamy (couples in which female is lower educated) increased from 1970 to 2010, but hipogamy increased at a higher pace due to female accelerated educational gains in the period</w:t>
      </w:r>
      <w:r>
        <w:t xml:space="preserve"> </w:t>
      </w:r>
      <w:r>
        <w:t xml:space="preserve">(Esteve/McCaa 2007; Esteve et al. 2016)</w:t>
      </w:r>
      <w:r>
        <w:t xml:space="preserve">.</w:t>
      </w:r>
    </w:p>
    <w:p>
      <w:pPr>
        <w:pStyle w:val="TextBody"/>
      </w:pPr>
      <w:r>
        <w:t xml:space="preserve">The prevalence of homogamous couples (couples with partners of the same educational level), on the other hand, decreased over the period</w:t>
      </w:r>
      <w:r>
        <w:t xml:space="preserve"> </w:t>
      </w:r>
      <w:r>
        <w:t xml:space="preserve">(Esteve/McCaa 2007; Ribeiro/Silva 2009)</w:t>
      </w:r>
      <w:r>
        <w:t xml:space="preserve">. In Brazil, this assortative mating pattern has major prevalence of lower educated social groups and its reduction is a result of the expansion of the educational system</w:t>
      </w:r>
      <w:r>
        <w:t xml:space="preserve"> </w:t>
      </w:r>
      <w:r>
        <w:t xml:space="preserve">(Ribeiro/Silva 2009)</w:t>
      </w:r>
      <w:r>
        <w:t xml:space="preserve">. Also, homogamy of higher educated couples are a feature of the country’s assortative mating patterns and represent a barrier to social interactions among social groups</w:t>
      </w:r>
      <w:r>
        <w:t xml:space="preserve"> </w:t>
      </w:r>
      <w:r>
        <w:t xml:space="preserve">(Esteve/McCaa 2007; Torche 2010)</w:t>
      </w:r>
      <w:r>
        <w:t xml:space="preserve">.</w:t>
      </w:r>
    </w:p>
    <w:p>
      <w:pPr>
        <w:pStyle w:val="Heading2"/>
      </w:pPr>
      <w:bookmarkStart w:id="25" w:name="reproductive-decision-making-and-family-conflicts"/>
      <w:r>
        <w:t xml:space="preserve">Reproductive decision making and family conflicts</w:t>
      </w:r>
      <w:bookmarkEnd w:id="25"/>
    </w:p>
    <w:p>
      <w:pPr>
        <w:pStyle w:val="FirstParagraph"/>
      </w:pPr>
      <w:r>
        <w:t xml:space="preserve">Despite its relevant role in population reproduction, male and female interactions in fertility decision making have been analysed by few works in demography</w:t>
      </w:r>
      <w:r>
        <w:t xml:space="preserve"> </w:t>
      </w:r>
      <w:r>
        <w:t xml:space="preserve">(Nitsche et al. 2018)</w:t>
      </w:r>
      <w:r>
        <w:t xml:space="preserve">. Generally, males are usually left out of fertility demographic analysis</w:t>
      </w:r>
      <w:r>
        <w:t xml:space="preserve"> </w:t>
      </w:r>
      <w:r>
        <w:t xml:space="preserve">(Goldscheider/Kaufman 1996; Oliveira et al. 1994; Van Bavel 2017)</w:t>
      </w:r>
      <w:r>
        <w:t xml:space="preserve">. It happens due to the lack of information on male’s reproductive intentions and behavior</w:t>
      </w:r>
      <w:r>
        <w:t xml:space="preserve"> </w:t>
      </w:r>
      <w:r>
        <w:t xml:space="preserve">(Schoumaker 2019)</w:t>
      </w:r>
      <w:r>
        <w:t xml:space="preserve">. However, as women, males play a key role in family decision making of resource allocation and in family planning</w:t>
      </w:r>
      <w:r>
        <w:t xml:space="preserve"> </w:t>
      </w:r>
      <w:r>
        <w:t xml:space="preserve">(Thomson 1997)</w:t>
      </w:r>
      <w:r>
        <w:t xml:space="preserve">. Hence, the evaluation of male’s characteristics in reproduction of couples gain importance in a period of changing gender relations, cultural norms, family relations and assortative mating patterns.</w:t>
      </w:r>
    </w:p>
    <w:p>
      <w:pPr>
        <w:pStyle w:val="TextBody"/>
      </w:pPr>
      <w:r>
        <w:t xml:space="preserve">Over the last century, this Western trend of female schooling expansion followed by increased demand of labor force and reduced social costs of reproduction led to the first phase of the Gender Revolution</w:t>
      </w:r>
      <w:r>
        <w:t xml:space="preserve"> </w:t>
      </w:r>
      <w:r>
        <w:t xml:space="preserve">(Goldscheider et al. 2015)</w:t>
      </w:r>
      <w:r>
        <w:t xml:space="preserve">. This phase is marked by the increased participation of women in the public and institutional spheres</w:t>
      </w:r>
      <w:r>
        <w:t xml:space="preserve"> </w:t>
      </w:r>
      <w:r>
        <w:t xml:space="preserve">(England 2010; Esping-Andersen 2009; Goldin 2006)</w:t>
      </w:r>
      <w:r>
        <w:t xml:space="preserve">. The second phase of this revolution would be guided by an increase in male’s participation in the private sphere, e. g., in household chores and childbearing</w:t>
      </w:r>
      <w:r>
        <w:t xml:space="preserve"> </w:t>
      </w:r>
      <w:r>
        <w:t xml:space="preserve">(Esping-Andersen 2009)</w:t>
      </w:r>
      <w:r>
        <w:t xml:space="preserve">. An optimistic perspective of this second phase would foresee a new balance of gender relations in the future with lower constraints to female reproduction and greater commitment of partners to childbearing and domestic activities</w:t>
      </w:r>
      <w:r>
        <w:t xml:space="preserve"> </w:t>
      </w:r>
      <w:r>
        <w:t xml:space="preserve">(Goldscheider et al. 2015; Myrskylä et al. 2011)</w:t>
      </w:r>
      <w:r>
        <w:t xml:space="preserve">.</w:t>
      </w:r>
    </w:p>
    <w:p>
      <w:pPr>
        <w:pStyle w:val="TextBody"/>
      </w:pPr>
      <w:r>
        <w:t xml:space="preserve">However, neither the greater participation in the public shpere of society and neither the larger schooling levels led to improvements in sexual division of labor</w:t>
      </w:r>
      <w:r>
        <w:t xml:space="preserve"> </w:t>
      </w:r>
      <w:r>
        <w:t xml:space="preserve">(England 2010)</w:t>
      </w:r>
      <w:r>
        <w:t xml:space="preserve">. In Brazil, female participation in the labor market results in a double burden, especially for the most vulnerable social classes which can not afford domestic and childbearing services from the market</w:t>
      </w:r>
      <w:r>
        <w:t xml:space="preserve"> </w:t>
      </w:r>
      <w:r>
        <w:t xml:space="preserve">(Guedes 2015; Itaboraí 2016)</w:t>
      </w:r>
      <w:r>
        <w:t xml:space="preserve">. Moreover, this social constraints inccur in different strategies for women to conciliate their activities in the labor market with social reproduction activities (household chores and childbearing): part-time jobs [</w:t>
      </w:r>
      <w:r>
        <w:t xml:space="preserve">England (2010)</w:t>
      </w:r>
      <w:r>
        <w:t xml:space="preserve">;guedes2015], abandonment of labor market</w:t>
      </w:r>
      <w:r>
        <w:t xml:space="preserve"> </w:t>
      </w:r>
      <w:r>
        <w:t xml:space="preserve">(Teixeira 2014)</w:t>
      </w:r>
      <w:r>
        <w:t xml:space="preserve"> </w:t>
      </w:r>
      <w:r>
        <w:t xml:space="preserve">and reproductive control by modern contraception adoption to addapt to the financial and time-constraining reality</w:t>
      </w:r>
      <w:r>
        <w:t xml:space="preserve"> </w:t>
      </w:r>
      <w:r>
        <w:t xml:space="preserve">(Oliveira 1989)</w:t>
      </w:r>
      <w:r>
        <w:t xml:space="preserve">. In the higher social strata, women dedicate lower time to household chores due to the access to hospitality services in the market or to higher participation in the labor market while men of higher educational levels tend to be more active in domestic activities</w:t>
      </w:r>
      <w:r>
        <w:t xml:space="preserve">(Itaboraí 2016)</w:t>
      </w:r>
      <w:r>
        <w:t xml:space="preserve">.</w:t>
      </w:r>
    </w:p>
    <w:p>
      <w:pPr>
        <w:pStyle w:val="TextBody"/>
      </w:pPr>
      <w:r>
        <w:t xml:space="preserve">Individual’s educational characteristics are fundamental in shaping the life course. It acts in the public sphere by influencing the labor market decisions and opportunities and the private sphere by providing information on family planning strategies or by empowering individuals to overcome old social and gender norms. For this reason, in a context of changing gender norms and diversifying assortative mating profiles, it is essential to consider the characteristics of both partenrs to evaluate the fertility profiles of societies</w:t>
      </w:r>
      <w:r>
        <w:t xml:space="preserve"> </w:t>
      </w:r>
      <w:r>
        <w:t xml:space="preserve">(Nitsche et al. 2018)</w:t>
      </w:r>
      <w:r>
        <w:t xml:space="preserve">.</w:t>
      </w:r>
    </w:p>
    <w:p>
      <w:pPr>
        <w:pStyle w:val="Heading1"/>
      </w:pPr>
      <w:bookmarkStart w:id="26" w:name="data-and-methods"/>
      <w:r>
        <w:t xml:space="preserve">Data and Methods</w:t>
      </w:r>
      <w:bookmarkEnd w:id="26"/>
    </w:p>
    <w:p>
      <w:pPr>
        <w:pStyle w:val="Heading2"/>
      </w:pPr>
      <w:bookmarkStart w:id="27" w:name="data"/>
      <w:r>
        <w:t xml:space="preserve">Data</w:t>
      </w:r>
      <w:bookmarkEnd w:id="27"/>
    </w:p>
    <w:p>
      <w:pPr>
        <w:pStyle w:val="FirstParagraph"/>
      </w:pPr>
      <w:r>
        <w:t xml:space="preserve">This paper uses data collected via IPUMS-International from Brazilian National Censuses of 1970, 1980, 1991, 2000 and 2010 promoted by the Brazilian Institute of Geography and Statistics (IBGE, from Prtuguese</w:t>
      </w:r>
      <w:r>
        <w:t xml:space="preserve"> </w:t>
      </w:r>
      <w:r>
        <w:rPr>
          <w:i/>
        </w:rPr>
        <w:t xml:space="preserve">Instituto Brasileiro de Geografia e Estatística</w:t>
      </w:r>
      <w:r>
        <w:t xml:space="preserve">). We used IPUMS data because it is harmonized in time and space which make it possible the comparison of different demographic scenarios and areas without the need for compatibilization</w:t>
      </w:r>
      <w:r>
        <w:t xml:space="preserve"> </w:t>
      </w:r>
      <w:r>
        <w:t xml:space="preserve">(Esteve/Sobek 2003; Minnesota Population Center 2018)</w:t>
      </w:r>
      <w:r>
        <w:t xml:space="preserve">.</w:t>
      </w:r>
    </w:p>
    <w:p>
      <w:pPr>
        <w:pStyle w:val="TextBody"/>
      </w:pPr>
      <w:r>
        <w:t xml:space="preserve">From the information and variables available at IPUMS and Brazilian censuses it was possible to identify individual socioeconomic characteristics of members of the same household. Therefore it was necessary to identify the educational level of household members, number of children ever born to women of the household and the respective partner of each household women. This identification is done through the following variables: household serial number, marital status and relationship with the household head. Using this information we paired women and their respective partners and stored their information on children ever born and educational attainment level. We used educational attainment level available in four levels at IPUMS: 1) Less than Primary, 2) Complete Primary, 3) Complete Secondary and 4) Complete Tertiary</w:t>
      </w:r>
      <w:r>
        <w:t xml:space="preserve"> </w:t>
      </w:r>
      <w:r>
        <w:t xml:space="preserve">(Minnesota Population Center 2018)</w:t>
      </w:r>
      <w:r>
        <w:t xml:space="preserve">.</w:t>
      </w:r>
    </w:p>
    <w:p>
      <w:pPr>
        <w:pStyle w:val="TextBody"/>
      </w:pPr>
      <w:r>
        <w:t xml:space="preserve">Partners were chosen based on the information of marital status and household head relationship. We chose to evaluate either formal or consensual unions because cohabitation is a difunded feature in Brazil among all social strata and it accounts for a non-negligible share of observed fertility levels</w:t>
      </w:r>
      <w:r>
        <w:t xml:space="preserve"> </w:t>
      </w:r>
      <w:r>
        <w:t xml:space="preserve">(A. Esteve/R. Lesthaeghe/et al. 2012; Laplante et al. 2015; Vieira 2016)</w:t>
      </w:r>
      <w:r>
        <w:t xml:space="preserve">. Despite formal and consensual unions display different age-specific fertility profiles</w:t>
      </w:r>
      <w:r>
        <w:t xml:space="preserve"> </w:t>
      </w:r>
      <w:r>
        <w:t xml:space="preserve">(Vieira/Alves 2016)</w:t>
      </w:r>
      <w:r>
        <w:t xml:space="preserve"> </w:t>
      </w:r>
      <w:r>
        <w:t xml:space="preserve">and different fertility levels</w:t>
      </w:r>
      <w:r>
        <w:t xml:space="preserve"> </w:t>
      </w:r>
      <w:r>
        <w:t xml:space="preserve">(Vieira 2016)</w:t>
      </w:r>
      <w:r>
        <w:t xml:space="preserve">, they do not exhibit significant differentials in terms of assortative mating patterns</w:t>
      </w:r>
      <w:r>
        <w:t xml:space="preserve"> </w:t>
      </w:r>
      <w:r>
        <w:t xml:space="preserve">(Esteve/McCaa 2007)</w:t>
      </w:r>
      <w:r>
        <w:t xml:space="preserve">.</w:t>
      </w:r>
    </w:p>
    <w:p>
      <w:pPr>
        <w:pStyle w:val="TextBody"/>
      </w:pPr>
      <w:r>
        <w:t xml:space="preserve">By taking the difference between census reference period and women age we could estimate cohort fertility rates (CFR) for Brazil and selected regions. We restricted female ages to the range from 40 to 69 years old and male ages to the range of 35 to 79. We considered that by 40 women would already have completed or would be close to complete their reproductive cycle. This women age ranges make it possible to reconstruct cohorts from 1901 to 1970. However, we restrict our analysis to cohorts from 1925-1969 because of data quality issues related to memory misstatements of number of children ever born for older women</w:t>
      </w:r>
      <w:r>
        <w:t xml:space="preserve"> </w:t>
      </w:r>
      <w:r>
        <w:t xml:space="preserve">(Brass et al. 1968)</w:t>
      </w:r>
      <w:r>
        <w:t xml:space="preserve"> </w:t>
      </w:r>
      <w:r>
        <w:t xml:space="preserve">and due to data contiguity issues for this older cohorts educational groups (appendix A). For men, we chose a broader age range to increase the number of observations of couples in which they are older than women (which are the majority) and of couples in which they are younger.</w:t>
      </w:r>
    </w:p>
    <w:p>
      <w:pPr>
        <w:pStyle w:val="TextBody"/>
      </w:pPr>
      <w:r>
        <w:t xml:space="preserve">Improbable and unreliable children ever born statements were also addressed prior to the estimation of CFRs. We assumed that women can bear only one living child each 18 months starting from age 12</w:t>
      </w:r>
      <w:r>
        <w:t xml:space="preserve"> </w:t>
      </w:r>
      <w:r>
        <w:t xml:space="preserve">(Moultrie et al. 2013)</w:t>
      </w:r>
      <w:r>
        <w:t xml:space="preserve">. Thus, when the stated number of children ever born exceeded the threshold expected parity for the respective age we set its value to the maximum expected for the mother’s age. More details on data quality issues are provided in appendix A.</w:t>
      </w:r>
    </w:p>
    <w:p>
      <w:pPr>
        <w:pStyle w:val="TextBody"/>
      </w:pPr>
      <w:r>
        <w:t xml:space="preserve">Finally, we grouped regions into 3 groups: 1) Central-West, 2) South-Southeast and 3) North-Northeast. These groups were choosen based on shared socioeconomic characteristics and demographic characteristics of cohort fertility and assortative mating verified in previous analysis [monteiro-da-silva2019]. Thus, this grouping facilitates managing scale issues of small sample sizes in regions of lower population density and lower population counts of some particular educational groups.</w:t>
      </w:r>
    </w:p>
    <w:p>
      <w:pPr>
        <w:pStyle w:val="Heading2"/>
      </w:pPr>
      <w:bookmarkStart w:id="28" w:name="educational-pairings-cohort-fertility-trends"/>
      <w:r>
        <w:t xml:space="preserve">Educational pairings cohort fertility trends</w:t>
      </w:r>
      <w:bookmarkEnd w:id="28"/>
    </w:p>
    <w:p>
      <w:pPr>
        <w:pStyle w:val="FirstParagraph"/>
      </w:pPr>
      <w:r>
        <w:t xml:space="preserve">Assuming the mentioned conditions and the educational groups, we may estimated cohort fertility rates for each educational pairing profile by:</w:t>
      </w:r>
    </w:p>
    <w:p>
      <w:pPr>
        <w:pStyle w:val="TextBody"/>
      </w:pPr>
      <m:oMathPara>
        <m:oMathParaPr>
          <m:jc m:val="center"/>
        </m:oMathParaPr>
        <m:oMath>
          <m:r>
            <m:t>C</m:t>
          </m:r>
          <m:r>
            <m:t>F</m:t>
          </m:r>
          <m:sSubSup>
            <m:e>
              <m:r>
                <m:t>R</m:t>
              </m:r>
            </m:e>
            <m:sub>
              <m:r>
                <m:t>F</m:t>
              </m:r>
              <m:r>
                <m:t>,</m:t>
              </m:r>
              <m:r>
                <m:t>M</m:t>
              </m:r>
            </m:sub>
            <m:sup>
              <m:r>
                <m:t>t</m:t>
              </m:r>
            </m:sup>
          </m:sSubSup>
          <m:r>
            <m:t>=</m:t>
          </m:r>
          <m:f>
            <m:fPr>
              <m:type m:val="bar"/>
            </m:fPr>
            <m:num>
              <m:r>
                <m:t>C</m:t>
              </m:r>
              <m:r>
                <m:t>H</m:t>
              </m:r>
              <m:r>
                <m:t>B</m:t>
              </m:r>
              <m:r>
                <m:t>O</m:t>
              </m:r>
              <m:r>
                <m:t>R</m:t>
              </m:r>
              <m:sSubSup>
                <m:e>
                  <m:r>
                    <m:t>N</m:t>
                  </m:r>
                </m:e>
                <m:sub>
                  <m:r>
                    <m:t>F</m:t>
                  </m:r>
                  <m:r>
                    <m:t>,</m:t>
                  </m:r>
                  <m:r>
                    <m:t>M</m:t>
                  </m:r>
                </m:sub>
                <m:sup>
                  <m:r>
                    <m:t>t</m:t>
                  </m:r>
                </m:sup>
              </m:sSubSup>
            </m:num>
            <m:den>
              <m:sSubSup>
                <m:e>
                  <m:r>
                    <m:t>W</m:t>
                  </m:r>
                </m:e>
                <m:sub>
                  <m:r>
                    <m:t>F</m:t>
                  </m:r>
                  <m:r>
                    <m:t>,</m:t>
                  </m:r>
                  <m:r>
                    <m:t>M</m:t>
                  </m:r>
                </m:sub>
                <m:sup>
                  <m:r>
                    <m:t>t</m:t>
                  </m:r>
                </m:sup>
              </m:sSubSup>
            </m:den>
          </m:f>
        </m:oMath>
      </m:oMathPara>
    </w:p>
    <w:p>
      <w:pPr>
        <w:pStyle w:val="FirstParagraph"/>
      </w:pPr>
      <w:r>
        <w:t xml:space="preserve">Where,</w:t>
      </w:r>
    </w:p>
    <w:p>
      <w:pPr>
        <w:numPr>
          <w:numId w:val="1001"/>
          <w:ilvl w:val="0"/>
        </w:numPr>
      </w:pPr>
      <m:oMath>
        <m:r>
          <m:t>C</m:t>
        </m:r>
        <m:r>
          <m:t>F</m:t>
        </m:r>
        <m:sSubSup>
          <m:e>
            <m:r>
              <m:t>R</m:t>
            </m:r>
          </m:e>
          <m:sub>
            <m:r>
              <m:t>F</m:t>
            </m:r>
            <m:r>
              <m:t>,</m:t>
            </m:r>
            <m:r>
              <m:t>M</m:t>
            </m:r>
          </m:sub>
          <m:sup>
            <m:r>
              <m:t>t</m:t>
            </m:r>
          </m:sup>
        </m:sSubSup>
      </m:oMath>
      <w:r>
        <w:t xml:space="preserve">: Cohort Fertility Rates for cohorts of women born in time t with an educational attainment level F married/in-union with a partner that reached an educational attainment level M;</w:t>
      </w:r>
    </w:p>
    <w:p>
      <w:pPr>
        <w:numPr>
          <w:numId w:val="1001"/>
          <w:ilvl w:val="0"/>
        </w:numPr>
      </w:pPr>
      <m:oMath>
        <m:r>
          <m:t>C</m:t>
        </m:r>
        <m:r>
          <m:t>H</m:t>
        </m:r>
        <m:r>
          <m:t>B</m:t>
        </m:r>
        <m:r>
          <m:t>O</m:t>
        </m:r>
        <m:r>
          <m:t>R</m:t>
        </m:r>
        <m:sSubSup>
          <m:e>
            <m:r>
              <m:t>N</m:t>
            </m:r>
          </m:e>
          <m:sub>
            <m:r>
              <m:t>F</m:t>
            </m:r>
            <m:r>
              <m:t>,</m:t>
            </m:r>
            <m:r>
              <m:t>M</m:t>
            </m:r>
          </m:sub>
          <m:sup>
            <m:r>
              <m:t>t</m:t>
            </m:r>
          </m:sup>
        </m:sSubSup>
      </m:oMath>
      <w:r>
        <w:t xml:space="preserve">: Children Ever Born to cohorts of women born in time t with an educational attainment level F married/in-union with a partner that reached an educational attainment level M;</w:t>
      </w:r>
    </w:p>
    <w:p>
      <w:pPr>
        <w:numPr>
          <w:numId w:val="1001"/>
          <w:ilvl w:val="0"/>
        </w:numPr>
      </w:pPr>
      <m:oMath>
        <m:sSubSup>
          <m:e>
            <m:r>
              <m:t>W</m:t>
            </m:r>
          </m:e>
          <m:sub>
            <m:r>
              <m:t>F</m:t>
            </m:r>
            <m:r>
              <m:t>,</m:t>
            </m:r>
            <m:r>
              <m:t>M</m:t>
            </m:r>
          </m:sub>
          <m:sup>
            <m:r>
              <m:t>t</m:t>
            </m:r>
          </m:sup>
        </m:sSubSup>
      </m:oMath>
      <w:r>
        <w:t xml:space="preserve">: Total number of women from the cohort born in time t with an educational attainment level F married/in-union with a partner that reached an educational attainment level M;</w:t>
      </w:r>
    </w:p>
    <w:p>
      <w:pPr>
        <w:pStyle w:val="FirstParagraph"/>
      </w:pPr>
      <w:r>
        <w:t xml:space="preserve">We computed CFRs in two ways for different methodological evaluations. First, we computed CFRs for each educational pairing of women cohorts ranging from 1925-1969 grouped in five-year age groups and educational levels LP (less than primary education completed), P (primary education completed) and S+ (secondary or tertiary education completed). The last two educational level groups were grouped in order to avoid small samples of people with higher educational attainment levels from older cohorts.</w:t>
      </w:r>
    </w:p>
    <w:p>
      <w:pPr>
        <w:pStyle w:val="TextBody"/>
      </w:pPr>
      <w:r>
        <w:t xml:space="preserve">CFR trends were then evaluated in terms of both male’s and female’s educational attainment levels in order to visualize each partners influence on each region fertility transition. We also computed relative differences in CFRs</w:t>
      </w:r>
      <w:r>
        <w:t xml:space="preserve"> </w:t>
      </w:r>
      <w:r>
        <w:t xml:space="preserve">(Van Bavel et al. 2018)</w:t>
      </w:r>
      <w:r>
        <w:t xml:space="preserve"> </w:t>
      </w:r>
      <w:r>
        <w:t xml:space="preserve">between men with LP and S+ educational levels in relation to those with P educational level, controlling by female educational category as described above. Trends in relative differences among male educational categories will contribute to observe possible converging patterns of fertility transition among male’s educational categories such as observed for women</w:t>
      </w:r>
      <w:r>
        <w:t xml:space="preserve"> </w:t>
      </w:r>
      <w:r>
        <w:t xml:space="preserve">(Berquó/Cavenaghi 2014)</w:t>
      </w:r>
      <w:r>
        <w:t xml:space="preserve">.</w:t>
      </w:r>
    </w:p>
    <w:p>
      <w:pPr>
        <w:pStyle w:val="TextBody"/>
      </w:pPr>
      <m:oMathPara>
        <m:oMathParaPr>
          <m:jc m:val="center"/>
        </m:oMathParaPr>
        <m:oMath>
          <m:r>
            <m:t>R</m:t>
          </m:r>
          <m:r>
            <m:t>D</m:t>
          </m:r>
          <m:r>
            <m:t>i</m:t>
          </m:r>
          <m:r>
            <m:t>f</m:t>
          </m:r>
          <m:sSubSup>
            <m:e>
              <m:r>
                <m:t>f</m:t>
              </m:r>
            </m:e>
            <m:sub>
              <m:r>
                <m:t>F</m:t>
              </m:r>
              <m:r>
                <m:t>,</m:t>
              </m:r>
              <m:r>
                <m:t>M</m:t>
              </m:r>
              <m:r>
                <m:t>=</m:t>
              </m:r>
              <m:r>
                <m:t>L</m:t>
              </m:r>
              <m:r>
                <m:t>P</m:t>
              </m:r>
              <m:r>
                <m:t>−</m:t>
              </m:r>
              <m:r>
                <m:t>P</m:t>
              </m:r>
            </m:sub>
            <m:sup>
              <m:r>
                <m:t>t</m:t>
              </m:r>
            </m:sup>
          </m:sSubSup>
          <m:r>
            <m:t>=</m:t>
          </m:r>
          <m:f>
            <m:fPr>
              <m:type m:val="bar"/>
            </m:fPr>
            <m:num>
              <m:r>
                <m:t>C</m:t>
              </m:r>
              <m:r>
                <m:t>F</m:t>
              </m:r>
              <m:sSubSup>
                <m:e>
                  <m:r>
                    <m:t>R</m:t>
                  </m:r>
                </m:e>
                <m:sub>
                  <m:r>
                    <m:t>F</m:t>
                  </m:r>
                  <m:r>
                    <m:t>,</m:t>
                  </m:r>
                  <m:r>
                    <m:t>M</m:t>
                  </m:r>
                  <m:r>
                    <m:t>=</m:t>
                  </m:r>
                  <m:r>
                    <m:t>L</m:t>
                  </m:r>
                  <m:r>
                    <m:t>P</m:t>
                  </m:r>
                </m:sub>
                <m:sup>
                  <m:r>
                    <m:t>t</m:t>
                  </m:r>
                </m:sup>
              </m:sSubSup>
              <m:r>
                <m:t>−</m:t>
              </m:r>
              <m:r>
                <m:t>C</m:t>
              </m:r>
              <m:r>
                <m:t>F</m:t>
              </m:r>
              <m:sSubSup>
                <m:e>
                  <m:r>
                    <m:t>R</m:t>
                  </m:r>
                </m:e>
                <m:sub>
                  <m:r>
                    <m:t>F</m:t>
                  </m:r>
                  <m:r>
                    <m:t>,</m:t>
                  </m:r>
                  <m:r>
                    <m:t>M</m:t>
                  </m:r>
                  <m:r>
                    <m:t>=</m:t>
                  </m:r>
                  <m:r>
                    <m:t>P</m:t>
                  </m:r>
                </m:sub>
                <m:sup>
                  <m:r>
                    <m:t>t</m:t>
                  </m:r>
                </m:sup>
              </m:sSubSup>
            </m:num>
            <m:den>
              <m:r>
                <m:t>C</m:t>
              </m:r>
              <m:r>
                <m:t>F</m:t>
              </m:r>
              <m:sSubSup>
                <m:e>
                  <m:r>
                    <m:t>R</m:t>
                  </m:r>
                </m:e>
                <m:sub>
                  <m:r>
                    <m:t>F</m:t>
                  </m:r>
                  <m:r>
                    <m:t>,</m:t>
                  </m:r>
                  <m:r>
                    <m:t>M</m:t>
                  </m:r>
                  <m:r>
                    <m:t>=</m:t>
                  </m:r>
                  <m:r>
                    <m:t>P</m:t>
                  </m:r>
                </m:sub>
                <m:sup>
                  <m:r>
                    <m:t>t</m:t>
                  </m:r>
                </m:sup>
              </m:sSubSup>
            </m:den>
          </m:f>
        </m:oMath>
      </m:oMathPara>
    </w:p>
    <w:p>
      <w:pPr>
        <w:pStyle w:val="FirstParagraph"/>
      </w:pPr>
      <m:oMathPara>
        <m:oMathParaPr>
          <m:jc m:val="center"/>
        </m:oMathParaPr>
        <m:oMath>
          <m:r>
            <m:t>R</m:t>
          </m:r>
          <m:r>
            <m:t>D</m:t>
          </m:r>
          <m:r>
            <m:t>i</m:t>
          </m:r>
          <m:r>
            <m:t>f</m:t>
          </m:r>
          <m:sSubSup>
            <m:e>
              <m:r>
                <m:t>f</m:t>
              </m:r>
            </m:e>
            <m:sub>
              <m:r>
                <m:t>F</m:t>
              </m:r>
              <m:r>
                <m:t>,</m:t>
              </m:r>
              <m:r>
                <m:t>M</m:t>
              </m:r>
              <m:r>
                <m:t>=</m:t>
              </m:r>
              <m:r>
                <m:t>S</m:t>
              </m:r>
              <m:r>
                <m:t>+</m:t>
              </m:r>
              <m:r>
                <m:t>−</m:t>
              </m:r>
              <m:r>
                <m:t>P</m:t>
              </m:r>
            </m:sub>
            <m:sup>
              <m:r>
                <m:t>t</m:t>
              </m:r>
            </m:sup>
          </m:sSubSup>
          <m:r>
            <m:t>=</m:t>
          </m:r>
          <m:f>
            <m:fPr>
              <m:type m:val="bar"/>
            </m:fPr>
            <m:num>
              <m:r>
                <m:t>C</m:t>
              </m:r>
              <m:r>
                <m:t>F</m:t>
              </m:r>
              <m:sSubSup>
                <m:e>
                  <m:r>
                    <m:t>R</m:t>
                  </m:r>
                </m:e>
                <m:sub>
                  <m:r>
                    <m:t>F</m:t>
                  </m:r>
                  <m:r>
                    <m:t>,</m:t>
                  </m:r>
                  <m:r>
                    <m:t>M</m:t>
                  </m:r>
                  <m:r>
                    <m:t>=</m:t>
                  </m:r>
                  <m:r>
                    <m:t>S</m:t>
                  </m:r>
                  <m:r>
                    <m:t>+</m:t>
                  </m:r>
                </m:sub>
                <m:sup>
                  <m:r>
                    <m:t>t</m:t>
                  </m:r>
                </m:sup>
              </m:sSubSup>
              <m:r>
                <m:t>−</m:t>
              </m:r>
              <m:r>
                <m:t>C</m:t>
              </m:r>
              <m:r>
                <m:t>F</m:t>
              </m:r>
              <m:sSubSup>
                <m:e>
                  <m:r>
                    <m:t>R</m:t>
                  </m:r>
                </m:e>
                <m:sub>
                  <m:r>
                    <m:t>F</m:t>
                  </m:r>
                  <m:r>
                    <m:t>,</m:t>
                  </m:r>
                  <m:r>
                    <m:t>M</m:t>
                  </m:r>
                  <m:r>
                    <m:t>=</m:t>
                  </m:r>
                  <m:r>
                    <m:t>P</m:t>
                  </m:r>
                </m:sub>
                <m:sup>
                  <m:r>
                    <m:t>t</m:t>
                  </m:r>
                </m:sup>
              </m:sSubSup>
            </m:num>
            <m:den>
              <m:r>
                <m:t>C</m:t>
              </m:r>
              <m:r>
                <m:t>F</m:t>
              </m:r>
              <m:sSubSup>
                <m:e>
                  <m:r>
                    <m:t>R</m:t>
                  </m:r>
                </m:e>
                <m:sub>
                  <m:r>
                    <m:t>F</m:t>
                  </m:r>
                  <m:r>
                    <m:t>,</m:t>
                  </m:r>
                  <m:r>
                    <m:t>M</m:t>
                  </m:r>
                  <m:r>
                    <m:t>=</m:t>
                  </m:r>
                  <m:r>
                    <m:t>P</m:t>
                  </m:r>
                </m:sub>
                <m:sup>
                  <m:r>
                    <m:t>t</m:t>
                  </m:r>
                </m:sup>
              </m:sSubSup>
            </m:den>
          </m:f>
        </m:oMath>
      </m:oMathPara>
    </w:p>
    <w:p>
      <w:pPr>
        <w:pStyle w:val="Heading2"/>
      </w:pPr>
      <w:bookmarkStart w:id="29" w:name="cfrs-decomposition"/>
      <w:r>
        <w:t xml:space="preserve">CFRs decomposition</w:t>
      </w:r>
      <w:bookmarkEnd w:id="29"/>
    </w:p>
    <w:p>
      <w:pPr>
        <w:pStyle w:val="FirstParagraph"/>
      </w:pPr>
      <w:r>
        <w:t xml:space="preserve">In a second moment, we computed CFR for broader year interval cohorts: 1925-39, 1940-54 and 1955-1969. Taking more cohorts in consideration made it possible to evaluate even the tertiary education influence and decompose the effects of educational expansion and changing marital profiles in fertility by comparing each cohort group. We used demographic decomposition methods</w:t>
      </w:r>
      <w:r>
        <w:t xml:space="preserve"> </w:t>
      </w:r>
      <w:r>
        <w:t xml:space="preserve">(Das Gupta 1993)</w:t>
      </w:r>
      <w:r>
        <w:t xml:space="preserve"> </w:t>
      </w:r>
      <w:r>
        <w:t xml:space="preserve">such as performed by</w:t>
      </w:r>
      <w:r>
        <w:t xml:space="preserve"> </w:t>
      </w:r>
      <w:r>
        <w:t xml:space="preserve">Yoo (2014)</w:t>
      </w:r>
      <w:r>
        <w:t xml:space="preserve"> </w:t>
      </w:r>
      <w:r>
        <w:t xml:space="preserve">to assess both educational pairings</w:t>
      </w:r>
      <w:r>
        <w:t xml:space="preserve"> </w:t>
      </w:r>
      <w:r>
        <w:rPr>
          <w:i/>
        </w:rPr>
        <w:t xml:space="preserve">composition effects</w:t>
      </w:r>
      <w:r>
        <w:t xml:space="preserve"> </w:t>
      </w:r>
      <w:r>
        <w:t xml:space="preserve">and cohort fertility</w:t>
      </w:r>
      <w:r>
        <w:t xml:space="preserve"> </w:t>
      </w:r>
      <w:r>
        <w:rPr>
          <w:i/>
        </w:rPr>
        <w:t xml:space="preserve">rate effects</w:t>
      </w:r>
      <w:r>
        <w:t xml:space="preserve"> </w:t>
      </w:r>
      <w:r>
        <w:t xml:space="preserve">on cohort fertility differentials ($</w:t>
      </w:r>
      <w:r>
        <w:t xml:space="preserve"> </w:t>
      </w:r>
      <w:r>
        <w:t xml:space="preserve">CFR $).</w:t>
      </w:r>
    </w:p>
    <w:p>
      <w:pPr>
        <w:pStyle w:val="TextBody"/>
      </w:pPr>
      <w:r>
        <w:t xml:space="preserve">The overall conjugal CFR for a given period T is computed by:</w:t>
      </w:r>
    </w:p>
    <w:p>
      <w:pPr>
        <w:pStyle w:val="TextBody"/>
      </w:pPr>
      <m:oMathPara>
        <m:oMathParaPr>
          <m:jc m:val="center"/>
        </m:oMathParaPr>
        <m:oMath>
          <m:r>
            <m:t>C</m:t>
          </m:r>
          <m:r>
            <m:t>F</m:t>
          </m:r>
          <m:sSup>
            <m:e>
              <m:r>
                <m:t>R</m:t>
              </m:r>
            </m:e>
            <m:sup>
              <m:r>
                <m:t>T</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sup>
          </m:sSubSup>
          <m:sSubSup>
            <m:e>
              <m:r>
                <m:t>P</m:t>
              </m:r>
            </m:e>
            <m:sub>
              <m:r>
                <m:t>e</m:t>
              </m:r>
              <m:r>
                <m:t>p</m:t>
              </m:r>
            </m:sub>
            <m:sup>
              <m:r>
                <m:t>T</m:t>
              </m:r>
            </m:sup>
          </m:sSubSup>
        </m:oMath>
      </m:oMathPara>
    </w:p>
    <w:p>
      <w:pPr>
        <w:pStyle w:val="FirstParagraph"/>
      </w:pPr>
      <w:r>
        <w:t xml:space="preserve">Further, the differences in CFR from time T1 to time T2 are given by:</w:t>
      </w:r>
    </w:p>
    <w:p>
      <w:pPr>
        <w:pStyle w:val="TextBody"/>
      </w:pPr>
      <m:oMathPara>
        <m:oMathParaPr>
          <m:jc m:val="center"/>
        </m:oMathParaPr>
        <m:oMath>
          <m:r>
            <m:t>Δ</m:t>
          </m:r>
          <m:r>
            <m:t>C</m:t>
          </m:r>
          <m:r>
            <m:t>F</m:t>
          </m:r>
          <m:sSub>
            <m:e>
              <m:r>
                <m:t>R</m:t>
              </m:r>
            </m:e>
            <m:sub>
              <m:r>
                <m:t>12</m:t>
              </m:r>
            </m:sub>
          </m:sSub>
          <m:r>
            <m:t>=</m:t>
          </m:r>
          <m:r>
            <m:t>C</m:t>
          </m:r>
          <m:r>
            <m:t>F</m:t>
          </m:r>
          <m:sSup>
            <m:e>
              <m:r>
                <m:t>R</m:t>
              </m:r>
            </m:e>
            <m:sup>
              <m:r>
                <m:t>T</m:t>
              </m:r>
              <m:r>
                <m:t>1</m:t>
              </m:r>
            </m:sup>
          </m:sSup>
          <m:r>
            <m:t>−</m:t>
          </m:r>
          <m:r>
            <m:t>C</m:t>
          </m:r>
          <m:r>
            <m:t>F</m:t>
          </m:r>
          <m:sSup>
            <m:e>
              <m:r>
                <m:t>R</m:t>
              </m:r>
            </m:e>
            <m:sup>
              <m:r>
                <m:t>T</m:t>
              </m:r>
              <m:r>
                <m:t>2</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r>
                <m:t>1</m:t>
              </m:r>
            </m:sup>
          </m:sSubSup>
          <m:sSubSup>
            <m:e>
              <m:r>
                <m:t>P</m:t>
              </m:r>
            </m:e>
            <m:sub>
              <m:r>
                <m:t>e</m:t>
              </m:r>
              <m:r>
                <m:t>p</m:t>
              </m:r>
            </m:sub>
            <m:sup>
              <m:r>
                <m:t>T</m:t>
              </m:r>
              <m:r>
                <m:t>1</m:t>
              </m:r>
            </m:sup>
          </m:sSubSup>
          <m:r>
            <m:t>−</m:t>
          </m:r>
          <m:nary>
            <m:naryPr>
              <m:chr m:val="∑"/>
              <m:limLoc m:val="undOvr"/>
              <m:subHide m:val="0"/>
              <m:supHide m:val="0"/>
            </m:naryPr>
            <m:sub>
              <m:r>
                <m:t>i</m:t>
              </m:r>
            </m:sub>
            <m:sup>
              <m:r>
                <m:t>e</m:t>
              </m:r>
              <m:r>
                <m:t>p</m:t>
              </m:r>
            </m:sup>
            <m:e>
              <m:r>
                <m:t>C</m:t>
              </m:r>
            </m:e>
          </m:nary>
          <m:r>
            <m:t>F</m:t>
          </m:r>
          <m:sSubSup>
            <m:e>
              <m:r>
                <m:t>R</m:t>
              </m:r>
            </m:e>
            <m:sub>
              <m:r>
                <m:t>e</m:t>
              </m:r>
              <m:r>
                <m:t>p</m:t>
              </m:r>
            </m:sub>
            <m:sup>
              <m:r>
                <m:t>T</m:t>
              </m:r>
              <m:r>
                <m:t>2</m:t>
              </m:r>
            </m:sup>
          </m:sSubSup>
          <m:sSubSup>
            <m:e>
              <m:r>
                <m:t>P</m:t>
              </m:r>
            </m:e>
            <m:sub>
              <m:r>
                <m:t>e</m:t>
              </m:r>
              <m:r>
                <m:t>p</m:t>
              </m:r>
            </m:sub>
            <m:sup>
              <m:r>
                <m:t>T</m:t>
              </m:r>
              <m:r>
                <m:t>2</m:t>
              </m:r>
            </m:sup>
          </m:sSubSup>
        </m:oMath>
      </m:oMathPara>
    </w:p>
    <w:p>
      <w:pPr>
        <w:pStyle w:val="FirstParagraph"/>
      </w:pPr>
      <w:r>
        <w:t xml:space="preserve">Where,</w:t>
      </w:r>
    </w:p>
    <w:p>
      <w:pPr>
        <w:pStyle w:val="Compact"/>
        <w:numPr>
          <w:numId w:val="1002"/>
          <w:ilvl w:val="0"/>
        </w:numPr>
      </w:pPr>
      <m:oMath>
        <m:r>
          <m:t>T</m:t>
        </m:r>
      </m:oMath>
      <w:r>
        <w:t xml:space="preserve"> </w:t>
      </w:r>
      <w:r>
        <w:t xml:space="preserve">is the female cohort birth period which assume 3 intervals: T = {1925-39, 1940-54, 1955-69};</w:t>
      </w:r>
    </w:p>
    <w:p>
      <w:pPr>
        <w:pStyle w:val="Compact"/>
        <w:numPr>
          <w:numId w:val="1002"/>
          <w:ilvl w:val="0"/>
        </w:numPr>
      </w:pPr>
      <m:oMath>
        <m:r>
          <m:t>e</m:t>
        </m:r>
        <m:r>
          <m:t>p</m:t>
        </m:r>
      </m:oMath>
      <w:r>
        <w:t xml:space="preserve"> </w:t>
      </w:r>
      <w:r>
        <w:t xml:space="preserve">is the educational pairing profile, which assumes 16 possible combinations of female and male educational levels (F,M): ep = {(LP,LP), (LP,P), (LP,S), (LP,T), (P,LP), (P,P),</w:t>
      </w:r>
      <w:r>
        <w:t xml:space="preserve"> </w:t>
      </w:r>
      <w:r>
        <w:t xml:space="preserve">(P,S), (P,T), (S,LP), (S,P), (S,S), (S,T), (T,LP), (T,P), (T,S), (T,T)};</w:t>
      </w:r>
    </w:p>
    <w:p>
      <w:pPr>
        <w:pStyle w:val="Compact"/>
        <w:numPr>
          <w:numId w:val="1002"/>
          <w:ilvl w:val="0"/>
        </w:numPr>
      </w:pPr>
      <m:oMath>
        <m:sSubSup>
          <m:e>
            <m:r>
              <m:t>P</m:t>
            </m:r>
          </m:e>
          <m:sub>
            <m:r>
              <m:t>e</m:t>
            </m:r>
            <m:r>
              <m:t>p</m:t>
            </m:r>
          </m:sub>
          <m:sup>
            <m:r>
              <m:t>T</m:t>
            </m:r>
          </m:sup>
        </m:sSubSup>
      </m:oMath>
      <w:r>
        <w:t xml:space="preserve"> </w:t>
      </w:r>
      <w:r>
        <w:t xml:space="preserve">is the proportion of couples of female cohort T in educational pairing with an</w:t>
      </w:r>
      <w:r>
        <w:t xml:space="preserve"> </w:t>
      </w:r>
      <m:oMath>
        <m:r>
          <m:t>e</m:t>
        </m:r>
        <m:r>
          <m:t>p</m:t>
        </m:r>
      </m:oMath>
      <w:r>
        <w:t xml:space="preserve"> </w:t>
      </w:r>
      <w:r>
        <w:t xml:space="preserve">profile.</w:t>
      </w:r>
    </w:p>
    <w:p>
      <w:pPr>
        <w:pStyle w:val="FirstParagraph"/>
      </w:pPr>
      <w:r>
        <w:t xml:space="preserve">The cohort fertility differences will be computed pairwise: between female cohorts born in 1925-39 and 1940-54, between 1940-54 and 1955-69 cohorts and between 1925-39 and 1955-69 cohorts. These cohort fertility differentials can be decomposed in compositional effects of marriage markets, which are given by the prevalences of educational pairings, and rate effects, which are given by the educational pairing-specific CFRs (see</w:t>
      </w:r>
      <w:r>
        <w:t xml:space="preserve"> </w:t>
      </w:r>
      <w:r>
        <w:t xml:space="preserve">Das Gupta (1993: 37)</w:t>
      </w:r>
      <w:r>
        <w:t xml:space="preserve"> </w:t>
      </w:r>
      <w:r>
        <w:t xml:space="preserve">for details on decomposition of rates as functions of two vector-factors). Therefore:</w:t>
      </w:r>
    </w:p>
    <w:p>
      <w:pPr>
        <w:pStyle w:val="TextBody"/>
      </w:pPr>
      <m:oMathPara>
        <m:oMathParaPr>
          <m:jc m:val="center"/>
        </m:oMathParaPr>
        <m:oMath>
          <m:r>
            <m:t>Δ</m:t>
          </m:r>
          <m:r>
            <m:t>C</m:t>
          </m:r>
          <m:r>
            <m:t>F</m:t>
          </m:r>
          <m:sSub>
            <m:e>
              <m:r>
                <m:t>R</m:t>
              </m:r>
            </m:e>
            <m:sub>
              <m:r>
                <m:t>1</m:t>
              </m:r>
              <m:r>
                <m:t>,</m:t>
              </m:r>
              <m:r>
                <m:t>2</m:t>
              </m:r>
            </m:sub>
          </m:sSub>
          <m:r>
            <m:t>=</m:t>
          </m:r>
          <m:r>
            <m:t>Δ</m:t>
          </m:r>
          <m:r>
            <m:t>C</m:t>
          </m:r>
          <m:r>
            <m:t>F</m:t>
          </m:r>
          <m:sSubSup>
            <m:e>
              <m:r>
                <m:t>R</m:t>
              </m:r>
            </m:e>
            <m:sub>
              <m:r>
                <m:t>1</m:t>
              </m:r>
              <m:r>
                <m:t>,</m:t>
              </m:r>
              <m:r>
                <m:t>2</m:t>
              </m:r>
            </m:sub>
            <m:sup>
              <m:r>
                <m:rPr>
                  <m:sty m:val="p"/>
                </m:rPr>
                <m:t>effect</m:t>
              </m:r>
            </m:sup>
          </m:sSubSup>
          <m:r>
            <m:t>+</m:t>
          </m:r>
          <m:r>
            <m:t>Δ</m:t>
          </m:r>
          <m:sSubSup>
            <m:e>
              <m:r>
                <m:t>P</m:t>
              </m:r>
            </m:e>
            <m:sub>
              <m:r>
                <m:t>1</m:t>
              </m:r>
              <m:r>
                <m:t>,</m:t>
              </m:r>
              <m:r>
                <m:t>2</m:t>
              </m:r>
            </m:sub>
            <m:sup>
              <m:r>
                <m:rPr>
                  <m:sty m:val="p"/>
                </m:rPr>
                <m:t>effect</m:t>
              </m:r>
            </m:sup>
          </m:sSubSup>
        </m:oMath>
      </m:oMathPara>
    </w:p>
    <w:p>
      <w:pPr>
        <w:pStyle w:val="FirstParagraph"/>
      </w:pPr>
      <w:r>
        <w:t xml:space="preserve">Then, we can evaluate compositional differences in terms of changig union educational profiles among female cohorts and differences intrinsic to falling CFRs among each educational profile of couples.</w:t>
      </w:r>
    </w:p>
    <w:p>
      <w:pPr>
        <w:pStyle w:val="Heading1"/>
      </w:pPr>
      <w:bookmarkStart w:id="30" w:name="results"/>
      <w:r>
        <w:t xml:space="preserve">Results</w:t>
      </w:r>
      <w:bookmarkEnd w:id="30"/>
    </w:p>
    <w:p>
      <w:pPr>
        <w:pStyle w:val="Heading2"/>
      </w:pPr>
      <w:bookmarkStart w:id="31" w:name="cfr-trends-in-brazil"/>
      <w:r>
        <w:t xml:space="preserve">CFR trends in Brazil</w:t>
      </w:r>
      <w:bookmarkEnd w:id="31"/>
    </w:p>
    <w:p>
      <w:pPr>
        <w:pStyle w:val="FirstParagraph"/>
      </w:pPr>
      <w:r>
        <w:t xml:space="preserve">Figure 1 presents trends of cohort fertility rates (CFRs) for married/in-union female cohorts by educational pairing profile for Brazil and the three grouped regions. Each panel has a fix educational level for the female partner and varying educational level for the male partner illustrated by different linetypes.</w:t>
      </w:r>
    </w:p>
    <w:p>
      <w:pPr>
        <w:pStyle w:val="TextBody"/>
      </w:pPr>
      <w:r>
        <w:t xml:space="preserve">For Brazil, both male and female schooling present marked reproductive differentials for the different cohorts. For older cohorts, couples with at least one partner in the least educated category presented cohort fertility rates much higher than the others. That distance among educational categories gets shorter through female cohorts for both males and females. This converging trend is an effect of unplanned institutional changes in Brazil guided by socioeconomic and cultural changes, urbanization and difusion of Western fertility behavior among lower educated social groups</w:t>
      </w:r>
      <w:r>
        <w:t xml:space="preserve"> </w:t>
      </w:r>
      <w:r>
        <w:t xml:space="preserve">(Berquó/Cavenaghi 2014; Caldwell 2006; Faria 1989, 1997; Martine 1996)</w:t>
      </w:r>
      <w:r>
        <w:t xml:space="preserve">.</w:t>
      </w:r>
    </w:p>
    <w:p>
      <w:pPr>
        <w:pStyle w:val="TextBody"/>
      </w:pPr>
      <w:r>
        <w:t xml:space="preserve">The distances among lines in the same graph are interpreted as the influence of male schooling in the couple’s reproductive behavior. The higher level observed for older female cohorts with partners of the lowest educated category show the negative effect of low schooling of males in the past for the process of fertility transition. It is evident that increasing female education among cohorts minimizes differences of CFR among partner’s educational categories. Therefore, female education guarantees women with higher bargaing power in family size decision making</w:t>
      </w:r>
      <w:r>
        <w:t xml:space="preserve"> </w:t>
      </w:r>
      <w:r>
        <w:t xml:space="preserve">(Jejeebhoy 1995)</w:t>
      </w:r>
      <w:r>
        <w:t xml:space="preserve"> </w:t>
      </w:r>
      <w:r>
        <w:t xml:space="preserve">which results in a reproductive profile less attached to its husband educational characteristics and more related to females own socioeconomic status and perceived opportunity costs of reproduction</w:t>
      </w:r>
      <w:r>
        <w:t xml:space="preserve"> </w:t>
      </w:r>
      <w:r>
        <w:t xml:space="preserve">(Becker 1993)</w:t>
      </w:r>
      <w:r>
        <w:t xml:space="preserve">.</w:t>
      </w:r>
    </w:p>
    <w:p>
      <w:pPr>
        <w:pStyle w:val="TextBody"/>
      </w:pPr>
      <w:r>
        <w:t xml:space="preserve">Further, reduction of distances among curves through cohort evolution, verified for all levels of female education category, enphasizes the increase of female autonomy even for women of reduced schooling. Two elements must explain this reduction in differentials: 1) the lowest educational category encompasses analphabet people and people with some primary education, therefore, this shortening distances of curves are a natural movement of reduction of analphabetism among population</w:t>
      </w:r>
      <w:r>
        <w:t xml:space="preserve"> </w:t>
      </w:r>
      <w:r>
        <w:t xml:space="preserve">(Fígoli 2006)</w:t>
      </w:r>
      <w:r>
        <w:t xml:space="preserve"> </w:t>
      </w:r>
      <w:r>
        <w:t xml:space="preserve">which by itself contributes for increasing reproductive control</w:t>
      </w:r>
      <w:r>
        <w:t xml:space="preserve"> </w:t>
      </w:r>
      <w:r>
        <w:t xml:space="preserve">(Jejeebhoy 1995)</w:t>
      </w:r>
      <w:r>
        <w:t xml:space="preserve">; 2) the medicalization of female population through decades of 1970-1990</w:t>
      </w:r>
      <w:r>
        <w:t xml:space="preserve"> </w:t>
      </w:r>
      <w:r>
        <w:t xml:space="preserve">(Faria 1989, 1997; Martine 1996)</w:t>
      </w:r>
      <w:r>
        <w:t xml:space="preserve"> </w:t>
      </w:r>
      <w:r>
        <w:t xml:space="preserve">and also the influence of Brazilian soap operas</w:t>
      </w:r>
      <w:r>
        <w:t xml:space="preserve"> </w:t>
      </w:r>
      <w:r>
        <w:t xml:space="preserve">(Faria/Potter 1999; La Ferrara et al. 2012)</w:t>
      </w:r>
      <w:r>
        <w:t xml:space="preserve"> </w:t>
      </w:r>
      <w:r>
        <w:t xml:space="preserve">promoted changes in social and cultural normas and brought more access to information on reproductive control providing more reproductive autonomy even for females of vulnerable social groups.</w:t>
      </w:r>
    </w:p>
    <w:p>
      <w:pPr>
        <w:pStyle w:val="TextBody"/>
      </w:pPr>
      <w:r>
        <w:t xml:space="preserve">In regard to regional series each regional groupings presented a distinguished profile. Central-West region presented a conjugal CFR transition similar to the one observed for the country as a whole. In this region, male scholing has a stronger influence for women of lower schooling level of older cohorts. Additionally, as women of the region achieved higher schooling levels, the partner’s educational differentials got smaller and CFRs get closer to replacement fertility levels. Younger cohorts exhibit CFRs similar for all educational categories of the partner going towards replacement levels. For females that have not completed primary school, we observed a converging trend among the male partner’s educational levels, especially for cohorts born after 1940s.</w:t>
      </w:r>
    </w:p>
    <w:p>
      <w:pPr>
        <w:pStyle w:val="TextBody"/>
      </w:pPr>
      <w:r>
        <w:t xml:space="preserve">North and Northeast regions started their conjugal CFRs transitions from values above 7 children per women for lower educated groups. In these regions, male partner’s fertility differentials were abserved among all educational categories, especially for the transitions from uncompleted to completion of primary school. Further, in these areas the increase of females educational levels is accompanied by a reduction in fertility levels but does not eliminates the partner’s educational differentials. Therefore, in these regions, female reproductive autonomy seems to be lower or there are lower opportunity costs to fertility control</w:t>
      </w:r>
      <w:r>
        <w:t xml:space="preserve"> </w:t>
      </w:r>
      <w:r>
        <w:t xml:space="preserve">(Becker 1993; Jejeebhoy 1995)</w:t>
      </w:r>
      <w:r>
        <w:t xml:space="preserve"> </w:t>
      </w:r>
      <w:r>
        <w:t xml:space="preserve">and the partner’s education acts as an important driver of fertility levels through a higher involvement of educated males in family planning decisions</w:t>
      </w:r>
      <w:r>
        <w:t xml:space="preserve"> </w:t>
      </w:r>
      <w:r>
        <w:t xml:space="preserve">(Oliveira et al. 2002)</w:t>
      </w:r>
      <w:r>
        <w:t xml:space="preserve">. Furthermore, the converging trends of fertility levels of pairings with lower educated males is not observed in these areas (figure 2). A possible explanation is that these regions suffered from a slow integration to the new urban-industrial economy that is established in São Paulo due to its export-agricultural roots and ruling local elites</w:t>
      </w:r>
      <w:r>
        <w:t xml:space="preserve"> </w:t>
      </w:r>
      <w:r>
        <w:t xml:space="preserve">(Merrick/Graham 1981; Singer 1973)</w:t>
      </w:r>
      <w:r>
        <w:t xml:space="preserve">. In this sense, we observe lower formal labor market engagement of women in these areas</w:t>
      </w:r>
      <w:r>
        <w:t xml:space="preserve"> </w:t>
      </w:r>
      <w:r>
        <w:t xml:space="preserve">(Barbosa 2014; Gonçalves et al. 2004)</w:t>
      </w:r>
      <w:r>
        <w:t xml:space="preserve"> </w:t>
      </w:r>
      <w:r>
        <w:t xml:space="preserve">which result in lower social constraints to reproduction</w:t>
      </w:r>
      <w:r>
        <w:t xml:space="preserve"> </w:t>
      </w:r>
      <w:r>
        <w:t xml:space="preserve">(Patarra/Oliveira 1988)</w:t>
      </w:r>
      <w:r>
        <w:t xml:space="preserve">. We may say North and Northeast were under influence of a patriarchal family model</w:t>
      </w:r>
      <w:r>
        <w:t xml:space="preserve"> </w:t>
      </w:r>
      <w:r>
        <w:t xml:space="preserve">(Aguiar 2000)</w:t>
      </w:r>
      <w:r>
        <w:t xml:space="preserve"> </w:t>
      </w:r>
      <w:r>
        <w:t xml:space="preserve">with lower participation of women in the public sphere of society which inccurred in lower autonomy in family planning and hence in a higher fertility level</w:t>
      </w:r>
      <w:r>
        <w:t xml:space="preserve"> </w:t>
      </w:r>
      <w:r>
        <w:t xml:space="preserve">(Becker 1993; Folbre 1994)</w:t>
      </w:r>
      <w:r>
        <w:t xml:space="preserve">.</w:t>
      </w:r>
    </w:p>
    <w:p>
      <w:pPr>
        <w:pStyle w:val="TextBody"/>
      </w:pPr>
      <w:r>
        <w:t xml:space="preserve">South and Southeast areas start their conjugal cohort fertility transition from lower levels than other areas of the country - less than 6 children per women for least educated groups. Male partner differentials are small even for women with complete primary school. In this regions, the observed convergence of CFRs for pairings with male partner without primary education complete to other pairings started for female cohorts born before 1930 as can be seen by the declining curve in the first panel of figure 2. This is a result of school expansion (redection of analphabetism) and transition of economic model to the urban-industrial model, centered in São Paulo area, which demanded more educated labor force and female participation in the labor market. Also, these regions received large shares of European migration from 1850 on-wards, from areas in which fertility levels were already at lower rates [CITAR]. For women with secondary schooling or more, younger cohorts show below replacement fertility levels independently of the partner’s educational level.</w:t>
      </w:r>
    </w:p>
    <w:p>
      <w:pPr>
        <w:pStyle w:val="Heading2"/>
      </w:pPr>
      <w:bookmarkStart w:id="32" w:name="cfr-decomposition"/>
      <w:r>
        <w:t xml:space="preserve">CFR decomposition</w:t>
      </w:r>
      <w:bookmarkEnd w:id="32"/>
    </w:p>
    <w:p>
      <w:pPr>
        <w:pStyle w:val="Heading1"/>
      </w:pPr>
      <w:bookmarkStart w:id="33" w:name="conclusions"/>
      <w:r>
        <w:t xml:space="preserve">Conclusions</w:t>
      </w:r>
      <w:bookmarkEnd w:id="33"/>
    </w:p>
    <w:p>
      <w:pPr>
        <w:pStyle w:val="Heading1"/>
      </w:pPr>
      <w:bookmarkStart w:id="34" w:name="references"/>
      <w:r>
        <w:t xml:space="preserve">References</w:t>
      </w:r>
      <w:bookmarkEnd w:id="34"/>
    </w:p>
    <w:bookmarkStart w:id="152" w:name="refs"/>
    <w:bookmarkStart w:id="35" w:name="ref-aguiar2000"/>
    <w:p>
      <w:pPr>
        <w:pStyle w:val="Bibliography"/>
      </w:pPr>
      <w:r>
        <w:rPr>
          <w:i/>
        </w:rPr>
        <w:t xml:space="preserve">Aguiar, Neuma</w:t>
      </w:r>
      <w:r>
        <w:t xml:space="preserve"> </w:t>
      </w:r>
      <w:r>
        <w:t xml:space="preserve">2000: Patriarcado, sociedade e patrimonialismo. In: Sociedade E Estado 15: 303–330.</w:t>
      </w:r>
    </w:p>
    <w:bookmarkEnd w:id="35"/>
    <w:bookmarkStart w:id="36" w:name="ref-alves1994"/>
    <w:p>
      <w:pPr>
        <w:pStyle w:val="Bibliography"/>
      </w:pPr>
      <w:r>
        <w:rPr>
          <w:i/>
        </w:rPr>
        <w:t xml:space="preserve">Alves, J. E. D.</w:t>
      </w:r>
      <w:r>
        <w:t xml:space="preserve"> </w:t>
      </w:r>
      <w:r>
        <w:t xml:space="preserve">1994: Transição da fecundidade e relações de gênero no Brasil. PhD thesis. Belo Horizonte: Centro de Desenvolvimento e Planejamento Regional, Universidade Federal de Minas Gerais.</w:t>
      </w:r>
    </w:p>
    <w:bookmarkEnd w:id="36"/>
    <w:bookmarkStart w:id="37" w:name="ref-aries1978"/>
    <w:p>
      <w:pPr>
        <w:pStyle w:val="Bibliography"/>
      </w:pPr>
      <w:r>
        <w:rPr>
          <w:i/>
        </w:rPr>
        <w:t xml:space="preserve">Ariès, P.</w:t>
      </w:r>
      <w:r>
        <w:t xml:space="preserve"> </w:t>
      </w:r>
      <w:r>
        <w:t xml:space="preserve">1978: História Social Da Infância E Da Família. Rio de Janeiro: LCT.</w:t>
      </w:r>
    </w:p>
    <w:bookmarkEnd w:id="37"/>
    <w:bookmarkStart w:id="38" w:name="ref-arriagada2002"/>
    <w:p>
      <w:pPr>
        <w:pStyle w:val="Bibliography"/>
      </w:pPr>
      <w:r>
        <w:rPr>
          <w:i/>
        </w:rPr>
        <w:t xml:space="preserve">Arriagada, I.</w:t>
      </w:r>
      <w:r>
        <w:t xml:space="preserve"> </w:t>
      </w:r>
      <w:r>
        <w:t xml:space="preserve">2002: Changes and Inequality in Latin American Families. In: CEPAL Review 77: 135–153.</w:t>
      </w:r>
    </w:p>
    <w:bookmarkEnd w:id="38"/>
    <w:bookmarkStart w:id="39" w:name="ref-azevedo_ferreira2006"/>
    <w:p>
      <w:pPr>
        <w:pStyle w:val="Bibliography"/>
      </w:pPr>
      <w:r>
        <w:rPr>
          <w:i/>
        </w:rPr>
        <w:t xml:space="preserve">Azevedo, Nara; Ferreira, Luiz Otávio</w:t>
      </w:r>
      <w:r>
        <w:t xml:space="preserve"> </w:t>
      </w:r>
      <w:r>
        <w:t xml:space="preserve">2006: Modernização, políticas públicas e sistema de gênero no Brasil: educação e profissionalização feminina entre as décadas de 1920 e 1940. In: Cadernos Pagu 27: 213–254.</w:t>
      </w:r>
    </w:p>
    <w:bookmarkEnd w:id="39"/>
    <w:bookmarkStart w:id="40" w:name="ref-barbosa2014"/>
    <w:p>
      <w:pPr>
        <w:pStyle w:val="Bibliography"/>
      </w:pPr>
      <w:r>
        <w:rPr>
          <w:i/>
        </w:rPr>
        <w:t xml:space="preserve">Barbosa, Ana Luiza Neves Holanda</w:t>
      </w:r>
      <w:r>
        <w:t xml:space="preserve"> </w:t>
      </w:r>
      <w:r>
        <w:t xml:space="preserve">2014: Participação Feminina no Mercado de Trabalho Brasileiro. Mercado de Trabalho 57. IPEA, Instituto de Pesquisa Econômica Aplicada.</w:t>
      </w:r>
    </w:p>
    <w:bookmarkEnd w:id="40"/>
    <w:bookmarkStart w:id="41" w:name="ref-becker1993"/>
    <w:p>
      <w:pPr>
        <w:pStyle w:val="Bibliography"/>
      </w:pPr>
      <w:r>
        <w:rPr>
          <w:i/>
        </w:rPr>
        <w:t xml:space="preserve">Becker, Gary</w:t>
      </w:r>
      <w:r>
        <w:t xml:space="preserve"> </w:t>
      </w:r>
      <w:r>
        <w:t xml:space="preserve">1993: A treatise on the family. Cambridge, Massachusetts: Harvard University Press.</w:t>
      </w:r>
    </w:p>
    <w:bookmarkEnd w:id="41"/>
    <w:bookmarkStart w:id="42" w:name="ref-beltrao_alves2009"/>
    <w:p>
      <w:pPr>
        <w:pStyle w:val="Bibliography"/>
      </w:pPr>
      <w:r>
        <w:rPr>
          <w:i/>
        </w:rPr>
        <w:t xml:space="preserve">Beltrão, Kaizô Iwakami; Alves, José Eustáquio Diniz</w:t>
      </w:r>
      <w:r>
        <w:t xml:space="preserve"> </w:t>
      </w:r>
      <w:r>
        <w:t xml:space="preserve">2009: A reversão do hiato de gênero na educação Brasileira no século XX. In: Cadernos de Pesquisa 39,136: 125–156.</w:t>
      </w:r>
    </w:p>
    <w:bookmarkEnd w:id="42"/>
    <w:bookmarkStart w:id="43" w:name="ref-berquo_cavenaghi2014"/>
    <w:p>
      <w:pPr>
        <w:pStyle w:val="Bibliography"/>
      </w:pPr>
      <w:r>
        <w:rPr>
          <w:i/>
        </w:rPr>
        <w:t xml:space="preserve">Berquó, E.; Cavenaghi, S. M.</w:t>
      </w:r>
      <w:r>
        <w:t xml:space="preserve"> </w:t>
      </w:r>
      <w:r>
        <w:t xml:space="preserve">2014: Notas sobre os diferenciais educacionais e econômicos da fecundidade no Brasil. In: Revista Brasileira de Estudos de População 31,2: 471–482.</w:t>
      </w:r>
    </w:p>
    <w:bookmarkEnd w:id="43"/>
    <w:bookmarkStart w:id="44" w:name="ref-berquo1998"/>
    <w:p>
      <w:pPr>
        <w:pStyle w:val="Bibliography"/>
      </w:pPr>
      <w:r>
        <w:rPr>
          <w:i/>
        </w:rPr>
        <w:t xml:space="preserve">Berquó, Elza</w:t>
      </w:r>
      <w:r>
        <w:t xml:space="preserve"> </w:t>
      </w:r>
      <w:r>
        <w:t xml:space="preserve">1998: Arranjos familiares no Brasil: uma visão demográfica. In:</w:t>
      </w:r>
      <w:r>
        <w:t xml:space="preserve"> </w:t>
      </w:r>
      <w:r>
        <w:rPr>
          <w:i/>
        </w:rPr>
        <w:t xml:space="preserve">Novais, Fernando A.</w:t>
      </w:r>
      <w:r>
        <w:t xml:space="preserve"> </w:t>
      </w:r>
      <w:r>
        <w:t xml:space="preserve">(Ed.): História Da Vida Privada No Brasil, 4: Contrastes Da Intimidade Contemporânea. São Paulo: Companhia das Letras: 411–438.</w:t>
      </w:r>
    </w:p>
    <w:bookmarkEnd w:id="44"/>
    <w:bookmarkStart w:id="45" w:name="ref-besse1999"/>
    <w:p>
      <w:pPr>
        <w:pStyle w:val="Bibliography"/>
      </w:pPr>
      <w:r>
        <w:rPr>
          <w:i/>
        </w:rPr>
        <w:t xml:space="preserve">Besse, Susan K.</w:t>
      </w:r>
      <w:r>
        <w:t xml:space="preserve"> </w:t>
      </w:r>
      <w:r>
        <w:t xml:space="preserve">1999: Modernizando a desigualdade: reestruturação da ideologia de gênero no Brasil, 1914-1940. São Paulo: Edusp.</w:t>
      </w:r>
    </w:p>
    <w:bookmarkEnd w:id="45"/>
    <w:bookmarkStart w:id="46" w:name="ref-blau_schwartz1997"/>
    <w:p>
      <w:pPr>
        <w:pStyle w:val="Bibliography"/>
      </w:pPr>
      <w:r>
        <w:rPr>
          <w:i/>
        </w:rPr>
        <w:t xml:space="preserve">Blau, Peter M.; Schwartz, Joseph E.</w:t>
      </w:r>
      <w:r>
        <w:t xml:space="preserve"> </w:t>
      </w:r>
      <w:r>
        <w:t xml:space="preserve">1997: Crosscutting Social Circles. New York: Routledge.</w:t>
      </w:r>
    </w:p>
    <w:bookmarkEnd w:id="46"/>
    <w:bookmarkStart w:id="47" w:name="ref-bongaarts2003"/>
    <w:p>
      <w:pPr>
        <w:pStyle w:val="Bibliography"/>
      </w:pPr>
      <w:r>
        <w:rPr>
          <w:i/>
        </w:rPr>
        <w:t xml:space="preserve">Bongaarts, John</w:t>
      </w:r>
      <w:r>
        <w:t xml:space="preserve"> </w:t>
      </w:r>
      <w:r>
        <w:t xml:space="preserve">2003: Completing the Fertility Transition in the Developing World: The Role of Educational Differences and Fertility Preferences. In: Population Studies 57,3: 321–335.</w:t>
      </w:r>
    </w:p>
    <w:bookmarkEnd w:id="47"/>
    <w:bookmarkStart w:id="48" w:name="ref-bongaarts_feeney1998"/>
    <w:p>
      <w:pPr>
        <w:pStyle w:val="Bibliography"/>
      </w:pPr>
      <w:r>
        <w:rPr>
          <w:i/>
        </w:rPr>
        <w:t xml:space="preserve">Bongaarts, John; Feeney, Griffith</w:t>
      </w:r>
      <w:r>
        <w:t xml:space="preserve"> </w:t>
      </w:r>
      <w:r>
        <w:t xml:space="preserve">1998: On the Quantum and Tempo of Fertility. In: Population and Development Review 24,2: 271–291.</w:t>
      </w:r>
    </w:p>
    <w:bookmarkEnd w:id="48"/>
    <w:bookmarkStart w:id="49" w:name="ref-bongaarts_sobotka2012"/>
    <w:p>
      <w:pPr>
        <w:pStyle w:val="Bibliography"/>
      </w:pPr>
      <w:r>
        <w:rPr>
          <w:i/>
        </w:rPr>
        <w:t xml:space="preserve">Bongaarts, John; Sobotka, Tomáš</w:t>
      </w:r>
      <w:r>
        <w:t xml:space="preserve"> </w:t>
      </w:r>
      <w:r>
        <w:t xml:space="preserve">2012: A Demographic Explanation for the Recent Rise in European Fertility. In: Population and Development Review 38,1: 83–120.</w:t>
      </w:r>
    </w:p>
    <w:bookmarkEnd w:id="49"/>
    <w:bookmarkStart w:id="50" w:name="ref-brass_etal1968"/>
    <w:p>
      <w:pPr>
        <w:pStyle w:val="Bibliography"/>
      </w:pPr>
      <w:r>
        <w:rPr>
          <w:i/>
        </w:rPr>
        <w:t xml:space="preserve">Brass, William et al.</w:t>
      </w:r>
      <w:r>
        <w:t xml:space="preserve"> </w:t>
      </w:r>
      <w:r>
        <w:t xml:space="preserve">1968: Demography of Tropical Africa. Princeton University Press.</w:t>
      </w:r>
    </w:p>
    <w:bookmarkEnd w:id="50"/>
    <w:bookmarkStart w:id="51" w:name="ref-caldwell2006"/>
    <w:p>
      <w:pPr>
        <w:pStyle w:val="Bibliography"/>
      </w:pPr>
      <w:r>
        <w:rPr>
          <w:i/>
        </w:rPr>
        <w:t xml:space="preserve">Caldwell, J. C.</w:t>
      </w:r>
      <w:r>
        <w:t xml:space="preserve"> </w:t>
      </w:r>
      <w:r>
        <w:t xml:space="preserve">2006: The Globalization of Fertility Behaviour. In:</w:t>
      </w:r>
      <w:r>
        <w:t xml:space="preserve"> </w:t>
      </w:r>
      <w:r>
        <w:rPr>
          <w:i/>
        </w:rPr>
        <w:t xml:space="preserve">Caldwell, J. C.</w:t>
      </w:r>
      <w:r>
        <w:t xml:space="preserve"> </w:t>
      </w:r>
      <w:r>
        <w:t xml:space="preserve">(Ed.): Demographic Transition Theory. Dordrecht, The Netherlands: Springer: 249–271.</w:t>
      </w:r>
    </w:p>
    <w:bookmarkEnd w:id="51"/>
    <w:bookmarkStart w:id="52" w:name="ref-caldwell1980"/>
    <w:p>
      <w:pPr>
        <w:pStyle w:val="Bibliography"/>
      </w:pPr>
      <w:r>
        <w:rPr>
          <w:i/>
        </w:rPr>
        <w:t xml:space="preserve">Caldwell, J. C.</w:t>
      </w:r>
      <w:r>
        <w:t xml:space="preserve"> </w:t>
      </w:r>
      <w:r>
        <w:t xml:space="preserve">1980: Mass Education as a Determinant of the Timing of Fertility Decline. In: Population and Development Review 2,6: 225–255.</w:t>
      </w:r>
    </w:p>
    <w:bookmarkEnd w:id="52"/>
    <w:bookmarkStart w:id="53" w:name="ref-carvalho_wong1992"/>
    <w:p>
      <w:pPr>
        <w:pStyle w:val="Bibliography"/>
      </w:pPr>
      <w:r>
        <w:rPr>
          <w:i/>
        </w:rPr>
        <w:t xml:space="preserve">Carvalho, J. A. M.; Wong, L. R.</w:t>
      </w:r>
      <w:r>
        <w:t xml:space="preserve"> </w:t>
      </w:r>
      <w:r>
        <w:t xml:space="preserve">1992: La transición de la fecundidad en Brasil: causas y consecuencias. In: Notas de Población.</w:t>
      </w:r>
    </w:p>
    <w:bookmarkEnd w:id="53"/>
    <w:bookmarkStart w:id="54" w:name="ref-castanheira_kohler2015"/>
    <w:p>
      <w:pPr>
        <w:pStyle w:val="Bibliography"/>
      </w:pPr>
      <w:r>
        <w:rPr>
          <w:i/>
        </w:rPr>
        <w:t xml:space="preserve">Castanheira, H. C.; Kohler, H. P.</w:t>
      </w:r>
      <w:r>
        <w:t xml:space="preserve"> </w:t>
      </w:r>
      <w:r>
        <w:t xml:space="preserve">2015: It is Lower Than You Think it is: Recent Total Fertility Rates in Brazil and Possibly Other Latin American Countries. In: PSC Working PaperSeries 63.</w:t>
      </w:r>
    </w:p>
    <w:bookmarkEnd w:id="54"/>
    <w:bookmarkStart w:id="55" w:name="ref-castanheira_kohler2017"/>
    <w:p>
      <w:pPr>
        <w:pStyle w:val="Bibliography"/>
      </w:pPr>
      <w:r>
        <w:rPr>
          <w:i/>
        </w:rPr>
        <w:t xml:space="preserve">Castanheira, Helena Cruz; Kohler, Hans-Peter</w:t>
      </w:r>
      <w:r>
        <w:t xml:space="preserve"> </w:t>
      </w:r>
      <w:r>
        <w:t xml:space="preserve">2017: Social Determinants of Low Fertility in Brazil. In: Journal of Biosocial Science 49,S1: S131–S155.</w:t>
      </w:r>
    </w:p>
    <w:bookmarkEnd w:id="55"/>
    <w:bookmarkStart w:id="56" w:name="ref-castro1998"/>
    <w:p>
      <w:pPr>
        <w:pStyle w:val="Bibliography"/>
      </w:pPr>
      <w:r>
        <w:rPr>
          <w:i/>
        </w:rPr>
        <w:t xml:space="preserve">Castro, Maria Helena Guimarães</w:t>
      </w:r>
      <w:r>
        <w:t xml:space="preserve"> </w:t>
      </w:r>
      <w:r>
        <w:t xml:space="preserve">1998: Avaliação do sistema educacional Brasileiro: tendências e perspectivas. Textos Para Discussão CEDEPLAR-UFMG. Instituto Nacional de Estudos e Pesquisas Educacionais (INEP).</w:t>
      </w:r>
    </w:p>
    <w:bookmarkEnd w:id="56"/>
    <w:bookmarkStart w:id="57" w:name="ref-martin_juarez1995"/>
    <w:p>
      <w:pPr>
        <w:pStyle w:val="Bibliography"/>
      </w:pPr>
      <w:r>
        <w:rPr>
          <w:i/>
        </w:rPr>
        <w:t xml:space="preserve">Castro-Martin, Teresa; Juarez, Fatima</w:t>
      </w:r>
      <w:r>
        <w:t xml:space="preserve"> </w:t>
      </w:r>
      <w:r>
        <w:t xml:space="preserve">1995: The Impact of Women’s Education on Fertility in Latin America: Searching for Explanations. In: International Family Planning Perspectives 2,21: 52–57.</w:t>
      </w:r>
    </w:p>
    <w:bookmarkEnd w:id="57"/>
    <w:bookmarkStart w:id="58" w:name="ref-chackiel_schkolnik2003"/>
    <w:p>
      <w:pPr>
        <w:pStyle w:val="Bibliography"/>
      </w:pPr>
      <w:r>
        <w:rPr>
          <w:i/>
        </w:rPr>
        <w:t xml:space="preserve">Chackiel, J.; Schkolnik, S.</w:t>
      </w:r>
      <w:r>
        <w:t xml:space="preserve"> </w:t>
      </w:r>
      <w:r>
        <w:t xml:space="preserve">2003: América Latina: los sectores rezagados en la transición de la fecundidad. In:</w:t>
      </w:r>
      <w:r>
        <w:t xml:space="preserve"> </w:t>
      </w:r>
      <w:r>
        <w:rPr>
          <w:i/>
        </w:rPr>
        <w:t xml:space="preserve">Unidas, Naciones</w:t>
      </w:r>
      <w:r>
        <w:t xml:space="preserve"> </w:t>
      </w:r>
      <w:r>
        <w:t xml:space="preserve">(Ed.): La fecundidad en América Latina: ¿Transición o revolución? Serie Seminarios y Conferencias. Santiago, Chile: 51–74.</w:t>
      </w:r>
    </w:p>
    <w:bookmarkEnd w:id="58"/>
    <w:bookmarkStart w:id="59" w:name="ref-cleland_wilson1987"/>
    <w:p>
      <w:pPr>
        <w:pStyle w:val="Bibliography"/>
      </w:pPr>
      <w:r>
        <w:rPr>
          <w:i/>
        </w:rPr>
        <w:t xml:space="preserve">Cleland, John; Wilson, Christopher</w:t>
      </w:r>
      <w:r>
        <w:t xml:space="preserve"> </w:t>
      </w:r>
      <w:r>
        <w:t xml:space="preserve">1987: Demand Theories of the Fertility Transition: An Iconoclastic View. In: Population Studies 41,1: 5–30.</w:t>
      </w:r>
    </w:p>
    <w:bookmarkEnd w:id="59"/>
    <w:bookmarkStart w:id="61" w:name="ref-dasgupta1993"/>
    <w:p>
      <w:pPr>
        <w:pStyle w:val="Bibliography"/>
      </w:pPr>
      <w:r>
        <w:rPr>
          <w:i/>
        </w:rPr>
        <w:t xml:space="preserve">Das Gupta, Prithwis</w:t>
      </w:r>
      <w:r>
        <w:t xml:space="preserve"> </w:t>
      </w:r>
      <w:r>
        <w:t xml:space="preserve">1993: Standardization and Decomposition of Rates: A User’s Manual. P23-186. United States Census Bureau. [</w:t>
      </w:r>
      <w:hyperlink r:id="rId60">
        <w:r>
          <w:rPr>
            <w:rStyle w:val="Hyperlink"/>
          </w:rPr>
          <w:t xml:space="preserve">https://www.census.gov/library/publications/1993/demo/p23-186.html</w:t>
        </w:r>
      </w:hyperlink>
      <w:r>
        <w:t xml:space="preserve">].</w:t>
      </w:r>
    </w:p>
    <w:bookmarkEnd w:id="61"/>
    <w:bookmarkStart w:id="62" w:name="ref-eckland1968"/>
    <w:p>
      <w:pPr>
        <w:pStyle w:val="Bibliography"/>
      </w:pPr>
      <w:r>
        <w:rPr>
          <w:i/>
        </w:rPr>
        <w:t xml:space="preserve">Eckland, Bruce K.</w:t>
      </w:r>
      <w:r>
        <w:t xml:space="preserve"> </w:t>
      </w:r>
      <w:r>
        <w:t xml:space="preserve">1968: Theories of mate selection. In: Eugenics Quarterly 15,2: 71–84.</w:t>
      </w:r>
    </w:p>
    <w:bookmarkEnd w:id="62"/>
    <w:bookmarkStart w:id="63" w:name="ref-england2010"/>
    <w:p>
      <w:pPr>
        <w:pStyle w:val="Bibliography"/>
      </w:pPr>
      <w:r>
        <w:rPr>
          <w:i/>
        </w:rPr>
        <w:t xml:space="preserve">England, Paula</w:t>
      </w:r>
      <w:r>
        <w:t xml:space="preserve"> </w:t>
      </w:r>
      <w:r>
        <w:t xml:space="preserve">2010: The Gender Revolution: Uneven and Stalled. In: Gender and Society 24,2: 149–166.</w:t>
      </w:r>
    </w:p>
    <w:bookmarkEnd w:id="63"/>
    <w:bookmarkStart w:id="64" w:name="ref-esping-andersen2009"/>
    <w:p>
      <w:pPr>
        <w:pStyle w:val="Bibliography"/>
      </w:pPr>
      <w:r>
        <w:rPr>
          <w:i/>
        </w:rPr>
        <w:t xml:space="preserve">Esping-Andersen, G.</w:t>
      </w:r>
      <w:r>
        <w:t xml:space="preserve"> </w:t>
      </w:r>
      <w:r>
        <w:t xml:space="preserve">2009: Incomplete Revolution: Adapting Welfare States to Women’s New Roles. Cambridge: Polity Press.</w:t>
      </w:r>
    </w:p>
    <w:bookmarkEnd w:id="64"/>
    <w:bookmarkStart w:id="65" w:name="ref-esteve_etal2012_1"/>
    <w:p>
      <w:pPr>
        <w:pStyle w:val="Bibliography"/>
      </w:pPr>
      <w:r>
        <w:rPr>
          <w:i/>
        </w:rPr>
        <w:t xml:space="preserve">Esteve, A.; Garcia-Román, J.; Permanyer, I.</w:t>
      </w:r>
      <w:r>
        <w:t xml:space="preserve"> </w:t>
      </w:r>
      <w:r>
        <w:t xml:space="preserve">2012: The gender-gap reversal in education and its effect on union formation: The end of hypergamy? In: Population and Development Review 3,38: 535–546.</w:t>
      </w:r>
    </w:p>
    <w:bookmarkEnd w:id="65"/>
    <w:bookmarkStart w:id="66" w:name="ref-esteve_mcaa2007"/>
    <w:p>
      <w:pPr>
        <w:pStyle w:val="Bibliography"/>
      </w:pPr>
      <w:r>
        <w:rPr>
          <w:i/>
        </w:rPr>
        <w:t xml:space="preserve">Esteve, Albert; McCaa, Robert</w:t>
      </w:r>
      <w:r>
        <w:t xml:space="preserve"> </w:t>
      </w:r>
      <w:r>
        <w:t xml:space="preserve">2007: Homogamia educacional en México y Brasil, 1970-2000: Pautas y tendencias. In: Latin American Research Review 42,2: 56–85.</w:t>
      </w:r>
    </w:p>
    <w:bookmarkEnd w:id="66"/>
    <w:bookmarkStart w:id="67" w:name="ref-esteve_etal2016"/>
    <w:p>
      <w:pPr>
        <w:pStyle w:val="Bibliography"/>
      </w:pPr>
      <w:r>
        <w:rPr>
          <w:i/>
        </w:rPr>
        <w:t xml:space="preserve">Esteve, Albert et al.</w:t>
      </w:r>
      <w:r>
        <w:t xml:space="preserve"> </w:t>
      </w:r>
      <w:r>
        <w:t xml:space="preserve">2016: The End of Hypergamy: Global Trends and Implications. In: Population and Development Review 42,4: 615–625.</w:t>
      </w:r>
    </w:p>
    <w:bookmarkEnd w:id="67"/>
    <w:bookmarkStart w:id="68" w:name="ref-esteve_sobek2003"/>
    <w:p>
      <w:pPr>
        <w:pStyle w:val="Bibliography"/>
      </w:pPr>
      <w:r>
        <w:rPr>
          <w:i/>
        </w:rPr>
        <w:t xml:space="preserve">Esteve, Albert; Sobek, Matthew</w:t>
      </w:r>
      <w:r>
        <w:t xml:space="preserve"> </w:t>
      </w:r>
      <w:r>
        <w:t xml:space="preserve">2003: Challenges and Methods of International Census Harmonization. In: Historical Methods: A Journal of Quantitative and Interdisciplinary History 36,2: 66–79.</w:t>
      </w:r>
    </w:p>
    <w:bookmarkEnd w:id="68"/>
    <w:bookmarkStart w:id="69" w:name="ref-esteve_etal2012_2"/>
    <w:p>
      <w:pPr>
        <w:pStyle w:val="Bibliography"/>
      </w:pPr>
      <w:r>
        <w:rPr>
          <w:i/>
        </w:rPr>
        <w:t xml:space="preserve">Esteve, A.; Lesthaeghe, R.; López-Gay, A.</w:t>
      </w:r>
      <w:r>
        <w:t xml:space="preserve"> </w:t>
      </w:r>
      <w:r>
        <w:t xml:space="preserve">2012: The Latin American cohabitation boom, 1970–2007. In: Population and Development Review 38,1: 55–81.</w:t>
      </w:r>
    </w:p>
    <w:bookmarkEnd w:id="69"/>
    <w:bookmarkStart w:id="70" w:name="ref-faria1989"/>
    <w:p>
      <w:pPr>
        <w:pStyle w:val="Bibliography"/>
      </w:pPr>
      <w:r>
        <w:rPr>
          <w:i/>
        </w:rPr>
        <w:t xml:space="preserve">Faria, V. E.</w:t>
      </w:r>
      <w:r>
        <w:t xml:space="preserve"> </w:t>
      </w:r>
      <w:r>
        <w:t xml:space="preserve">1989: Políticas de governo e regulação da fecundidade: Consequências não antecipadas e efeitos perversos. In: Ciências Sociais Hoje 5: 62–103.</w:t>
      </w:r>
    </w:p>
    <w:bookmarkEnd w:id="70"/>
    <w:bookmarkStart w:id="71" w:name="ref-faria1997"/>
    <w:p>
      <w:pPr>
        <w:pStyle w:val="Bibliography"/>
      </w:pPr>
      <w:r>
        <w:rPr>
          <w:i/>
        </w:rPr>
        <w:t xml:space="preserve">Faria, Vilmar E.</w:t>
      </w:r>
      <w:r>
        <w:t xml:space="preserve"> </w:t>
      </w:r>
      <w:r>
        <w:t xml:space="preserve">1997: Government policy and fertility regulation: unintended consequences and perverse effects. In: Revista Brasileira de Estudos de População 1: 179–205.</w:t>
      </w:r>
    </w:p>
    <w:bookmarkEnd w:id="71"/>
    <w:bookmarkStart w:id="72" w:name="ref-faria_potter1999"/>
    <w:p>
      <w:pPr>
        <w:pStyle w:val="Bibliography"/>
      </w:pPr>
      <w:r>
        <w:rPr>
          <w:i/>
        </w:rPr>
        <w:t xml:space="preserve">Faria, Vilmar E.; Potter, J. E.</w:t>
      </w:r>
      <w:r>
        <w:t xml:space="preserve"> </w:t>
      </w:r>
      <w:r>
        <w:t xml:space="preserve">1999: Television, Telenovelas, and Fertility change in North-East Brazil. In:</w:t>
      </w:r>
      <w:r>
        <w:t xml:space="preserve"> </w:t>
      </w:r>
      <w:r>
        <w:rPr>
          <w:i/>
        </w:rPr>
        <w:t xml:space="preserve">Leete, Richard</w:t>
      </w:r>
      <w:r>
        <w:t xml:space="preserve"> </w:t>
      </w:r>
      <w:r>
        <w:t xml:space="preserve">(Ed.): Dynamics of Values in Fertility Change. Oxford: Oxford University Press.</w:t>
      </w:r>
    </w:p>
    <w:bookmarkEnd w:id="72"/>
    <w:bookmarkStart w:id="73" w:name="ref-figoli2006"/>
    <w:p>
      <w:pPr>
        <w:pStyle w:val="Bibliography"/>
      </w:pPr>
      <w:r>
        <w:rPr>
          <w:i/>
        </w:rPr>
        <w:t xml:space="preserve">Fígoli, Moema Gonçalves Bueno</w:t>
      </w:r>
      <w:r>
        <w:t xml:space="preserve"> </w:t>
      </w:r>
      <w:r>
        <w:t xml:space="preserve">2006: Evolução da educação no Brasil: uma análise das taxas entre 1970 e 2000 segundo o grau da última série concluída. In: Revista Brasileira de Estudos de População 23,1: 129–150.</w:t>
      </w:r>
    </w:p>
    <w:bookmarkEnd w:id="73"/>
    <w:bookmarkStart w:id="74" w:name="ref-folbre1994"/>
    <w:p>
      <w:pPr>
        <w:pStyle w:val="Bibliography"/>
      </w:pPr>
      <w:r>
        <w:rPr>
          <w:i/>
        </w:rPr>
        <w:t xml:space="preserve">Folbre, N.</w:t>
      </w:r>
      <w:r>
        <w:t xml:space="preserve"> </w:t>
      </w:r>
      <w:r>
        <w:t xml:space="preserve">1994: Who Pays for the Kids? Gender and the Structures of Constraint. New York: Routledge.</w:t>
      </w:r>
    </w:p>
    <w:bookmarkEnd w:id="74"/>
    <w:bookmarkStart w:id="75" w:name="ref-folbre1983"/>
    <w:p>
      <w:pPr>
        <w:pStyle w:val="Bibliography"/>
      </w:pPr>
      <w:r>
        <w:rPr>
          <w:i/>
        </w:rPr>
        <w:t xml:space="preserve">Folbre, Nancy</w:t>
      </w:r>
      <w:r>
        <w:t xml:space="preserve"> </w:t>
      </w:r>
      <w:r>
        <w:t xml:space="preserve">1983: Of Patriarchy Born: The Political Economy of Fertility Decisions. In: Feminist Studies 9,2: 261–284. Feminist Studies, Inc.</w:t>
      </w:r>
    </w:p>
    <w:bookmarkEnd w:id="75"/>
    <w:bookmarkStart w:id="76" w:name="ref-godinho_etal2006"/>
    <w:p>
      <w:pPr>
        <w:pStyle w:val="Bibliography"/>
      </w:pPr>
      <w:r>
        <w:rPr>
          <w:i/>
        </w:rPr>
        <w:t xml:space="preserve">Godinho, Tatau et al.</w:t>
      </w:r>
      <w:r>
        <w:t xml:space="preserve"> </w:t>
      </w:r>
      <w:r>
        <w:t xml:space="preserve">2006: Trajetória da Mulher na Educação Brasileira, 1996-2003. Brasília: Inep/MEC – Instituto Nacional de Estudos e Pesquisas Educacionais Anísio Teixeira.</w:t>
      </w:r>
    </w:p>
    <w:bookmarkEnd w:id="76"/>
    <w:bookmarkStart w:id="77" w:name="ref-goldin2006"/>
    <w:p>
      <w:pPr>
        <w:pStyle w:val="Bibliography"/>
      </w:pPr>
      <w:r>
        <w:rPr>
          <w:i/>
        </w:rPr>
        <w:t xml:space="preserve">Goldin, Claudia</w:t>
      </w:r>
      <w:r>
        <w:t xml:space="preserve"> </w:t>
      </w:r>
      <w:r>
        <w:t xml:space="preserve">2006: The Quiet Revolution That Transformed Women’s Employment, Education, and Family. In: American Economic Review 96,2: 1–21.</w:t>
      </w:r>
    </w:p>
    <w:bookmarkEnd w:id="77"/>
    <w:bookmarkStart w:id="78" w:name="ref-goldin_katz2002"/>
    <w:p>
      <w:pPr>
        <w:pStyle w:val="Bibliography"/>
      </w:pPr>
      <w:r>
        <w:rPr>
          <w:i/>
        </w:rPr>
        <w:t xml:space="preserve">Goldin, Claudia; Katz, Lawrence F.</w:t>
      </w:r>
      <w:r>
        <w:t xml:space="preserve"> </w:t>
      </w:r>
      <w:r>
        <w:t xml:space="preserve">2002: The power of the pill: Oral contraceptives and women’s career and marriage decisions. In: Journal of Political Economy 110,4: 730–770.</w:t>
      </w:r>
    </w:p>
    <w:bookmarkEnd w:id="78"/>
    <w:bookmarkStart w:id="79" w:name="ref-goldscheider_etal2015"/>
    <w:p>
      <w:pPr>
        <w:pStyle w:val="Bibliography"/>
      </w:pPr>
      <w:r>
        <w:rPr>
          <w:i/>
        </w:rPr>
        <w:t xml:space="preserve">Goldscheider, Frances; Bernhardt, Eva; Lappegård, Trude</w:t>
      </w:r>
      <w:r>
        <w:t xml:space="preserve"> </w:t>
      </w:r>
      <w:r>
        <w:t xml:space="preserve">2015: The Gender Revolution: A Framework for Understanding Changing Family and Demographic Behavior. In: Population and Development Review 41,2: 207–239.</w:t>
      </w:r>
    </w:p>
    <w:bookmarkEnd w:id="79"/>
    <w:bookmarkStart w:id="80" w:name="ref-goldscheider_kaufman1996"/>
    <w:p>
      <w:pPr>
        <w:pStyle w:val="Bibliography"/>
      </w:pPr>
      <w:r>
        <w:rPr>
          <w:i/>
        </w:rPr>
        <w:t xml:space="preserve">Goldscheider, Frances K.; Kaufman, Gayle</w:t>
      </w:r>
      <w:r>
        <w:t xml:space="preserve"> </w:t>
      </w:r>
      <w:r>
        <w:t xml:space="preserve">1996: Fertility and Commitment: Bringing Men Back In. In: Population and Development Review 22: 87–99.</w:t>
      </w:r>
    </w:p>
    <w:bookmarkEnd w:id="80"/>
    <w:bookmarkStart w:id="81" w:name="ref-goncalves_etal2004"/>
    <w:p>
      <w:pPr>
        <w:pStyle w:val="Bibliography"/>
      </w:pPr>
      <w:r>
        <w:rPr>
          <w:i/>
        </w:rPr>
        <w:t xml:space="preserve">Gonçalves, M.; Perez, E.; Wajnman, S.</w:t>
      </w:r>
      <w:r>
        <w:t xml:space="preserve"> </w:t>
      </w:r>
      <w:r>
        <w:t xml:space="preserve">2004: Taxas de participação (formal e informal) feminina no mercado de trabalho das regiões Sudeste e Nordeste: uma análise a partir das PNADs 1992-2002. Caxambu.</w:t>
      </w:r>
    </w:p>
    <w:bookmarkEnd w:id="81"/>
    <w:bookmarkStart w:id="82" w:name="ref-guedes2015"/>
    <w:p>
      <w:pPr>
        <w:pStyle w:val="Bibliography"/>
      </w:pPr>
      <w:r>
        <w:rPr>
          <w:i/>
        </w:rPr>
        <w:t xml:space="preserve">Guedes, Moema Castro</w:t>
      </w:r>
      <w:r>
        <w:t xml:space="preserve"> </w:t>
      </w:r>
      <w:r>
        <w:t xml:space="preserve">2015: Heterogeneização da mão-de-obra feminina: o que mudou no período recente? In: Gênero 15,2: 139–154.</w:t>
      </w:r>
    </w:p>
    <w:bookmarkEnd w:id="82"/>
    <w:bookmarkStart w:id="83" w:name="ref-guzman1991"/>
    <w:p>
      <w:pPr>
        <w:pStyle w:val="Bibliography"/>
      </w:pPr>
      <w:r>
        <w:rPr>
          <w:i/>
        </w:rPr>
        <w:t xml:space="preserve">Guzmán, J. M.</w:t>
      </w:r>
      <w:r>
        <w:t xml:space="preserve"> </w:t>
      </w:r>
      <w:r>
        <w:t xml:space="preserve">1991: The onset of fertility decline in Latin America. Harare, Zimbabwe.</w:t>
      </w:r>
    </w:p>
    <w:bookmarkEnd w:id="83"/>
    <w:bookmarkStart w:id="84" w:name="ref-guzman_rodriguez1993"/>
    <w:p>
      <w:pPr>
        <w:pStyle w:val="Bibliography"/>
      </w:pPr>
      <w:r>
        <w:rPr>
          <w:i/>
        </w:rPr>
        <w:t xml:space="preserve">Guzmán, J. M.; Rodríguez, J.</w:t>
      </w:r>
      <w:r>
        <w:t xml:space="preserve"> </w:t>
      </w:r>
      <w:r>
        <w:t xml:space="preserve">1993: La Fecundidad Pre-Transicional en América Latina: Un Capítulo Olvidado. In: Notas de Población 57: 217–235.</w:t>
      </w:r>
    </w:p>
    <w:bookmarkEnd w:id="84"/>
    <w:bookmarkStart w:id="85" w:name="ref-itaborai2016"/>
    <w:p>
      <w:pPr>
        <w:pStyle w:val="Bibliography"/>
      </w:pPr>
      <w:r>
        <w:rPr>
          <w:i/>
        </w:rPr>
        <w:t xml:space="preserve">Itaboraí, Nathalie Reis</w:t>
      </w:r>
      <w:r>
        <w:t xml:space="preserve"> </w:t>
      </w:r>
      <w:r>
        <w:t xml:space="preserve">2016: Temporalidades plurais: desigualdades de gênero e classe nos usos do tempo das famílias Brasileiras. In:</w:t>
      </w:r>
      <w:r>
        <w:t xml:space="preserve"> </w:t>
      </w:r>
      <w:r>
        <w:rPr>
          <w:i/>
        </w:rPr>
        <w:t xml:space="preserve">Fontoura, Natália</w:t>
      </w:r>
      <w:r>
        <w:t xml:space="preserve">;</w:t>
      </w:r>
      <w:r>
        <w:t xml:space="preserve"> </w:t>
      </w:r>
      <w:r>
        <w:rPr>
          <w:i/>
        </w:rPr>
        <w:t xml:space="preserve">Araújo, Clara</w:t>
      </w:r>
      <w:r>
        <w:t xml:space="preserve"> </w:t>
      </w:r>
      <w:r>
        <w:t xml:space="preserve">(Eds.): Uso Do Tempo E Gênero. Rio de Janeiro: UERJ, Universidade do Estado do Rio de Janeiro: 101–138.</w:t>
      </w:r>
    </w:p>
    <w:bookmarkEnd w:id="85"/>
    <w:bookmarkStart w:id="86" w:name="ref-itaborai2015"/>
    <w:p>
      <w:pPr>
        <w:pStyle w:val="Bibliography"/>
      </w:pPr>
      <w:r>
        <w:rPr>
          <w:i/>
        </w:rPr>
        <w:t xml:space="preserve">Itaboraí, Nathalie Reis</w:t>
      </w:r>
      <w:r>
        <w:t xml:space="preserve"> </w:t>
      </w:r>
      <w:r>
        <w:t xml:space="preserve">2015: Mudanças nas famílias Brasileiras (1976-2012): uma perspectiva de classe e gênero. PhD thesis. Rio de Janeiro: Instituto de Estudos Sociais e Políticos, Universidade do Estado do Rio de Janeiro.</w:t>
      </w:r>
    </w:p>
    <w:bookmarkEnd w:id="86"/>
    <w:bookmarkStart w:id="87" w:name="ref-jejeebhoy1995"/>
    <w:p>
      <w:pPr>
        <w:pStyle w:val="Bibliography"/>
      </w:pPr>
      <w:r>
        <w:rPr>
          <w:i/>
        </w:rPr>
        <w:t xml:space="preserve">Jejeebhoy, S.</w:t>
      </w:r>
      <w:r>
        <w:t xml:space="preserve"> </w:t>
      </w:r>
      <w:r>
        <w:t xml:space="preserve">1995: Women’s Education, Autonomy, and Reproductive Behaviour: Experience from Developing Countries. Oxford: Clarendon Press.</w:t>
      </w:r>
    </w:p>
    <w:bookmarkEnd w:id="87"/>
    <w:bookmarkStart w:id="88" w:name="ref-kalmijn1998"/>
    <w:p>
      <w:pPr>
        <w:pStyle w:val="Bibliography"/>
      </w:pPr>
      <w:r>
        <w:rPr>
          <w:i/>
        </w:rPr>
        <w:t xml:space="preserve">Kalmijn, Matthijs</w:t>
      </w:r>
      <w:r>
        <w:t xml:space="preserve"> </w:t>
      </w:r>
      <w:r>
        <w:t xml:space="preserve">1998: Intermarriage and Homogamy: Causes, Patterns, Trends. In: Annual Review of Sociology 24,1: 395–421.</w:t>
      </w:r>
    </w:p>
    <w:bookmarkEnd w:id="88"/>
    <w:bookmarkStart w:id="90" w:name="ref-kang2011"/>
    <w:p>
      <w:pPr>
        <w:pStyle w:val="Bibliography"/>
      </w:pPr>
      <w:r>
        <w:rPr>
          <w:i/>
        </w:rPr>
        <w:t xml:space="preserve">Kang, Thomas H.</w:t>
      </w:r>
      <w:r>
        <w:t xml:space="preserve"> </w:t>
      </w:r>
      <w:r>
        <w:t xml:space="preserve">2011: Descentralização e financiamento da educação brasileira: uma análise comparativa, 1930-1964. In: Estudos Econômicos (São Paulo) 41,3: 573–598. [</w:t>
      </w:r>
      <w:hyperlink r:id="rId89">
        <w:r>
          <w:rPr>
            <w:rStyle w:val="Hyperlink"/>
          </w:rPr>
          <w:t xml:space="preserve">http://www.scielo.br/scielo.php?script=sci_arttext&amp;pid=S0101-41612011000300004&amp;nrm=iso</w:t>
        </w:r>
      </w:hyperlink>
      <w:r>
        <w:t xml:space="preserve">].</w:t>
      </w:r>
    </w:p>
    <w:bookmarkEnd w:id="90"/>
    <w:bookmarkStart w:id="92" w:name="ref-kang2017"/>
    <w:p>
      <w:pPr>
        <w:pStyle w:val="Bibliography"/>
      </w:pPr>
      <w:r>
        <w:rPr>
          <w:i/>
        </w:rPr>
        <w:t xml:space="preserve">Kang, Thomas H.</w:t>
      </w:r>
      <w:r>
        <w:t xml:space="preserve"> </w:t>
      </w:r>
      <w:r>
        <w:t xml:space="preserve">2006: Educação para as elites, financiamento e ensino primário no Brasil, 1930–1964. In: Latin American Research Review 1,52: 35–49. [</w:t>
      </w:r>
      <w:hyperlink r:id="rId91">
        <w:r>
          <w:rPr>
            <w:rStyle w:val="Hyperlink"/>
          </w:rPr>
          <w:t xml:space="preserve">https://doi.org/https://doi.org/10.25222/larr.42</w:t>
        </w:r>
      </w:hyperlink>
      <w:r>
        <w:t xml:space="preserve">].</w:t>
      </w:r>
    </w:p>
    <w:bookmarkEnd w:id="92"/>
    <w:bookmarkStart w:id="93" w:name="ref-komatsu_etal2017"/>
    <w:p>
      <w:pPr>
        <w:pStyle w:val="Bibliography"/>
      </w:pPr>
      <w:r>
        <w:rPr>
          <w:i/>
        </w:rPr>
        <w:t xml:space="preserve">Komatsu, Bruno et al.</w:t>
      </w:r>
      <w:r>
        <w:t xml:space="preserve"> </w:t>
      </w:r>
      <w:r>
        <w:t xml:space="preserve">2017:</w:t>
      </w:r>
      <w:r>
        <w:t xml:space="preserve"> </w:t>
      </w:r>
      <w:r>
        <w:t xml:space="preserve"> </w:t>
      </w:r>
      <w:r>
        <w:t xml:space="preserve">A História da Educação e as Origens da Desigualdade Regional no Brasil. Policy Paper 27. Insper (Instituto de Ensino e Pesquisa) - Centro de Políticas Públicas (CPP).</w:t>
      </w:r>
    </w:p>
    <w:bookmarkEnd w:id="93"/>
    <w:bookmarkStart w:id="94" w:name="ref-laferrara_etal2012"/>
    <w:p>
      <w:pPr>
        <w:pStyle w:val="Bibliography"/>
      </w:pPr>
      <w:r>
        <w:rPr>
          <w:i/>
        </w:rPr>
        <w:t xml:space="preserve">La Ferrara, Eliana; Chong, Alberto; Duryea, Suzanne</w:t>
      </w:r>
      <w:r>
        <w:t xml:space="preserve"> </w:t>
      </w:r>
      <w:r>
        <w:t xml:space="preserve">2012: Soap Operas and Fertility: Evidence from Brazil. In: American Economic Journal: Applied Economics 4,4: 1–31.</w:t>
      </w:r>
    </w:p>
    <w:bookmarkEnd w:id="94"/>
    <w:bookmarkStart w:id="95" w:name="ref-lam_etal1992"/>
    <w:p>
      <w:pPr>
        <w:pStyle w:val="Bibliography"/>
      </w:pPr>
      <w:r>
        <w:rPr>
          <w:i/>
        </w:rPr>
        <w:t xml:space="preserve">Lam, D.; Sedlacek, G.; Duryea, S.</w:t>
      </w:r>
      <w:r>
        <w:t xml:space="preserve"> </w:t>
      </w:r>
      <w:r>
        <w:t xml:space="preserve">1992: Increase in women´s education and fertility decline in Brazil. In: Anais Do VIII Encontro Nacional de Estudos Populacionais 1.</w:t>
      </w:r>
    </w:p>
    <w:bookmarkEnd w:id="95"/>
    <w:bookmarkStart w:id="96" w:name="ref-laplante_etal2015"/>
    <w:p>
      <w:pPr>
        <w:pStyle w:val="Bibliography"/>
      </w:pPr>
      <w:r>
        <w:rPr>
          <w:i/>
        </w:rPr>
        <w:t xml:space="preserve">Laplante, B. et al.</w:t>
      </w:r>
      <w:r>
        <w:t xml:space="preserve"> </w:t>
      </w:r>
      <w:r>
        <w:t xml:space="preserve">2015: Childbearing within Marriage and Consensual Union in Latin America, 1980–2010. In: Population and Development Review 1,41: 85–108.</w:t>
      </w:r>
    </w:p>
    <w:bookmarkEnd w:id="96"/>
    <w:bookmarkStart w:id="97" w:name="ref-lima_etal2018"/>
    <w:p>
      <w:pPr>
        <w:pStyle w:val="Bibliography"/>
      </w:pPr>
      <w:r>
        <w:rPr>
          <w:i/>
        </w:rPr>
        <w:t xml:space="preserve">Lima, Everton E. C. et al.</w:t>
      </w:r>
      <w:r>
        <w:t xml:space="preserve"> </w:t>
      </w:r>
      <w:r>
        <w:t xml:space="preserve">2018: The Emergence of Bimodal Fertility Profiles in Latin America. In: Population and Development Review 44,4: 723–743.</w:t>
      </w:r>
    </w:p>
    <w:bookmarkEnd w:id="97"/>
    <w:bookmarkStart w:id="98" w:name="ref-longo2011"/>
    <w:p>
      <w:pPr>
        <w:pStyle w:val="Bibliography"/>
      </w:pPr>
      <w:r>
        <w:rPr>
          <w:i/>
        </w:rPr>
        <w:t xml:space="preserve">Longo, L.</w:t>
      </w:r>
      <w:r>
        <w:t xml:space="preserve"> </w:t>
      </w:r>
      <w:r>
        <w:t xml:space="preserve">2011: Uniões intra e inter-raciais, status marital, escolaridade e religião no Brasil:: um estudo sobre a seletividade marital feminina, 1980-2000. PhD thesis. Belo Horizonte: Centro de Desenvolvimento e Planejamento Regional, Universidade Federal de Minas Gerais.</w:t>
      </w:r>
    </w:p>
    <w:bookmarkEnd w:id="98"/>
    <w:bookmarkStart w:id="100" w:name="ref-lustig_etal2013"/>
    <w:p>
      <w:pPr>
        <w:pStyle w:val="Bibliography"/>
      </w:pPr>
      <w:r>
        <w:rPr>
          <w:i/>
        </w:rPr>
        <w:t xml:space="preserve">Lustig, Nora; Lopez-Calva, Luis F.; Ortiz-Juarez, Eduardo</w:t>
      </w:r>
      <w:r>
        <w:t xml:space="preserve"> </w:t>
      </w:r>
      <w:r>
        <w:t xml:space="preserve">2013: Declining Inequality in Latin America in the 2000s: The Cases of Argentina, Brazil, and Mexico. In: World Development 44: 129–141. [</w:t>
      </w:r>
      <w:hyperlink r:id="rId99">
        <w:r>
          <w:rPr>
            <w:rStyle w:val="Hyperlink"/>
          </w:rPr>
          <w:t xml:space="preserve">https://doi.org/https://doi.org/10.1016/j.worlddev.2012.09.013</w:t>
        </w:r>
      </w:hyperlink>
      <w:r>
        <w:t xml:space="preserve">].</w:t>
      </w:r>
    </w:p>
    <w:bookmarkEnd w:id="100"/>
    <w:bookmarkStart w:id="101" w:name="ref-lutz2010"/>
    <w:p>
      <w:pPr>
        <w:pStyle w:val="Bibliography"/>
      </w:pPr>
      <w:r>
        <w:rPr>
          <w:i/>
        </w:rPr>
        <w:t xml:space="preserve">Lutz, W.</w:t>
      </w:r>
      <w:r>
        <w:t xml:space="preserve"> </w:t>
      </w:r>
      <w:r>
        <w:t xml:space="preserve">2010: Education will be at the heart of 21st century demography. In: Vienna Yearbook of Population Research 8: 8–16.</w:t>
      </w:r>
    </w:p>
    <w:bookmarkEnd w:id="101"/>
    <w:bookmarkStart w:id="102" w:name="ref-maluf_mott1998"/>
    <w:p>
      <w:pPr>
        <w:pStyle w:val="Bibliography"/>
      </w:pPr>
      <w:r>
        <w:rPr>
          <w:i/>
        </w:rPr>
        <w:t xml:space="preserve">Maluf, Marina; Mott, Maria Lúcia</w:t>
      </w:r>
      <w:r>
        <w:t xml:space="preserve"> </w:t>
      </w:r>
      <w:r>
        <w:t xml:space="preserve">1998: Recônditos do mundo feminino. In:</w:t>
      </w:r>
      <w:r>
        <w:t xml:space="preserve"> </w:t>
      </w:r>
      <w:r>
        <w:rPr>
          <w:i/>
        </w:rPr>
        <w:t xml:space="preserve">Novais, Fernando A.</w:t>
      </w:r>
      <w:r>
        <w:t xml:space="preserve"> </w:t>
      </w:r>
      <w:r>
        <w:t xml:space="preserve">(Ed.): História da Vida Privada no Brasil, 3: República: da belle époque à era do rádio. São Paulo: Companhia das Letras: 367–421.</w:t>
      </w:r>
    </w:p>
    <w:bookmarkEnd w:id="102"/>
    <w:bookmarkStart w:id="103" w:name="ref-marcilio2014"/>
    <w:p>
      <w:pPr>
        <w:pStyle w:val="Bibliography"/>
      </w:pPr>
      <w:r>
        <w:rPr>
          <w:i/>
        </w:rPr>
        <w:t xml:space="preserve">Marcílio, Maria Luiza</w:t>
      </w:r>
      <w:r>
        <w:t xml:space="preserve"> </w:t>
      </w:r>
      <w:r>
        <w:t xml:space="preserve">2014: História da Escola em São Paulo e no Brasil. São Paulo: Instituto Fernand Braudel de Economia Mundial.</w:t>
      </w:r>
    </w:p>
    <w:bookmarkEnd w:id="103"/>
    <w:bookmarkStart w:id="104" w:name="ref-mare1991"/>
    <w:p>
      <w:pPr>
        <w:pStyle w:val="Bibliography"/>
      </w:pPr>
      <w:r>
        <w:rPr>
          <w:i/>
        </w:rPr>
        <w:t xml:space="preserve">Mare, Robert D.</w:t>
      </w:r>
      <w:r>
        <w:t xml:space="preserve"> </w:t>
      </w:r>
      <w:r>
        <w:t xml:space="preserve">1991: Five Decades of Educational Assortative Mating. In: American Sociological Review 56,1: 15–32.</w:t>
      </w:r>
    </w:p>
    <w:bookmarkEnd w:id="104"/>
    <w:bookmarkStart w:id="105" w:name="ref-martine1996"/>
    <w:p>
      <w:pPr>
        <w:pStyle w:val="Bibliography"/>
      </w:pPr>
      <w:r>
        <w:rPr>
          <w:i/>
        </w:rPr>
        <w:t xml:space="preserve">Martine, G.</w:t>
      </w:r>
      <w:r>
        <w:t xml:space="preserve"> </w:t>
      </w:r>
      <w:r>
        <w:t xml:space="preserve">1996: Brazil’s Fertility Decline, 1965-95: A Fresh Look at Key Factors. In: Population and Development Review 22,1: 47–75.</w:t>
      </w:r>
    </w:p>
    <w:bookmarkEnd w:id="105"/>
    <w:bookmarkStart w:id="106" w:name="ref-mcdonald2000"/>
    <w:p>
      <w:pPr>
        <w:pStyle w:val="Bibliography"/>
      </w:pPr>
      <w:r>
        <w:rPr>
          <w:i/>
        </w:rPr>
        <w:t xml:space="preserve">McDonald, P.</w:t>
      </w:r>
      <w:r>
        <w:t xml:space="preserve"> </w:t>
      </w:r>
      <w:r>
        <w:t xml:space="preserve">2000: Gender Equity in Theories of Fertility Transition. In: Population and Development Review 26,3: 427–439.</w:t>
      </w:r>
    </w:p>
    <w:bookmarkEnd w:id="106"/>
    <w:bookmarkStart w:id="107" w:name="ref-merrick_berquo1983"/>
    <w:p>
      <w:pPr>
        <w:pStyle w:val="Bibliography"/>
      </w:pPr>
      <w:r>
        <w:rPr>
          <w:i/>
        </w:rPr>
        <w:t xml:space="preserve">Merrick, T.; Berquó, E.</w:t>
      </w:r>
      <w:r>
        <w:t xml:space="preserve"> </w:t>
      </w:r>
      <w:r>
        <w:t xml:space="preserve">1983: The determinants of Brazil´s recent rapid decline in fertility. Washington: National Academy.</w:t>
      </w:r>
    </w:p>
    <w:bookmarkEnd w:id="107"/>
    <w:bookmarkStart w:id="108" w:name="ref-merrick_graham1981"/>
    <w:p>
      <w:pPr>
        <w:pStyle w:val="Bibliography"/>
      </w:pPr>
      <w:r>
        <w:rPr>
          <w:i/>
        </w:rPr>
        <w:t xml:space="preserve">Merrick, T. W.; Graham, D. H.</w:t>
      </w:r>
      <w:r>
        <w:t xml:space="preserve"> </w:t>
      </w:r>
      <w:r>
        <w:t xml:space="preserve">1981: População e Desenvolvimento Econômico no Brasil de 1800 até a atualidade. Rio de Janeiro: Zahar.</w:t>
      </w:r>
    </w:p>
    <w:bookmarkEnd w:id="108"/>
    <w:bookmarkStart w:id="109" w:name="ref-messina2002"/>
    <w:p>
      <w:pPr>
        <w:pStyle w:val="Bibliography"/>
      </w:pPr>
      <w:r>
        <w:rPr>
          <w:i/>
        </w:rPr>
        <w:t xml:space="preserve">Messina, G.</w:t>
      </w:r>
      <w:r>
        <w:t xml:space="preserve"> </w:t>
      </w:r>
      <w:r>
        <w:t xml:space="preserve">2002: An overview of current thinking on gender equality in basic education in Latin America (1990-2000). In:</w:t>
      </w:r>
      <w:r>
        <w:t xml:space="preserve"> </w:t>
      </w:r>
      <w:r>
        <w:rPr>
          <w:i/>
        </w:rPr>
        <w:t xml:space="preserve">UNESCO</w:t>
      </w:r>
      <w:r>
        <w:t xml:space="preserve"> </w:t>
      </w:r>
      <w:r>
        <w:t xml:space="preserve">(Ed.): Gender Equality in Basic Education in Latin America and the Caribbean. Santiago, Chile: Regional Office of Education for Latin America; the Caribbean: 11–40.</w:t>
      </w:r>
    </w:p>
    <w:bookmarkEnd w:id="109"/>
    <w:bookmarkStart w:id="110" w:name="ref-ipums2018"/>
    <w:p>
      <w:pPr>
        <w:pStyle w:val="Bibliography"/>
      </w:pPr>
      <w:r>
        <w:rPr>
          <w:i/>
        </w:rPr>
        <w:t xml:space="preserve">Minnesota Population Center</w:t>
      </w:r>
      <w:r>
        <w:t xml:space="preserve"> </w:t>
      </w:r>
      <w:r>
        <w:t xml:space="preserve">2018: Integrated Public Use Microdata Series, International: Version 7.0 [dataset]. Minneapolis, MN: IPUMS.</w:t>
      </w:r>
    </w:p>
    <w:bookmarkEnd w:id="110"/>
    <w:bookmarkStart w:id="111" w:name="ref-miranda-ribeiro_etal2016"/>
    <w:p>
      <w:pPr>
        <w:pStyle w:val="Bibliography"/>
      </w:pPr>
      <w:r>
        <w:rPr>
          <w:i/>
        </w:rPr>
        <w:t xml:space="preserve">Miranda-Ribeiro, Adriana et al.</w:t>
      </w:r>
      <w:r>
        <w:t xml:space="preserve"> </w:t>
      </w:r>
      <w:r>
        <w:t xml:space="preserve">2016: Postergação ou antecipação? Uma análise do efeito tempo sobre a fecundidade Brasileira nas últimas décadas. In: Anais Do XX Encontro Nacional de Estudos Populacionais.</w:t>
      </w:r>
    </w:p>
    <w:bookmarkEnd w:id="111"/>
    <w:bookmarkStart w:id="112" w:name="ref-moultrie_etal2013"/>
    <w:p>
      <w:pPr>
        <w:pStyle w:val="Bibliography"/>
      </w:pPr>
      <w:r>
        <w:rPr>
          <w:i/>
        </w:rPr>
        <w:t xml:space="preserve">Moultrie, Tom et al.</w:t>
      </w:r>
      <w:r>
        <w:t xml:space="preserve"> </w:t>
      </w:r>
      <w:r>
        <w:t xml:space="preserve">2013: Tools for Demographic Estimation. Paris: International Union for the Scientific Study of Population (IUSSP).</w:t>
      </w:r>
    </w:p>
    <w:bookmarkEnd w:id="112"/>
    <w:bookmarkStart w:id="113" w:name="ref-myrskyla_etal2011"/>
    <w:p>
      <w:pPr>
        <w:pStyle w:val="Bibliography"/>
      </w:pPr>
      <w:r>
        <w:rPr>
          <w:i/>
        </w:rPr>
        <w:t xml:space="preserve">Myrskylä, Mikko; Kohler, Hans-Peter; Billari, Francesco C.</w:t>
      </w:r>
      <w:r>
        <w:t xml:space="preserve"> </w:t>
      </w:r>
      <w:r>
        <w:t xml:space="preserve">2011: High development and fertility: fertility at older reproductive ages and gender equality explain the positive link. MPIDR Working Papers WP-2011-17. Max Planck Institute for Demographic Research, Rostock, Germany.</w:t>
      </w:r>
    </w:p>
    <w:bookmarkEnd w:id="113"/>
    <w:bookmarkStart w:id="114" w:name="ref-neels_etal2017"/>
    <w:p>
      <w:pPr>
        <w:pStyle w:val="Bibliography"/>
      </w:pPr>
      <w:r>
        <w:rPr>
          <w:i/>
        </w:rPr>
        <w:t xml:space="preserve">Neels, Karel et al.</w:t>
      </w:r>
      <w:r>
        <w:t xml:space="preserve"> </w:t>
      </w:r>
      <w:r>
        <w:t xml:space="preserve">2017: Rising Educational Participation and the Trend to Later Childbearing. In: Population and Development Review 43,4: 667–693.</w:t>
      </w:r>
    </w:p>
    <w:bookmarkEnd w:id="114"/>
    <w:bookmarkStart w:id="115" w:name="ref-nitsche_etal2018"/>
    <w:p>
      <w:pPr>
        <w:pStyle w:val="Bibliography"/>
      </w:pPr>
      <w:r>
        <w:rPr>
          <w:i/>
        </w:rPr>
        <w:t xml:space="preserve">Nitsche, Natalie et al.</w:t>
      </w:r>
      <w:r>
        <w:t xml:space="preserve"> </w:t>
      </w:r>
      <w:r>
        <w:t xml:space="preserve">2018: Partners’ Educational Pairings and Fertility Across Europe. In: Demography 55,4: 1195–1232.</w:t>
      </w:r>
    </w:p>
    <w:bookmarkEnd w:id="115"/>
    <w:bookmarkStart w:id="116" w:name="ref-oliveira1989"/>
    <w:p>
      <w:pPr>
        <w:pStyle w:val="Bibliography"/>
      </w:pPr>
      <w:r>
        <w:rPr>
          <w:i/>
        </w:rPr>
        <w:t xml:space="preserve">Oliveira, Maria Coleta F. A.</w:t>
      </w:r>
      <w:r>
        <w:t xml:space="preserve"> </w:t>
      </w:r>
      <w:r>
        <w:t xml:space="preserve">1989: Trabalho, família e condição feminina: considerações sobre a demanda por filhos. In: Revista Brasileira de Estudos de População 6,1: 25–33.</w:t>
      </w:r>
    </w:p>
    <w:bookmarkEnd w:id="116"/>
    <w:bookmarkStart w:id="117" w:name="ref-oliveira_etal1994"/>
    <w:p>
      <w:pPr>
        <w:pStyle w:val="Bibliography"/>
      </w:pPr>
      <w:r>
        <w:rPr>
          <w:i/>
        </w:rPr>
        <w:t xml:space="preserve">Oliveira, Maria Coleta F. A.; Bilac, Elizabete D.; Muszkat, Malvina</w:t>
      </w:r>
      <w:r>
        <w:t xml:space="preserve"> </w:t>
      </w:r>
      <w:r>
        <w:t xml:space="preserve">1994: Os Homens, esses desconhecidos... In: Revista Brasileira de Estudos de População 11,1: 89–93.</w:t>
      </w:r>
    </w:p>
    <w:bookmarkEnd w:id="117"/>
    <w:bookmarkStart w:id="118" w:name="ref-oliveira_etal2002"/>
    <w:p>
      <w:pPr>
        <w:pStyle w:val="Bibliography"/>
      </w:pPr>
      <w:r>
        <w:rPr>
          <w:i/>
        </w:rPr>
        <w:t xml:space="preserve">Oliveira, Maria Coleta Ferreira Albino; Bilac, Elisabete; Muszkat, Malvina</w:t>
      </w:r>
      <w:r>
        <w:t xml:space="preserve"> </w:t>
      </w:r>
      <w:r>
        <w:t xml:space="preserve">2002: Homens e anticoncepção: duas gerações de camadas médias no Brasil. In: Cahiers Des Amériques Latines 39: 59–82.</w:t>
      </w:r>
    </w:p>
    <w:bookmarkEnd w:id="118"/>
    <w:bookmarkStart w:id="119" w:name="ref-oliveira2007"/>
    <w:p>
      <w:pPr>
        <w:pStyle w:val="Bibliography"/>
      </w:pPr>
      <w:r>
        <w:rPr>
          <w:i/>
        </w:rPr>
        <w:t xml:space="preserve">Oliveira, M. C. F. A.</w:t>
      </w:r>
      <w:r>
        <w:t xml:space="preserve"> </w:t>
      </w:r>
      <w:r>
        <w:t xml:space="preserve">2007: O lugar dos homens na reprodução. In:</w:t>
      </w:r>
      <w:r>
        <w:t xml:space="preserve"> </w:t>
      </w:r>
      <w:r>
        <w:rPr>
          <w:i/>
        </w:rPr>
        <w:t xml:space="preserve">Gutiérrez, M. A.</w:t>
      </w:r>
      <w:r>
        <w:t xml:space="preserve"> </w:t>
      </w:r>
      <w:r>
        <w:t xml:space="preserve">(Ed.): Género, Familias Y Trabajo: Rupturas Y Continuidades. Buenos Aires: CLACSO, Consejo Latinoamericano de Ciencias Sociales.</w:t>
      </w:r>
    </w:p>
    <w:bookmarkEnd w:id="119"/>
    <w:bookmarkStart w:id="120" w:name="ref-paiva1987"/>
    <w:p>
      <w:pPr>
        <w:pStyle w:val="Bibliography"/>
      </w:pPr>
      <w:r>
        <w:rPr>
          <w:i/>
        </w:rPr>
        <w:t xml:space="preserve">Paiva, P. T. A.</w:t>
      </w:r>
      <w:r>
        <w:t xml:space="preserve"> </w:t>
      </w:r>
      <w:r>
        <w:t xml:space="preserve">1987: O processo de proletarização e a transição da fecundidade no Brasil. In: Revista Brasileira de Economia 41,4: 383–414.</w:t>
      </w:r>
    </w:p>
    <w:bookmarkEnd w:id="120"/>
    <w:bookmarkStart w:id="121" w:name="ref-pampel2011"/>
    <w:p>
      <w:pPr>
        <w:pStyle w:val="Bibliography"/>
      </w:pPr>
      <w:r>
        <w:rPr>
          <w:i/>
        </w:rPr>
        <w:t xml:space="preserve">Pampel, Fred</w:t>
      </w:r>
      <w:r>
        <w:t xml:space="preserve"> </w:t>
      </w:r>
      <w:r>
        <w:t xml:space="preserve">2011: Cohort change, diffusion, and support for gender egalitarianism in cross-national perspective. In: Demographic Research 25,21: 667–694.</w:t>
      </w:r>
    </w:p>
    <w:bookmarkEnd w:id="121"/>
    <w:bookmarkStart w:id="122" w:name="ref-patarra_oliveira1988"/>
    <w:p>
      <w:pPr>
        <w:pStyle w:val="Bibliography"/>
      </w:pPr>
      <w:r>
        <w:rPr>
          <w:i/>
        </w:rPr>
        <w:t xml:space="preserve">Patarra, N. L.; Oliveira, M. C. F. A.</w:t>
      </w:r>
      <w:r>
        <w:t xml:space="preserve"> </w:t>
      </w:r>
      <w:r>
        <w:t xml:space="preserve">1988: Transição, transições. Olinda, Pernambuco.</w:t>
      </w:r>
    </w:p>
    <w:bookmarkEnd w:id="122"/>
    <w:bookmarkStart w:id="123" w:name="ref-perpetuo_wanjman1998"/>
    <w:p>
      <w:pPr>
        <w:pStyle w:val="Bibliography"/>
      </w:pPr>
      <w:r>
        <w:rPr>
          <w:i/>
        </w:rPr>
        <w:t xml:space="preserve">Perpétuo, I. H. O.; Wajnman, S.</w:t>
      </w:r>
      <w:r>
        <w:t xml:space="preserve"> </w:t>
      </w:r>
      <w:r>
        <w:t xml:space="preserve">1998: Socioeconomic correlates of female sterilization in Brazil. Mexico City, Mexico.</w:t>
      </w:r>
    </w:p>
    <w:bookmarkEnd w:id="123"/>
    <w:bookmarkStart w:id="124" w:name="ref-perpetuo_wong2009"/>
    <w:p>
      <w:pPr>
        <w:pStyle w:val="Bibliography"/>
      </w:pPr>
      <w:r>
        <w:rPr>
          <w:i/>
        </w:rPr>
        <w:t xml:space="preserve">Perpétuo, L. R., I. H. O. &amp; Wong</w:t>
      </w:r>
      <w:r>
        <w:t xml:space="preserve"> </w:t>
      </w:r>
      <w:r>
        <w:t xml:space="preserve">2009: Desigualdade socioeconômica na utilização de métodos anticoncepcionais no Brasil: uma análise comparativa com base nas PNDS 1996 e 2006. In:</w:t>
      </w:r>
      <w:r>
        <w:t xml:space="preserve"> </w:t>
      </w:r>
      <w:r>
        <w:rPr>
          <w:i/>
        </w:rPr>
        <w:t xml:space="preserve">CEBRAP</w:t>
      </w:r>
      <w:r>
        <w:t xml:space="preserve"> </w:t>
      </w:r>
      <w:r>
        <w:t xml:space="preserve">(Ed.): Pesquisa Nacional de Demografia E Saúde Da Criança E Da Mulher – Pnds 2006: Dimensões Do Processo Reprodutivo E Da Saúde Da Criança. Brasília: Ministério da Saúde: 85–104.</w:t>
      </w:r>
    </w:p>
    <w:bookmarkEnd w:id="124"/>
    <w:bookmarkStart w:id="125" w:name="ref-potter_etal2010"/>
    <w:p>
      <w:pPr>
        <w:pStyle w:val="Bibliography"/>
      </w:pPr>
      <w:r>
        <w:rPr>
          <w:i/>
        </w:rPr>
        <w:t xml:space="preserve">Potter, J. E. et al.</w:t>
      </w:r>
      <w:r>
        <w:t xml:space="preserve"> </w:t>
      </w:r>
      <w:r>
        <w:t xml:space="preserve">2010: Mapping the Timing, Pace, and Scale of the Fertility Transition in Brazil. In: Population and Development Review 36,2: 283–307.</w:t>
      </w:r>
    </w:p>
    <w:bookmarkEnd w:id="125"/>
    <w:bookmarkStart w:id="126" w:name="ref-potter_etal2002"/>
    <w:p>
      <w:pPr>
        <w:pStyle w:val="Bibliography"/>
      </w:pPr>
      <w:r>
        <w:rPr>
          <w:i/>
        </w:rPr>
        <w:t xml:space="preserve">Potter, J. E.; Schmertmann, C. P.; Cavenaghi, S.</w:t>
      </w:r>
      <w:r>
        <w:t xml:space="preserve"> </w:t>
      </w:r>
      <w:r>
        <w:t xml:space="preserve">2002: Fertility and Development: Evidence from Brazil. In: Demography 4,39: 739–761.</w:t>
      </w:r>
    </w:p>
    <w:bookmarkEnd w:id="126"/>
    <w:bookmarkStart w:id="127" w:name="ref-reher_requena2014"/>
    <w:p>
      <w:pPr>
        <w:pStyle w:val="Bibliography"/>
      </w:pPr>
      <w:r>
        <w:rPr>
          <w:i/>
        </w:rPr>
        <w:t xml:space="preserve">Reher, D.; Requena, M.</w:t>
      </w:r>
      <w:r>
        <w:t xml:space="preserve"> </w:t>
      </w:r>
      <w:r>
        <w:t xml:space="preserve">2014: Was there a mid-20th century fertility boom in Latin America? In: Revista de Historia Económica (New Series) 3,32: 319–350.</w:t>
      </w:r>
    </w:p>
    <w:bookmarkEnd w:id="127"/>
    <w:bookmarkStart w:id="128" w:name="ref-ribeiro_silva2009"/>
    <w:p>
      <w:pPr>
        <w:pStyle w:val="Bibliography"/>
      </w:pPr>
      <w:r>
        <w:rPr>
          <w:i/>
        </w:rPr>
        <w:t xml:space="preserve">Ribeiro, Carlos Antonio Costa; Silva, Nelson Valle</w:t>
      </w:r>
      <w:r>
        <w:t xml:space="preserve"> </w:t>
      </w:r>
      <w:r>
        <w:t xml:space="preserve">2009: Cor, educação e casamento: tendências da seletividade marital no Brasil, 1960 a 2000. In: Dados - Revista de Ciências Sociais 52: 7–51.</w:t>
      </w:r>
    </w:p>
    <w:bookmarkEnd w:id="128"/>
    <w:bookmarkStart w:id="129" w:name="ref-rios-neto_etal2018"/>
    <w:p>
      <w:pPr>
        <w:pStyle w:val="Bibliography"/>
      </w:pPr>
      <w:r>
        <w:rPr>
          <w:i/>
        </w:rPr>
        <w:t xml:space="preserve">Rios-Neto, Eduardo L. G.; Miranda-Ribeiro, Adriana; Miranda-Ribeiro, Paula</w:t>
      </w:r>
      <w:r>
        <w:t xml:space="preserve"> </w:t>
      </w:r>
      <w:r>
        <w:t xml:space="preserve">2018: Fertility Differentials by Education in Brazil: From the Conclusion of Fertility to the Onset of Postponement Transition. In: Population and Development Review 44,3: 489–517.</w:t>
      </w:r>
    </w:p>
    <w:bookmarkEnd w:id="129"/>
    <w:bookmarkStart w:id="130" w:name="ref-neto_guimaraes2013"/>
    <w:p>
      <w:pPr>
        <w:pStyle w:val="Bibliography"/>
      </w:pPr>
      <w:r>
        <w:rPr>
          <w:i/>
        </w:rPr>
        <w:t xml:space="preserve">Rios-Neto, E. L. G.; Guimarães, R. R. de M.</w:t>
      </w:r>
      <w:r>
        <w:t xml:space="preserve"> </w:t>
      </w:r>
      <w:r>
        <w:t xml:space="preserve">2013: The educational gradient of low fertility in Latin America. Busan.</w:t>
      </w:r>
    </w:p>
    <w:bookmarkEnd w:id="130"/>
    <w:bookmarkStart w:id="131" w:name="ref-romanelli1986"/>
    <w:p>
      <w:pPr>
        <w:pStyle w:val="Bibliography"/>
      </w:pPr>
      <w:r>
        <w:rPr>
          <w:i/>
        </w:rPr>
        <w:t xml:space="preserve">Romanelli, Otaíza Oliveira</w:t>
      </w:r>
      <w:r>
        <w:t xml:space="preserve"> </w:t>
      </w:r>
      <w:r>
        <w:t xml:space="preserve">1986: História Da Educação No Brasil (1930/1970). Petrópolis: Editora Vozes.</w:t>
      </w:r>
    </w:p>
    <w:bookmarkEnd w:id="131"/>
    <w:bookmarkStart w:id="132" w:name="ref-bixby_etal2009"/>
    <w:p>
      <w:pPr>
        <w:pStyle w:val="Bibliography"/>
      </w:pPr>
      <w:r>
        <w:rPr>
          <w:i/>
        </w:rPr>
        <w:t xml:space="preserve">Rosero-Bixby, L.; Castro-Martin, T.; Martin-Garcia, T.</w:t>
      </w:r>
      <w:r>
        <w:t xml:space="preserve"> </w:t>
      </w:r>
      <w:r>
        <w:t xml:space="preserve">2009: Is Latin America starting to retreat from early and universal childbearing? In: Demographic Research 20: 169–194.</w:t>
      </w:r>
    </w:p>
    <w:bookmarkEnd w:id="132"/>
    <w:bookmarkStart w:id="133" w:name="ref-ryder1990"/>
    <w:p>
      <w:pPr>
        <w:pStyle w:val="Bibliography"/>
      </w:pPr>
      <w:r>
        <w:rPr>
          <w:i/>
        </w:rPr>
        <w:t xml:space="preserve">Ryder, Norman B.</w:t>
      </w:r>
      <w:r>
        <w:t xml:space="preserve"> </w:t>
      </w:r>
      <w:r>
        <w:t xml:space="preserve">1990: What Is Going to Happen to American Fertility? In: Population and Development Review 16,3: 433–454.</w:t>
      </w:r>
    </w:p>
    <w:bookmarkEnd w:id="133"/>
    <w:bookmarkStart w:id="134" w:name="ref-ryder1965"/>
    <w:p>
      <w:pPr>
        <w:pStyle w:val="Bibliography"/>
      </w:pPr>
      <w:r>
        <w:rPr>
          <w:i/>
        </w:rPr>
        <w:t xml:space="preserve">Ryder, Norman B.</w:t>
      </w:r>
      <w:r>
        <w:t xml:space="preserve"> </w:t>
      </w:r>
      <w:r>
        <w:t xml:space="preserve">1965: The Cohort as a Concept in the Study of Social Change. In: American Sociological Review 30,6: 843–861.</w:t>
      </w:r>
    </w:p>
    <w:bookmarkEnd w:id="134"/>
    <w:bookmarkStart w:id="136" w:name="ref-schoumaker2019"/>
    <w:p>
      <w:pPr>
        <w:pStyle w:val="Bibliography"/>
      </w:pPr>
      <w:r>
        <w:rPr>
          <w:i/>
        </w:rPr>
        <w:t xml:space="preserve">Schoumaker, Bruno</w:t>
      </w:r>
      <w:r>
        <w:t xml:space="preserve"> </w:t>
      </w:r>
      <w:r>
        <w:t xml:space="preserve">2019: Male Fertility Around the World and over Time: How Different Is It from Female Fertility? In: Population and Development Review 45,3: 459–487. [</w:t>
      </w:r>
      <w:hyperlink r:id="rId135">
        <w:r>
          <w:rPr>
            <w:rStyle w:val="Hyperlink"/>
          </w:rPr>
          <w:t xml:space="preserve">https://doi.org/10.1111/padr.12273</w:t>
        </w:r>
      </w:hyperlink>
      <w:r>
        <w:t xml:space="preserve">].</w:t>
      </w:r>
    </w:p>
    <w:bookmarkEnd w:id="136"/>
    <w:bookmarkStart w:id="137" w:name="ref-scorzafave2001"/>
    <w:p>
      <w:pPr>
        <w:pStyle w:val="Bibliography"/>
      </w:pPr>
      <w:r>
        <w:rPr>
          <w:i/>
        </w:rPr>
        <w:t xml:space="preserve">Scorzafave, L. G.; Menezes-Filho, N. A.</w:t>
      </w:r>
      <w:r>
        <w:t xml:space="preserve"> </w:t>
      </w:r>
      <w:r>
        <w:t xml:space="preserve">2001: Participação feminina no mercado de trabalho Brasileiro: evolução e determinantes. In: Pesquisa E Planejamento Econômico 31,3.</w:t>
      </w:r>
    </w:p>
    <w:bookmarkEnd w:id="137"/>
    <w:bookmarkStart w:id="138" w:name="ref-silva_hasenbalg2000"/>
    <w:p>
      <w:pPr>
        <w:pStyle w:val="Bibliography"/>
      </w:pPr>
      <w:r>
        <w:rPr>
          <w:i/>
        </w:rPr>
        <w:t xml:space="preserve">Silva, Nelson Valle; Hasenbalg, Carlos</w:t>
      </w:r>
      <w:r>
        <w:t xml:space="preserve"> </w:t>
      </w:r>
      <w:r>
        <w:t xml:space="preserve">2000: Tendências da desigualdade educacional no Brasil. In: Dados 43: 423–445.</w:t>
      </w:r>
    </w:p>
    <w:bookmarkEnd w:id="138"/>
    <w:bookmarkStart w:id="139" w:name="ref-singer1973"/>
    <w:p>
      <w:pPr>
        <w:pStyle w:val="Bibliography"/>
      </w:pPr>
      <w:r>
        <w:rPr>
          <w:i/>
        </w:rPr>
        <w:t xml:space="preserve">Singer, Paul</w:t>
      </w:r>
      <w:r>
        <w:t xml:space="preserve"> </w:t>
      </w:r>
      <w:r>
        <w:t xml:space="preserve">1973: Economia Política da Urbanização. São Paulo: Editora Brasiliense.</w:t>
      </w:r>
    </w:p>
    <w:bookmarkEnd w:id="139"/>
    <w:bookmarkStart w:id="140" w:name="ref-sobotka_etal2012"/>
    <w:p>
      <w:pPr>
        <w:pStyle w:val="Bibliography"/>
      </w:pPr>
      <w:r>
        <w:rPr>
          <w:i/>
        </w:rPr>
        <w:t xml:space="preserve">Sobotka, Tomáš et al.</w:t>
      </w:r>
      <w:r>
        <w:t xml:space="preserve"> </w:t>
      </w:r>
      <w:r>
        <w:t xml:space="preserve">2012: Postponement and Recuperation in Cohort Fertility: Austria, Germany and Switzerland in a European Context. In: Comparative Population Studies 36,2-3.</w:t>
      </w:r>
    </w:p>
    <w:bookmarkEnd w:id="140"/>
    <w:bookmarkStart w:id="141" w:name="ref-teixeira2014"/>
    <w:p>
      <w:pPr>
        <w:pStyle w:val="Bibliography"/>
      </w:pPr>
      <w:r>
        <w:rPr>
          <w:i/>
        </w:rPr>
        <w:t xml:space="preserve">Teixeira, Marilane Oliveira</w:t>
      </w:r>
      <w:r>
        <w:t xml:space="preserve"> </w:t>
      </w:r>
      <w:r>
        <w:t xml:space="preserve">2014: Formalização do emprego e permanência das desigualdades de gênero. Análise. Brasil: FES, Fundação Friedrich Ebert.</w:t>
      </w:r>
    </w:p>
    <w:bookmarkEnd w:id="141"/>
    <w:bookmarkStart w:id="142" w:name="ref-thomson1997"/>
    <w:p>
      <w:pPr>
        <w:pStyle w:val="Bibliography"/>
      </w:pPr>
      <w:r>
        <w:rPr>
          <w:i/>
        </w:rPr>
        <w:t xml:space="preserve">Thomson, Elizabeth</w:t>
      </w:r>
      <w:r>
        <w:t xml:space="preserve"> </w:t>
      </w:r>
      <w:r>
        <w:t xml:space="preserve">1997: Couple Childbearing Desires, Intentions, and Births. In: Demography 34,3: 343–354.</w:t>
      </w:r>
    </w:p>
    <w:bookmarkEnd w:id="142"/>
    <w:bookmarkStart w:id="143" w:name="ref-torche2010"/>
    <w:p>
      <w:pPr>
        <w:pStyle w:val="Bibliography"/>
      </w:pPr>
      <w:r>
        <w:rPr>
          <w:i/>
        </w:rPr>
        <w:t xml:space="preserve">Torche, Florencia</w:t>
      </w:r>
      <w:r>
        <w:t xml:space="preserve"> </w:t>
      </w:r>
      <w:r>
        <w:t xml:space="preserve">2010: Educational Assortative Mating and Economic Inequality: A Comparative Analysis of Three Latin American Countries. In: Demography 47,2: 481–502.</w:t>
      </w:r>
    </w:p>
    <w:bookmarkEnd w:id="143"/>
    <w:bookmarkStart w:id="144" w:name="ref-vanbavel2017"/>
    <w:p>
      <w:pPr>
        <w:pStyle w:val="Bibliography"/>
      </w:pPr>
      <w:r>
        <w:rPr>
          <w:i/>
        </w:rPr>
        <w:t xml:space="preserve">Van Bavel, Jan</w:t>
      </w:r>
      <w:r>
        <w:t xml:space="preserve"> </w:t>
      </w:r>
      <w:r>
        <w:t xml:space="preserve">2017: What Do Men Want? The Growing Importance of Men’s Characteristics for Fertility. In: Vienna Yearbook of Population Research 15: 41–47.</w:t>
      </w:r>
    </w:p>
    <w:bookmarkEnd w:id="144"/>
    <w:bookmarkStart w:id="145" w:name="ref-vanbavel_zeman_etal2018"/>
    <w:p>
      <w:pPr>
        <w:pStyle w:val="Bibliography"/>
      </w:pPr>
      <w:r>
        <w:rPr>
          <w:i/>
        </w:rPr>
        <w:t xml:space="preserve">Van Bavel, Jan et al.</w:t>
      </w:r>
      <w:r>
        <w:t xml:space="preserve"> </w:t>
      </w:r>
      <w:r>
        <w:t xml:space="preserve">2018: Seeding the gender revolution: Women’s education and cohort fertility among the baby boom generations. In: Population Studies 72,3: 283–304.</w:t>
      </w:r>
    </w:p>
    <w:bookmarkEnd w:id="145"/>
    <w:bookmarkStart w:id="146" w:name="ref-vieira2016"/>
    <w:p>
      <w:pPr>
        <w:pStyle w:val="Bibliography"/>
      </w:pPr>
      <w:r>
        <w:rPr>
          <w:i/>
        </w:rPr>
        <w:t xml:space="preserve">Vieira, Joice Melo</w:t>
      </w:r>
      <w:r>
        <w:t xml:space="preserve"> </w:t>
      </w:r>
      <w:r>
        <w:t xml:space="preserve">2016: Diferenciales en la fecundidad Brasileña según la naturaleza de la unión: algunas reflexiones sobre decisiones reproductivas y convivencia. In: Notas de Población 102: 67–94.</w:t>
      </w:r>
    </w:p>
    <w:bookmarkEnd w:id="146"/>
    <w:bookmarkStart w:id="147" w:name="ref-vieira_alves2016"/>
    <w:p>
      <w:pPr>
        <w:pStyle w:val="Bibliography"/>
      </w:pPr>
      <w:r>
        <w:rPr>
          <w:i/>
        </w:rPr>
        <w:t xml:space="preserve">Vieira, Joice Melo; Alves, Luciana Correia</w:t>
      </w:r>
      <w:r>
        <w:t xml:space="preserve"> </w:t>
      </w:r>
      <w:r>
        <w:t xml:space="preserve">2016: O comportamento da idade média à união e ao casamento no Brasil em 2000 e 2010. In: Revista Latinoamericana de Población 19: 107–126.</w:t>
      </w:r>
    </w:p>
    <w:bookmarkEnd w:id="147"/>
    <w:bookmarkStart w:id="148" w:name="ref-warren1966"/>
    <w:p>
      <w:pPr>
        <w:pStyle w:val="Bibliography"/>
      </w:pPr>
      <w:r>
        <w:rPr>
          <w:i/>
        </w:rPr>
        <w:t xml:space="preserve">Warren, Bruce L.</w:t>
      </w:r>
      <w:r>
        <w:t xml:space="preserve"> </w:t>
      </w:r>
      <w:r>
        <w:t xml:space="preserve">1966: A multiple variable approach to the assortative mating phenomenon. In: Eugenics Quarterly 13,4: 285–290.</w:t>
      </w:r>
    </w:p>
    <w:bookmarkEnd w:id="148"/>
    <w:bookmarkStart w:id="149" w:name="ref-wood_carvalho1988"/>
    <w:p>
      <w:pPr>
        <w:pStyle w:val="Bibliography"/>
      </w:pPr>
      <w:r>
        <w:rPr>
          <w:i/>
        </w:rPr>
        <w:t xml:space="preserve">Wood, C. H.; Carvalho, J. A. M.</w:t>
      </w:r>
      <w:r>
        <w:t xml:space="preserve"> </w:t>
      </w:r>
      <w:r>
        <w:t xml:space="preserve">1988: The Demography of Inequality in Brazil. Cambridge: Cambridge University Press.</w:t>
      </w:r>
    </w:p>
    <w:bookmarkEnd w:id="149"/>
    <w:bookmarkStart w:id="151" w:name="ref-yoo2014"/>
    <w:p>
      <w:pPr>
        <w:pStyle w:val="Bibliography"/>
      </w:pPr>
      <w:r>
        <w:rPr>
          <w:i/>
        </w:rPr>
        <w:t xml:space="preserve">Yoo, Sam Hyun</w:t>
      </w:r>
      <w:r>
        <w:t xml:space="preserve"> </w:t>
      </w:r>
      <w:r>
        <w:t xml:space="preserve">2014: Educational differentials in cohort fertility during the fertility transition in South Korea. In: Demographic Research 30,53: 1463–1494. [</w:t>
      </w:r>
      <w:hyperlink r:id="rId150">
        <w:r>
          <w:rPr>
            <w:rStyle w:val="Hyperlink"/>
          </w:rPr>
          <w:t xml:space="preserve">https://doi.org/10.4054/DemRes.2014.30.53</w:t>
        </w:r>
      </w:hyperlink>
      <w:r>
        <w:t xml:space="preserve">].</w:t>
      </w:r>
    </w:p>
    <w:bookmarkEnd w:id="151"/>
    <w:bookmarkEnd w:id="152"/>
    <w:sectPr>
      <w:type w:val="nextPage"/>
      <w:pgSz w:w="12240" w:h="15840"/>
      <w:pgMar w:left="1800" w:right="1800" w:header="0" w:top="1440" w:footer="0" w:bottom="1440" w:gutter="0"/>
      <w:pgNumType w:fmt="decimal"/>
      <w:formProt w:val="false"/>
      <w:textDirection w:val="lrTb"/>
      <w:docGrid w:type="default" w:linePitch="10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default"/>
  </w:font>
  <w:font w:name="Calibri">
    <w:charset w:val="01"/>
    <w:family w:val="roman"/>
    <w:pitch w:val="variable"/>
  </w:font>
  <w:font w:name="Consolas">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uiPriority w:val="9"/>
    <w:qFormat/>
    <w:pPr>
      <w:keepNext w:val="true"/>
      <w:keepLines/>
      <w:spacing w:before="480" w:after="0"/>
      <w:outlineLvl w:val="0"/>
    </w:pPr>
    <w:rPr>
      <w:rFonts w:ascii="arial" w:hAnsi="arial" w:eastAsia="" w:cs="" w:cstheme="majorBidi" w:eastAsiaTheme="majorEastAsia"/>
      <w:b/>
      <w:bCs/>
      <w:color w:val="000000" w:themeShade="b5"/>
      <w:sz w:val="28"/>
      <w:szCs w:val="28"/>
    </w:rPr>
  </w:style>
  <w:style w:type="paragraph" w:styleId="Heading2">
    <w:name w:val="Heading 2"/>
    <w:basedOn w:val="Normal"/>
    <w:uiPriority w:val="9"/>
    <w:unhideWhenUsed/>
    <w:qFormat/>
    <w:pPr>
      <w:keepNext w:val="true"/>
      <w:keepLines/>
      <w:spacing w:before="200" w:after="0"/>
      <w:outlineLvl w:val="1"/>
    </w:pPr>
    <w:rPr>
      <w:rFonts w:ascii="arial" w:hAnsi="arial" w:eastAsia="" w:cs="" w:cstheme="majorBidi" w:eastAsiaTheme="majorEastAsia"/>
      <w:b/>
      <w:bCs/>
      <w:color w:val="000000"/>
      <w:sz w:val="26"/>
      <w:szCs w:val="26"/>
    </w:rPr>
  </w:style>
  <w:style w:type="paragraph" w:styleId="Heading3">
    <w:name w:val="Heading 3"/>
    <w:basedOn w:val="Normal"/>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Internet Link"/>
    <w:basedOn w:val="BodyTextChar"/>
    <w:rPr>
      <w:color w:val="4F81BD" w:themeColor="accent1"/>
    </w:rPr>
  </w:style>
  <w:style w:type="character" w:styleId="KeywordTok" w:customStyle="1">
    <w:name w:val="KeywordTok"/>
    <w:basedOn w:val="VerbatimChar"/>
    <w:qFormat/>
    <w:rPr>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i/>
      <w:color w:val="8F5902"/>
      <w:shd w:fill="F8F8F8" w:val="clear"/>
    </w:rPr>
  </w:style>
  <w:style w:type="character" w:styleId="AnnotationTok" w:customStyle="1">
    <w:name w:val="AnnotationTok"/>
    <w:basedOn w:val="VerbatimChar"/>
    <w:qFormat/>
    <w:rPr>
      <w:i/>
      <w:color w:val="8F5902"/>
      <w:shd w:fill="F8F8F8" w:val="clear"/>
    </w:rPr>
  </w:style>
  <w:style w:type="character" w:styleId="CommentVarTok" w:customStyle="1">
    <w:name w:val="CommentVarTok"/>
    <w:basedOn w:val="VerbatimChar"/>
    <w:qFormat/>
    <w:rPr>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color w:val="204A87"/>
      <w:shd w:fill="F8F8F8" w:val="clear"/>
    </w:rPr>
  </w:style>
  <w:style w:type="character" w:styleId="OperatorTok" w:customStyle="1">
    <w:name w:val="OperatorTok"/>
    <w:basedOn w:val="VerbatimChar"/>
    <w:qFormat/>
    <w:rPr>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i/>
      <w:color w:val="8F5902"/>
      <w:shd w:fill="F8F8F8" w:val="clear"/>
    </w:rPr>
  </w:style>
  <w:style w:type="character" w:styleId="WarningTok" w:customStyle="1">
    <w:name w:val="WarningTok"/>
    <w:basedOn w:val="VerbatimChar"/>
    <w:qFormat/>
    <w:rPr>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color w:val="A40000"/>
      <w:shd w:fill="F8F8F8" w:val="clear"/>
    </w:rPr>
  </w:style>
  <w:style w:type="character" w:styleId="NormalTok" w:customStyle="1">
    <w:name w:val="NormalTok"/>
    <w:basedOn w:val="VerbatimChar"/>
    <w:qFormat/>
    <w:rPr>
      <w:shd w:fill="F8F8F8" w:val="clear"/>
    </w:rPr>
  </w:style>
  <w:style w:type="character" w:styleId="ListLabel1">
    <w:name w:val="ListLabel 1"/>
    <w:qFormat/>
    <w:rPr/>
  </w:style>
  <w:style w:type="character" w:styleId="ListLabel2">
    <w:name w:val="ListLabel 2"/>
    <w:qFormat/>
    <w:rPr>
      <w:rFonts w:cs="Symbol"/>
    </w:rPr>
  </w:style>
  <w:style w:type="character" w:styleId="ListLabel3">
    <w:name w:val="ListLabel 3"/>
    <w:qFormat/>
    <w:rPr>
      <w:rFonts w:cs="Symbol"/>
    </w:rPr>
  </w:style>
  <w:style w:type="character" w:styleId="ListLabel4">
    <w:name w:val="ListLabel 4"/>
    <w:qFormat/>
    <w:rPr>
      <w:rFonts w:cs="Symbol"/>
    </w:rPr>
  </w:style>
  <w:style w:type="character" w:styleId="ListLabel5">
    <w:name w:val="ListLabel 5"/>
    <w:qFormat/>
    <w:rPr>
      <w:rFonts w:cs="Symbol"/>
    </w:rPr>
  </w:style>
  <w:style w:type="character" w:styleId="ListLabel6">
    <w:name w:val="ListLabel 6"/>
    <w:qFormat/>
    <w:rPr>
      <w:rFonts w:cs="Symbol"/>
    </w:rPr>
  </w:style>
  <w:style w:type="character" w:styleId="ListLabel7">
    <w:name w:val="ListLabel 7"/>
    <w:qFormat/>
    <w:rPr>
      <w:rFonts w:cs="Symbol"/>
    </w:rPr>
  </w:style>
  <w:style w:type="character" w:styleId="ListLabel8">
    <w:name w:val="ListLabel 8"/>
    <w:qFormat/>
    <w:rPr>
      <w:rFonts w:cs="Symbol"/>
    </w:rPr>
  </w:style>
  <w:style w:type="character" w:styleId="ListLabel9">
    <w:name w:val="ListLabel 9"/>
    <w:qFormat/>
    <w:rPr>
      <w:rFonts w:cs="Symbol"/>
    </w:rPr>
  </w:style>
  <w:style w:type="character" w:styleId="ListLabel10">
    <w:name w:val="ListLabel 10"/>
    <w:qFormat/>
    <w:rPr>
      <w:rFonts w:cs="Symbol"/>
    </w:rPr>
  </w:style>
  <w:style w:type="character" w:styleId="ListLabel11">
    <w:name w:val="ListLabel 11"/>
    <w:qFormat/>
    <w:rPr>
      <w:rFonts w:cs="Symbol"/>
    </w:rPr>
  </w:style>
  <w:style w:type="character" w:styleId="ListLabel12">
    <w:name w:val="ListLabel 12"/>
    <w:qFormat/>
    <w:rPr>
      <w:rFonts w:cs="Symbol"/>
    </w:rPr>
  </w:style>
  <w:style w:type="character" w:styleId="ListLabel13">
    <w:name w:val="ListLabel 13"/>
    <w:qFormat/>
    <w:rPr>
      <w:rFonts w:cs="Symbol"/>
    </w:rPr>
  </w:style>
  <w:style w:type="character" w:styleId="ListLabel14">
    <w:name w:val="ListLabel 14"/>
    <w:qFormat/>
    <w:rPr>
      <w:rFonts w:cs="Symbol"/>
    </w:rPr>
  </w:style>
  <w:style w:type="character" w:styleId="ListLabel15">
    <w:name w:val="ListLabel 15"/>
    <w:qFormat/>
    <w:rPr>
      <w:rFonts w:cs="Symbol"/>
    </w:rPr>
  </w:style>
  <w:style w:type="character" w:styleId="ListLabel16">
    <w:name w:val="ListLabel 16"/>
    <w:qFormat/>
    <w:rPr>
      <w:rFonts w:cs="Symbol"/>
    </w:rPr>
  </w:style>
  <w:style w:type="character" w:styleId="ListLabel17">
    <w:name w:val="ListLabel 17"/>
    <w:qFormat/>
    <w:rPr>
      <w:rFonts w:cs="Symbol"/>
    </w:rPr>
  </w:style>
  <w:style w:type="character" w:styleId="ListLabel18">
    <w:name w:val="ListLabel 18"/>
    <w:qFormat/>
    <w:rPr>
      <w:rFonts w:cs="Symbol"/>
    </w:rPr>
  </w:style>
  <w:style w:type="character" w:styleId="ListLabel19">
    <w:name w:val="ListLabel 19"/>
    <w:qFormat/>
    <w:rPr>
      <w:rFonts w:cs="Symbol"/>
    </w:rPr>
  </w:style>
  <w:style w:type="character" w:styleId="ListLabel20">
    <w:name w:val="ListLabel 20"/>
    <w:qFormat/>
    <w:rPr>
      <w:rFonts w:cs="Symbol"/>
    </w:rPr>
  </w:style>
  <w:style w:type="character" w:styleId="ListLabel21">
    <w:name w:val="ListLabel 21"/>
    <w:qFormat/>
    <w:rPr>
      <w:rFonts w:cs="Symbol"/>
    </w:rPr>
  </w:style>
  <w:style w:type="character" w:styleId="ListLabel22">
    <w:name w:val="ListLabel 22"/>
    <w:qFormat/>
    <w:rPr>
      <w:rFonts w:cs="Symbol"/>
    </w:rPr>
  </w:style>
  <w:style w:type="character" w:styleId="ListLabel23">
    <w:name w:val="ListLabel 23"/>
    <w:qFormat/>
    <w:rPr>
      <w:rFonts w:cs="Symbol"/>
    </w:rPr>
  </w:style>
  <w:style w:type="character" w:styleId="ListLabel24">
    <w:name w:val="ListLabel 24"/>
    <w:qFormat/>
    <w:rPr>
      <w:rFonts w:cs="Symbol"/>
    </w:rPr>
  </w:style>
  <w:style w:type="character" w:styleId="ListLabel25">
    <w:name w:val="ListLabel 25"/>
    <w:qFormat/>
    <w:rPr>
      <w:rFonts w:cs="Symbol"/>
    </w:rPr>
  </w:style>
  <w:style w:type="character" w:styleId="ListLabel26">
    <w:name w:val="ListLabel 26"/>
    <w:qFormat/>
    <w:rPr>
      <w:rFonts w:cs="Symbol"/>
    </w:rPr>
  </w:style>
  <w:style w:type="character" w:styleId="ListLabel27">
    <w:name w:val="ListLabel 27"/>
    <w:qFormat/>
    <w:rPr>
      <w:rFonts w:cs="Symbol"/>
    </w:rPr>
  </w:style>
  <w:style w:type="character" w:styleId="ListLabel28">
    <w:name w:val="ListLabel 28"/>
    <w:qFormat/>
    <w:rPr>
      <w:rFonts w:cs="Symbol"/>
    </w:rPr>
  </w:style>
  <w:style w:type="character" w:styleId="ListLabel29">
    <w:name w:val="ListLabel 29"/>
    <w:qFormat/>
    <w:rPr>
      <w:rFonts w:cs="Symbol"/>
    </w:rPr>
  </w:style>
  <w:style w:type="character" w:styleId="ListLabel30">
    <w:name w:val="ListLabel 30"/>
    <w:qFormat/>
    <w:rPr>
      <w:rFonts w:cs="Symbol"/>
    </w:rPr>
  </w:style>
  <w:style w:type="character" w:styleId="ListLabel31">
    <w:name w:val="ListLabel 31"/>
    <w:qFormat/>
    <w:rPr>
      <w:rFonts w:cs="Symbol"/>
    </w:rPr>
  </w:style>
  <w:style w:type="character" w:styleId="ListLabel32">
    <w:name w:val="ListLabel 32"/>
    <w:qFormat/>
    <w:rPr>
      <w:rFonts w:cs="Symbol"/>
    </w:rPr>
  </w:style>
  <w:style w:type="character" w:styleId="ListLabel33">
    <w:name w:val="ListLabel 33"/>
    <w:qFormat/>
    <w:rPr>
      <w:rFonts w:cs="Symbol"/>
    </w:rPr>
  </w:style>
  <w:style w:type="character" w:styleId="ListLabel34">
    <w:name w:val="ListLabel 34"/>
    <w:qFormat/>
    <w:rPr>
      <w:rFonts w:cs="Symbol"/>
    </w:rPr>
  </w:style>
  <w:style w:type="character" w:styleId="ListLabel35">
    <w:name w:val="ListLabel 35"/>
    <w:qFormat/>
    <w:rPr>
      <w:rFonts w:cs="Symbol"/>
    </w:rPr>
  </w:style>
  <w:style w:type="character" w:styleId="ListLabel36">
    <w:name w:val="ListLabel 36"/>
    <w:qFormat/>
    <w:rPr>
      <w:rFonts w:cs="Symbol"/>
    </w:rPr>
  </w:style>
  <w:style w:type="character" w:styleId="ListLabel37">
    <w:name w:val="ListLabel 37"/>
    <w:qFormat/>
    <w:rPr>
      <w:rFonts w:cs="Symbol"/>
    </w:rPr>
  </w:style>
  <w:style w:type="character" w:styleId="ListLabel38">
    <w:name w:val="ListLabel 38"/>
    <w:qFormat/>
    <w:rPr>
      <w:rFonts w:cs="Symbol"/>
    </w:rPr>
  </w:style>
  <w:style w:type="character" w:styleId="ListLabel39">
    <w:name w:val="ListLabel 39"/>
    <w:qFormat/>
    <w:rPr>
      <w:rFonts w:cs="Symbol"/>
    </w:rPr>
  </w:style>
  <w:style w:type="character" w:styleId="ListLabel40">
    <w:name w:val="ListLabel 40"/>
    <w:qFormat/>
    <w:rPr>
      <w:rFonts w:cs="Symbol"/>
    </w:rPr>
  </w:style>
  <w:style w:type="character" w:styleId="ListLabel41">
    <w:name w:val="ListLabel 41"/>
    <w:qFormat/>
    <w:rPr>
      <w:rFonts w:cs="Symbol"/>
    </w:rPr>
  </w:style>
  <w:style w:type="character" w:styleId="ListLabel42">
    <w:name w:val="ListLabel 42"/>
    <w:qFormat/>
    <w:rPr>
      <w:rFonts w:cs="Symbol"/>
    </w:rPr>
  </w:style>
  <w:style w:type="character" w:styleId="ListLabel43">
    <w:name w:val="ListLabel 43"/>
    <w:qFormat/>
    <w:rPr>
      <w:rFonts w:cs="Symbol"/>
    </w:rPr>
  </w:style>
  <w:style w:type="character" w:styleId="ListLabel44">
    <w:name w:val="ListLabel 44"/>
    <w:qFormat/>
    <w:rPr>
      <w:rFonts w:cs="Symbol"/>
    </w:rPr>
  </w:style>
  <w:style w:type="character" w:styleId="ListLabel45">
    <w:name w:val="ListLabel 45"/>
    <w:qFormat/>
    <w:rPr>
      <w:rFonts w:cs="Symbol"/>
    </w:rPr>
  </w:style>
  <w:style w:type="character" w:styleId="ListLabel46">
    <w:name w:val="ListLabel 46"/>
    <w:qFormat/>
    <w:rPr>
      <w:rFonts w:cs="Symbol"/>
    </w:rPr>
  </w:style>
  <w:style w:type="character" w:styleId="ListLabel47">
    <w:name w:val="ListLabel 47"/>
    <w:qFormat/>
    <w:rPr>
      <w:rFonts w:cs="Symbol"/>
    </w:rPr>
  </w:style>
  <w:style w:type="character" w:styleId="ListLabel48">
    <w:name w:val="ListLabel 48"/>
    <w:qFormat/>
    <w:rPr>
      <w:rFonts w:cs="Symbol"/>
    </w:rPr>
  </w:style>
  <w:style w:type="character" w:styleId="ListLabel49">
    <w:name w:val="ListLabel 49"/>
    <w:qFormat/>
    <w:rPr>
      <w:rFonts w:cs="Symbol"/>
    </w:rPr>
  </w:style>
  <w:style w:type="character" w:styleId="ListLabel50">
    <w:name w:val="ListLabel 50"/>
    <w:qFormat/>
    <w:rPr>
      <w:rFonts w:cs="Symbol"/>
    </w:rPr>
  </w:style>
  <w:style w:type="character" w:styleId="ListLabel51">
    <w:name w:val="ListLabel 51"/>
    <w:qFormat/>
    <w:rPr>
      <w:rFonts w:cs="Symbol"/>
    </w:rPr>
  </w:style>
  <w:style w:type="character" w:styleId="ListLabel52">
    <w:name w:val="ListLabel 52"/>
    <w:qFormat/>
    <w:rPr>
      <w:rFonts w:cs="Symbol"/>
    </w:rPr>
  </w:style>
  <w:style w:type="character" w:styleId="ListLabel53">
    <w:name w:val="ListLabel 53"/>
    <w:qFormat/>
    <w:rPr>
      <w:rFonts w:cs="Symbol"/>
    </w:rPr>
  </w:style>
  <w:style w:type="character" w:styleId="ListLabel54">
    <w:name w:val="ListLabel 54"/>
    <w:qFormat/>
    <w:rPr>
      <w:rFonts w:cs="Symbol"/>
    </w:rPr>
  </w:style>
  <w:style w:type="character" w:styleId="ListLabel55">
    <w:name w:val="ListLabel 55"/>
    <w:qFormat/>
    <w:rPr>
      <w:rFonts w:cs="Symbol"/>
    </w:rPr>
  </w:style>
  <w:style w:type="character" w:styleId="ListLabel56">
    <w:name w:val="ListLabel 56"/>
    <w:qFormat/>
    <w:rPr>
      <w:rFonts w:cs="Symbol"/>
    </w:rPr>
  </w:style>
  <w:style w:type="character" w:styleId="ListLabel57">
    <w:name w:val="ListLabel 57"/>
    <w:qFormat/>
    <w:rPr>
      <w:rFonts w:cs="Symbol"/>
    </w:rPr>
  </w:style>
  <w:style w:type="character" w:styleId="ListLabel58">
    <w:name w:val="ListLabel 58"/>
    <w:qFormat/>
    <w:rPr>
      <w:rFonts w:cs="Symbol"/>
    </w:rPr>
  </w:style>
  <w:style w:type="character" w:styleId="ListLabel59">
    <w:name w:val="ListLabel 59"/>
    <w:qFormat/>
    <w:rPr>
      <w:rFonts w:cs="Symbol"/>
    </w:rPr>
  </w:style>
  <w:style w:type="character" w:styleId="ListLabel60">
    <w:name w:val="ListLabel 60"/>
    <w:qFormat/>
    <w:rPr>
      <w:rFonts w:cs="Symbol"/>
    </w:rPr>
  </w:style>
  <w:style w:type="character" w:styleId="ListLabel61">
    <w:name w:val="ListLabel 61"/>
    <w:qFormat/>
    <w:rPr>
      <w:rFonts w:cs="Symbol"/>
    </w:rPr>
  </w:style>
  <w:style w:type="character" w:styleId="ListLabel62">
    <w:name w:val="ListLabel 62"/>
    <w:qFormat/>
    <w:rPr>
      <w:rFonts w:cs="Symbol"/>
    </w:rPr>
  </w:style>
  <w:style w:type="character" w:styleId="ListLabel63">
    <w:name w:val="ListLabel 63"/>
    <w:qFormat/>
    <w:rPr>
      <w:rFonts w:cs="Symbol"/>
    </w:rPr>
  </w:style>
  <w:style w:type="character" w:styleId="ListLabel64">
    <w:name w:val="ListLabel 64"/>
    <w:qFormat/>
    <w:rPr>
      <w:rFonts w:cs="Symbol"/>
    </w:rPr>
  </w:style>
  <w:style w:type="character" w:styleId="ListLabel65">
    <w:name w:val="ListLabel 65"/>
    <w:qFormat/>
    <w:rPr>
      <w:rFonts w:cs="Symbol"/>
    </w:rPr>
  </w:style>
  <w:style w:type="character" w:styleId="ListLabel66">
    <w:name w:val="ListLabel 66"/>
    <w:qFormat/>
    <w:rPr>
      <w:rFonts w:cs="Symbol"/>
    </w:rPr>
  </w:style>
  <w:style w:type="character" w:styleId="ListLabel67">
    <w:name w:val="ListLabel 67"/>
    <w:qFormat/>
    <w:rPr>
      <w:rFonts w:cs="Symbol"/>
    </w:rPr>
  </w:style>
  <w:style w:type="character" w:styleId="ListLabel68">
    <w:name w:val="ListLabel 68"/>
    <w:qFormat/>
    <w:rPr>
      <w:rFonts w:cs="Symbol"/>
    </w:rPr>
  </w:style>
  <w:style w:type="character" w:styleId="ListLabel69">
    <w:name w:val="ListLabel 69"/>
    <w:qFormat/>
    <w:rPr>
      <w:rFonts w:cs="Symbol"/>
    </w:rPr>
  </w:style>
  <w:style w:type="character" w:styleId="ListLabel70">
    <w:name w:val="ListLabel 70"/>
    <w:qFormat/>
    <w:rPr>
      <w:rFonts w:cs="Symbol"/>
    </w:rPr>
  </w:style>
  <w:style w:type="character" w:styleId="ListLabel71">
    <w:name w:val="ListLabel 71"/>
    <w:qFormat/>
    <w:rPr>
      <w:rFonts w:cs="Symbol"/>
    </w:rPr>
  </w:style>
  <w:style w:type="character" w:styleId="ListLabel72">
    <w:name w:val="ListLabel 72"/>
    <w:qFormat/>
    <w:rPr>
      <w:rFonts w:cs="Symbol"/>
    </w:rPr>
  </w:style>
  <w:style w:type="character" w:styleId="ListLabel73">
    <w:name w:val="ListLabel 73"/>
    <w:qFormat/>
    <w:rPr>
      <w:rFonts w:cs="Symbol"/>
    </w:rPr>
  </w:style>
  <w:style w:type="character" w:styleId="ListLabel74">
    <w:name w:val="ListLabel 74"/>
    <w:qFormat/>
    <w:rPr>
      <w:rFonts w:cs="Symbol"/>
    </w:rPr>
  </w:style>
  <w:style w:type="character" w:styleId="ListLabel75">
    <w:name w:val="ListLabel 75"/>
    <w:qFormat/>
    <w:rPr>
      <w:rFonts w:cs="Symbol"/>
    </w:rPr>
  </w:style>
  <w:style w:type="character" w:styleId="ListLabel76">
    <w:name w:val="ListLabel 76"/>
    <w:qFormat/>
    <w:rPr>
      <w:rFonts w:cs="Symbol"/>
    </w:rPr>
  </w:style>
  <w:style w:type="character" w:styleId="ListLabel77">
    <w:name w:val="ListLabel 77"/>
    <w:qFormat/>
    <w:rPr>
      <w:rFonts w:cs="Symbol"/>
    </w:rPr>
  </w:style>
  <w:style w:type="character" w:styleId="ListLabel78">
    <w:name w:val="ListLabel 78"/>
    <w:qFormat/>
    <w:rPr>
      <w:rFonts w:cs="Symbol"/>
    </w:rPr>
  </w:style>
  <w:style w:type="character" w:styleId="ListLabel79">
    <w:name w:val="ListLabel 79"/>
    <w:qFormat/>
    <w:rPr>
      <w:rFonts w:cs="Symbol"/>
    </w:rPr>
  </w:style>
  <w:style w:type="character" w:styleId="ListLabel80">
    <w:name w:val="ListLabel 80"/>
    <w:qFormat/>
    <w:rPr>
      <w:rFonts w:cs="Symbol"/>
    </w:rPr>
  </w:style>
  <w:style w:type="character" w:styleId="ListLabel81">
    <w:name w:val="ListLabel 81"/>
    <w:qFormat/>
    <w:rPr>
      <w:rFonts w:cs="Symbol"/>
    </w:rPr>
  </w:style>
  <w:style w:type="character" w:styleId="ListLabel82">
    <w:name w:val="ListLabel 82"/>
    <w:qFormat/>
    <w:rPr>
      <w:rFonts w:cs="Symbol"/>
    </w:rPr>
  </w:style>
  <w:style w:type="character" w:styleId="ListLabel83">
    <w:name w:val="ListLabel 83"/>
    <w:qFormat/>
    <w:rPr>
      <w:rFonts w:cs="Symbol"/>
    </w:rPr>
  </w:style>
  <w:style w:type="character" w:styleId="ListLabel84">
    <w:name w:val="ListLabel 84"/>
    <w:qFormat/>
    <w:rPr>
      <w:rFonts w:cs="Symbol"/>
    </w:rPr>
  </w:style>
  <w:style w:type="character" w:styleId="ListLabel85">
    <w:name w:val="ListLabel 85"/>
    <w:qFormat/>
    <w:rPr>
      <w:rFonts w:cs="Symbol"/>
    </w:rPr>
  </w:style>
  <w:style w:type="character" w:styleId="ListLabel86">
    <w:name w:val="ListLabel 86"/>
    <w:qFormat/>
    <w:rPr>
      <w:rFonts w:cs="Symbol"/>
    </w:rPr>
  </w:style>
  <w:style w:type="character" w:styleId="ListLabel87">
    <w:name w:val="ListLabel 87"/>
    <w:qFormat/>
    <w:rPr>
      <w:rFonts w:cs="Symbol"/>
    </w:rPr>
  </w:style>
  <w:style w:type="character" w:styleId="ListLabel88">
    <w:name w:val="ListLabel 88"/>
    <w:qFormat/>
    <w:rPr>
      <w:rFonts w:cs="Symbol"/>
    </w:rPr>
  </w:style>
  <w:style w:type="character" w:styleId="ListLabel89">
    <w:name w:val="ListLabel 89"/>
    <w:qFormat/>
    <w:rPr>
      <w:rFonts w:cs="Symbol"/>
    </w:rPr>
  </w:style>
  <w:style w:type="character" w:styleId="ListLabel90">
    <w:name w:val="ListLabel 90"/>
    <w:qFormat/>
    <w:rPr>
      <w:rFonts w:cs="Symbol"/>
    </w:rPr>
  </w:style>
  <w:style w:type="character" w:styleId="ListLabel91">
    <w:name w:val="ListLabel 91"/>
    <w:qFormat/>
    <w:rPr>
      <w:rFonts w:cs="Symbol"/>
    </w:rPr>
  </w:style>
  <w:style w:type="character" w:styleId="ListLabel92">
    <w:name w:val="ListLabel 92"/>
    <w:qFormat/>
    <w:rPr>
      <w:rFonts w:cs="Symbol"/>
    </w:rPr>
  </w:style>
  <w:style w:type="character" w:styleId="ListLabel93">
    <w:name w:val="ListLabel 93"/>
    <w:qFormat/>
    <w:rPr>
      <w:rFonts w:cs="Symbol"/>
    </w:rPr>
  </w:style>
  <w:style w:type="character" w:styleId="ListLabel94">
    <w:name w:val="ListLabel 94"/>
    <w:qFormat/>
    <w:rPr>
      <w:rFonts w:cs="Symbol"/>
    </w:rPr>
  </w:style>
  <w:style w:type="character" w:styleId="ListLabel95">
    <w:name w:val="ListLabel 95"/>
    <w:qFormat/>
    <w:rPr>
      <w:rFonts w:cs="Symbol"/>
    </w:rPr>
  </w:style>
  <w:style w:type="character" w:styleId="ListLabel96">
    <w:name w:val="ListLabel 96"/>
    <w:qFormat/>
    <w:rPr>
      <w:rFonts w:cs="Symbol"/>
    </w:rPr>
  </w:style>
  <w:style w:type="character" w:styleId="ListLabel97">
    <w:name w:val="ListLabel 97"/>
    <w:qFormat/>
    <w:rPr>
      <w:rFonts w:cs="Symbol"/>
    </w:rPr>
  </w:style>
  <w:style w:type="character" w:styleId="ListLabel98">
    <w:name w:val="ListLabel 98"/>
    <w:qFormat/>
    <w:rPr>
      <w:rFonts w:cs="Symbol"/>
    </w:rPr>
  </w:style>
  <w:style w:type="character" w:styleId="ListLabel99">
    <w:name w:val="ListLabel 99"/>
    <w:qFormat/>
    <w:rPr>
      <w:rFonts w:cs="Symbol"/>
    </w:rPr>
  </w:style>
  <w:style w:type="character" w:styleId="ListLabel100">
    <w:name w:val="ListLabel 100"/>
    <w:qFormat/>
    <w:rPr>
      <w:rFonts w:cs="Symbol"/>
    </w:rPr>
  </w:style>
  <w:style w:type="character" w:styleId="ListLabel101">
    <w:name w:val="ListLabel 101"/>
    <w:qFormat/>
    <w:rPr>
      <w:rFonts w:cs="Symbol"/>
    </w:rPr>
  </w:style>
  <w:style w:type="character" w:styleId="ListLabel102">
    <w:name w:val="ListLabel 102"/>
    <w:qFormat/>
    <w:rPr>
      <w:rFonts w:cs="Symbol"/>
    </w:rPr>
  </w:style>
  <w:style w:type="character" w:styleId="ListLabel103">
    <w:name w:val="ListLabel 103"/>
    <w:qFormat/>
    <w:rPr>
      <w:rFonts w:cs="Symbol"/>
    </w:rPr>
  </w:style>
  <w:style w:type="character" w:styleId="ListLabel104">
    <w:name w:val="ListLabel 104"/>
    <w:qFormat/>
    <w:rPr>
      <w:rFonts w:cs="Symbol"/>
    </w:rPr>
  </w:style>
  <w:style w:type="character" w:styleId="ListLabel105">
    <w:name w:val="ListLabel 105"/>
    <w:qFormat/>
    <w:rPr>
      <w:rFonts w:cs="Symbol"/>
    </w:rPr>
  </w:style>
  <w:style w:type="character" w:styleId="ListLabel106">
    <w:name w:val="ListLabel 106"/>
    <w:qFormat/>
    <w:rPr>
      <w:rFonts w:cs="Symbol"/>
    </w:rPr>
  </w:style>
  <w:style w:type="character" w:styleId="ListLabel107">
    <w:name w:val="ListLabel 107"/>
    <w:qFormat/>
    <w:rPr>
      <w:rFonts w:cs="Symbol"/>
    </w:rPr>
  </w:style>
  <w:style w:type="character" w:styleId="ListLabel108">
    <w:name w:val="ListLabel 108"/>
    <w:qFormat/>
    <w:rPr>
      <w:rFonts w:cs="Symbol"/>
    </w:rPr>
  </w:style>
  <w:style w:type="character" w:styleId="ListLabel109">
    <w:name w:val="ListLabel 109"/>
    <w:qFormat/>
    <w:rPr>
      <w:rFonts w:cs="Symbol"/>
    </w:rPr>
  </w:style>
  <w:style w:type="character" w:styleId="ListLabel110">
    <w:name w:val="ListLabel 110"/>
    <w:qFormat/>
    <w:rPr>
      <w:rFonts w:cs="Symbol"/>
    </w:rPr>
  </w:style>
  <w:style w:type="character" w:styleId="ListLabel111">
    <w:name w:val="ListLabel 111"/>
    <w:qFormat/>
    <w:rPr>
      <w:rFonts w:cs="Symbol"/>
    </w:rPr>
  </w:style>
  <w:style w:type="character" w:styleId="ListLabel112">
    <w:name w:val="ListLabel 112"/>
    <w:qFormat/>
    <w:rPr>
      <w:rFonts w:cs="Symbol"/>
    </w:rPr>
  </w:style>
  <w:style w:type="character" w:styleId="ListLabel113">
    <w:name w:val="ListLabel 113"/>
    <w:qFormat/>
    <w:rPr>
      <w:rFonts w:cs="Symbol"/>
    </w:rPr>
  </w:style>
  <w:style w:type="character" w:styleId="ListLabel114">
    <w:name w:val="ListLabel 114"/>
    <w:qFormat/>
    <w:rPr>
      <w:rFonts w:cs="Symbol"/>
    </w:rPr>
  </w:style>
  <w:style w:type="character" w:styleId="ListLabel115">
    <w:name w:val="ListLabel 115"/>
    <w:qFormat/>
    <w:rPr>
      <w:rFonts w:cs="Symbol"/>
    </w:rPr>
  </w:style>
  <w:style w:type="character" w:styleId="ListLabel116">
    <w:name w:val="ListLabel 116"/>
    <w:qFormat/>
    <w:rPr>
      <w:rFonts w:cs="Symbol"/>
    </w:rPr>
  </w:style>
  <w:style w:type="character" w:styleId="ListLabel117">
    <w:name w:val="ListLabel 117"/>
    <w:qFormat/>
    <w:rPr>
      <w:rFonts w:cs="Symbol"/>
    </w:rPr>
  </w:style>
  <w:style w:type="character" w:styleId="ListLabel118">
    <w:name w:val="ListLabel 118"/>
    <w:qFormat/>
    <w:rPr>
      <w:rFonts w:cs="Symbol"/>
    </w:rPr>
  </w:style>
  <w:style w:type="character" w:styleId="ListLabel119">
    <w:name w:val="ListLabel 119"/>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rFonts w:ascii="arial" w:hAnsi="arial"/>
      <w:sz w:val="24"/>
      <w:szCs w:val="24"/>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qFormat/>
    <w:pPr>
      <w:jc w:val="both"/>
    </w:pPr>
    <w:rPr>
      <w:rFonts w:ascii="arial" w:hAnsi="arial"/>
      <w:b w:val="false"/>
      <w:bCs w:val="false"/>
      <w:sz w:val="24"/>
      <w:szCs w:val="24"/>
    </w:rPr>
  </w:style>
  <w:style w:type="paragraph" w:styleId="Compact" w:customStyle="1">
    <w:name w:val="Compact"/>
    <w:basedOn w:val="TextBody"/>
    <w:qFormat/>
    <w:pPr>
      <w:spacing w:before="36" w:after="36"/>
    </w:pPr>
    <w:rPr/>
  </w:style>
  <w:style w:type="paragraph" w:styleId="Title">
    <w:name w:val="Title"/>
    <w:basedOn w:val="Normal"/>
    <w:qFormat/>
    <w:pPr>
      <w:keepNext w:val="true"/>
      <w:keepLines/>
      <w:spacing w:before="480" w:after="240"/>
      <w:jc w:val="center"/>
    </w:pPr>
    <w:rPr>
      <w:rFonts w:ascii="arial" w:hAnsi="arial" w:eastAsia="" w:cs="" w:cstheme="majorBidi" w:eastAsiaTheme="majorEastAsia"/>
      <w:b/>
      <w:bCs/>
      <w:color w:val="000000" w:themeShade="b5"/>
      <w:sz w:val="30"/>
      <w:szCs w:val="30"/>
    </w:rPr>
  </w:style>
  <w:style w:type="paragraph" w:styleId="Subtitle">
    <w:name w:val="Subtitle"/>
    <w:basedOn w:val="Title"/>
    <w:qFormat/>
    <w:pPr>
      <w:keepNext w:val="true"/>
      <w:keepLines/>
      <w:spacing w:before="240" w:after="240"/>
      <w:jc w:val="center"/>
    </w:pPr>
    <w:rPr>
      <w:sz w:val="30"/>
      <w:szCs w:val="30"/>
    </w:rPr>
  </w:style>
  <w:style w:type="paragraph" w:styleId="Author" w:customStyle="1">
    <w:name w:val="Author"/>
    <w:qFormat/>
    <w:pPr>
      <w:keepNext w:val="true"/>
      <w:keepLines/>
      <w:widowControl/>
      <w:bidi w:val="0"/>
      <w:jc w:val="center"/>
    </w:pPr>
    <w:rPr>
      <w:rFonts w:ascii="arial" w:hAnsi="arial" w:eastAsia="Cambria" w:cs="" w:cstheme="minorBidi" w:eastAsiaTheme="minorHAnsi"/>
      <w:b/>
      <w:bCs/>
      <w:color w:val="auto"/>
      <w:kern w:val="0"/>
      <w:sz w:val="24"/>
      <w:szCs w:val="24"/>
      <w:lang w:val="en-US" w:eastAsia="en-US" w:bidi="ar-SA"/>
    </w:rPr>
  </w:style>
  <w:style w:type="paragraph" w:styleId="Date">
    <w:name w:val="Date"/>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qFormat/>
    <w:pPr>
      <w:keepNext w:val="true"/>
      <w:keepLines/>
      <w:spacing w:before="300" w:after="300"/>
    </w:pPr>
    <w:rPr>
      <w:sz w:val="20"/>
      <w:szCs w:val="20"/>
    </w:rPr>
  </w:style>
  <w:style w:type="paragraph" w:styleId="Bibliography">
    <w:name w:val="Bibliography"/>
    <w:basedOn w:val="Normal"/>
    <w:qFormat/>
    <w:pPr>
      <w:jc w:val="both"/>
    </w:pPr>
    <w:rPr>
      <w:rFonts w:ascii="arial" w:hAnsi="arial"/>
      <w:sz w:val="24"/>
      <w:szCs w:val="24"/>
    </w:rPr>
  </w:style>
  <w:style w:type="paragraph" w:styleId="BlockText">
    <w:name w:val="Block Text"/>
    <w:basedOn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Heading1"/>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9" Target="http://www.scielo.br/scielo.php?script=sci_arttext&amp;pid=S0101-41612011000300004&amp;nrm=iso" TargetMode="External" /><Relationship Type="http://schemas.openxmlformats.org/officeDocument/2006/relationships/hyperlink" Id="rId135" Target="https://doi.org/10.1111/padr.12273" TargetMode="External" /><Relationship Type="http://schemas.openxmlformats.org/officeDocument/2006/relationships/hyperlink" Id="rId150" Target="https://doi.org/10.4054/DemRes.2014.30.53" TargetMode="External" /><Relationship Type="http://schemas.openxmlformats.org/officeDocument/2006/relationships/hyperlink" Id="rId99" Target="https://doi.org/https://doi.org/10.1016/j.worlddev.2012.09.013" TargetMode="External" /><Relationship Type="http://schemas.openxmlformats.org/officeDocument/2006/relationships/hyperlink" Id="rId91" Target="https://doi.org/https://doi.org/10.25222/larr.42" TargetMode="External" /><Relationship Type="http://schemas.openxmlformats.org/officeDocument/2006/relationships/hyperlink" Id="rId60" Target="https://www.census.gov/library/publications/1993/demo/p23-186.html" TargetMode="External" /><Relationship Type="http://schemas.openxmlformats.org/officeDocument/2006/relationships/hyperlink" Id="rId23" Target="mailto:wood_carvalho1988;@barros_mendonca1995" TargetMode="External" /></Relationships>
</file>

<file path=word/_rels/footnotes.xml.rels><?xml version="1.0" encoding="UTF-8"?>
<Relationships xmlns="http://schemas.openxmlformats.org/package/2006/relationships"><Relationship Type="http://schemas.openxmlformats.org/officeDocument/2006/relationships/hyperlink" Id="rId89" Target="http://www.scielo.br/scielo.php?script=sci_arttext&amp;pid=S0101-41612011000300004&amp;nrm=iso" TargetMode="External" /><Relationship Type="http://schemas.openxmlformats.org/officeDocument/2006/relationships/hyperlink" Id="rId135" Target="https://doi.org/10.1111/padr.12273" TargetMode="External" /><Relationship Type="http://schemas.openxmlformats.org/officeDocument/2006/relationships/hyperlink" Id="rId150" Target="https://doi.org/10.4054/DemRes.2014.30.53" TargetMode="External" /><Relationship Type="http://schemas.openxmlformats.org/officeDocument/2006/relationships/hyperlink" Id="rId99" Target="https://doi.org/https://doi.org/10.1016/j.worlddev.2012.09.013" TargetMode="External" /><Relationship Type="http://schemas.openxmlformats.org/officeDocument/2006/relationships/hyperlink" Id="rId91" Target="https://doi.org/https://doi.org/10.25222/larr.42" TargetMode="External" /><Relationship Type="http://schemas.openxmlformats.org/officeDocument/2006/relationships/hyperlink" Id="rId60" Target="https://www.census.gov/library/publications/1993/demo/p23-186.html" TargetMode="External" /><Relationship Type="http://schemas.openxmlformats.org/officeDocument/2006/relationships/hyperlink" Id="rId23" Target="mailto:wood_carvalho1988;@barros_mendonca1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LibreOffice/6.0.7.3$Linux_X86_64 LibreOffice_project/00m0$Build-3</Application>
  <Pages>1</Pages>
  <Words>173</Words>
  <Characters>1189</Characters>
  <CharactersWithSpaces>1343</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Pairings and Fertility Decline in Brazil: An Analysis Through Cohort Fertility</dc:title>
  <dc:creator/>
  <cp:keywords/>
  <dcterms:created xsi:type="dcterms:W3CDTF">2020-07-09T21:33:40Z</dcterms:created>
  <dcterms:modified xsi:type="dcterms:W3CDTF">2020-07-09T21:33:40Z</dcterms:modified>
</cp:coreProperties>
</file>