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480" w:after="240"/>
        <w:rPr/>
      </w:pPr>
      <w:r>
        <w:rPr/>
        <w:t>EXAMPLE</w:t>
      </w:r>
    </w:p>
    <w:p>
      <w:pPr>
        <w:pStyle w:val="Author"/>
        <w:rPr/>
      </w:pPr>
      <w:r>
        <w:rPr/>
        <w:t>IPC-IG</w:t>
      </w:r>
    </w:p>
    <w:p>
      <w:pPr>
        <w:pStyle w:val="Author"/>
        <w:rPr/>
      </w:pPr>
      <w:r>
        <w:rPr/>
        <w:t>June, 2020</w:t>
      </w:r>
    </w:p>
    <w:p>
      <w:pPr>
        <w:pStyle w:val="Heading1"/>
        <w:rPr/>
      </w:pPr>
      <w:bookmarkStart w:id="0" w:name="impact-evaluation-methodology-background"/>
      <w:bookmarkEnd w:id="0"/>
      <w:r>
        <w:rPr/>
        <w:t>Head 1</w:t>
      </w:r>
    </w:p>
    <w:p>
      <w:pPr>
        <w:pStyle w:val="FirstParagraph"/>
        <w:rPr/>
      </w:pPr>
      <w:r>
        <w:rPr/>
        <w:t>First par.</w:t>
      </w:r>
    </w:p>
    <w:p>
      <w:pPr>
        <w:pStyle w:val="TextBody"/>
        <w:rPr/>
      </w:pPr>
      <w:r>
        <w:rPr/>
        <w:t>Text Body.</w:t>
      </w:r>
    </w:p>
    <w:p>
      <w:pPr>
        <w:pStyle w:val="Heading2"/>
        <w:rPr/>
      </w:pPr>
      <w:bookmarkStart w:id="1" w:name="propensity-score-methods-for-multiple-tr"/>
      <w:bookmarkEnd w:id="1"/>
      <w:r>
        <w:rPr/>
        <w:t>Head 2</w:t>
      </w:r>
    </w:p>
    <w:p>
      <w:pPr>
        <w:pStyle w:val="Heading3"/>
        <w:rPr>
          <w:rFonts w:ascii="arial" w:hAnsi="arial"/>
          <w:sz w:val="24"/>
          <w:szCs w:val="24"/>
        </w:rPr>
      </w:pPr>
      <w:r>
        <w:rPr>
          <w:rFonts w:ascii="arial" w:hAnsi="arial"/>
          <w:i w:val="false"/>
          <w:iCs w:val="false"/>
          <w:color w:val="000000"/>
          <w:sz w:val="24"/>
          <w:szCs w:val="24"/>
        </w:rPr>
        <w:t>Head 3</w:t>
      </w:r>
    </w:p>
    <w:p>
      <w:pPr>
        <w:pStyle w:val="Heading1"/>
        <w:rPr/>
      </w:pPr>
      <w:bookmarkStart w:id="2" w:name="references"/>
      <w:r>
        <w:rPr/>
        <w:t>References</w:t>
      </w:r>
      <w:bookmarkEnd w:id="2"/>
    </w:p>
    <w:p>
      <w:pPr>
        <w:pStyle w:val="Bibliography"/>
        <w:rPr/>
      </w:pPr>
      <w:r>
        <w:rPr/>
        <w:t xml:space="preserve">Agresti, Alan. 2002. </w:t>
      </w:r>
      <w:r>
        <w:rPr>
          <w:i/>
        </w:rPr>
        <w:t>Categorical Data Analysis</w:t>
      </w:r>
      <w:r>
        <w:rPr/>
        <w:t>. 2nd ed. Wiley Series in Probability and Statistics. John Wiley &amp; Sons.</w:t>
      </w:r>
      <w:bookmarkStart w:id="3" w:name="ref-agresti2002"/>
      <w:bookmarkEnd w:id="3"/>
    </w:p>
    <w:p>
      <w:pPr>
        <w:pStyle w:val="Bibliography"/>
        <w:rPr/>
      </w:pPr>
      <w:r>
        <w:rPr>
          <w:sz w:val="24"/>
          <w:szCs w:val="24"/>
        </w:rPr>
        <w:t xml:space="preserve">Austin, Peter C. 2011. “An Introduction to Propensity Score Methods for Reducing the Effects of Confounding in Observational Studies.” </w:t>
      </w:r>
      <w:r>
        <w:rPr>
          <w:i/>
          <w:sz w:val="24"/>
          <w:szCs w:val="24"/>
        </w:rPr>
        <w:t>Multivariate Behavioral Research</w:t>
      </w:r>
      <w:r>
        <w:rPr>
          <w:sz w:val="24"/>
          <w:szCs w:val="24"/>
        </w:rPr>
        <w:t xml:space="preserve"> 46 (3): 399–424. </w:t>
      </w:r>
      <w:hyperlink r:id="rId2">
        <w:r>
          <w:rPr>
            <w:rStyle w:val="InternetLink"/>
            <w:sz w:val="24"/>
            <w:szCs w:val="24"/>
          </w:rPr>
          <w:t>https://doi.org/10.1080/00273171.2011.568786</w:t>
        </w:r>
      </w:hyperlink>
      <w:r>
        <w:rPr>
          <w:sz w:val="24"/>
          <w:szCs w:val="24"/>
        </w:rPr>
        <w:t>.</w:t>
      </w:r>
    </w:p>
    <w:p>
      <w:pPr>
        <w:pStyle w:val="Bibliography"/>
        <w:rPr/>
      </w:pPr>
      <w:r>
        <w:rPr>
          <w:sz w:val="24"/>
          <w:szCs w:val="24"/>
        </w:rPr>
        <w:t xml:space="preserve">Gertler, Paul J., Sebastian Martinez, Patrick Premand, Laura B. Rawlings, and Christel M. J. Vermeersch. 2016. </w:t>
      </w:r>
      <w:r>
        <w:rPr>
          <w:i/>
          <w:sz w:val="24"/>
          <w:szCs w:val="24"/>
        </w:rPr>
        <w:t>Impact Evaluation in Practice</w:t>
      </w:r>
      <w:r>
        <w:rPr>
          <w:sz w:val="24"/>
          <w:szCs w:val="24"/>
        </w:rPr>
        <w:t xml:space="preserve">. 2nd ed. Wiley Series in Probability and Statistics. Washington, DC: Inter-American Development Bank and World Bank. </w:t>
      </w:r>
      <w:hyperlink r:id="rId3">
        <w:r>
          <w:rPr>
            <w:rStyle w:val="InternetLink"/>
            <w:sz w:val="24"/>
            <w:szCs w:val="24"/>
          </w:rPr>
          <w:t>https://openknowledge.worldbank.org/handle/10986/25030</w:t>
        </w:r>
      </w:hyperlink>
      <w:r>
        <w:rPr>
          <w:sz w:val="24"/>
          <w:szCs w:val="24"/>
        </w:rPr>
        <w:t>.</w:t>
      </w:r>
    </w:p>
    <w:p>
      <w:pPr>
        <w:pStyle w:val="Bibliography"/>
        <w:rPr/>
      </w:pPr>
      <w:r>
        <w:rPr>
          <w:sz w:val="24"/>
          <w:szCs w:val="24"/>
        </w:rPr>
        <w:t xml:space="preserve">Hirano, Keisuke, and Guido W. Imbens. 2005. “The Propensity Score with Continuous Treatments.” In </w:t>
      </w:r>
      <w:r>
        <w:rPr>
          <w:i/>
          <w:sz w:val="24"/>
          <w:szCs w:val="24"/>
        </w:rPr>
        <w:t>Applied Bayesian Modeling and Causal Inference from Incomplete‐Data Perspectives</w:t>
      </w:r>
      <w:r>
        <w:rPr>
          <w:sz w:val="24"/>
          <w:szCs w:val="24"/>
        </w:rPr>
        <w:t xml:space="preserve">, 73–84. John Wiley &amp; Sons, Ltd. </w:t>
      </w:r>
      <w:hyperlink r:id="rId4">
        <w:r>
          <w:rPr>
            <w:rStyle w:val="InternetLink"/>
            <w:sz w:val="24"/>
            <w:szCs w:val="24"/>
          </w:rPr>
          <w:t>https://doi.org/10.1002/0470090456.ch7</w:t>
        </w:r>
      </w:hyperlink>
      <w:r>
        <w:rPr>
          <w:sz w:val="24"/>
          <w:szCs w:val="24"/>
        </w:rPr>
        <w:t>.</w:t>
      </w:r>
    </w:p>
    <w:p>
      <w:pPr>
        <w:pStyle w:val="Bibliography"/>
        <w:rPr/>
      </w:pPr>
      <w:r>
        <w:rPr>
          <w:sz w:val="24"/>
          <w:szCs w:val="24"/>
        </w:rPr>
        <w:t xml:space="preserve">Imai, Kosuke, and David A van Dyk. 2004. “Causal Inference with General Treatment Regimes.” </w:t>
      </w:r>
      <w:r>
        <w:rPr>
          <w:i/>
          <w:sz w:val="24"/>
          <w:szCs w:val="24"/>
        </w:rPr>
        <w:t>Journal of the American Statistical Association</w:t>
      </w:r>
      <w:r>
        <w:rPr>
          <w:sz w:val="24"/>
          <w:szCs w:val="24"/>
        </w:rPr>
        <w:t xml:space="preserve"> 99 (467): 854–66. </w:t>
      </w:r>
      <w:hyperlink r:id="rId5">
        <w:r>
          <w:rPr>
            <w:rStyle w:val="InternetLink"/>
            <w:sz w:val="24"/>
            <w:szCs w:val="24"/>
          </w:rPr>
          <w:t>https://doi.org/10.1198/016214504000001187</w:t>
        </w:r>
      </w:hyperlink>
      <w:r>
        <w:rPr>
          <w:sz w:val="24"/>
          <w:szCs w:val="24"/>
        </w:rPr>
        <w:t>.</w:t>
      </w:r>
    </w:p>
    <w:p>
      <w:pPr>
        <w:pStyle w:val="Bibliography"/>
        <w:rPr/>
      </w:pPr>
      <w:r>
        <w:rPr>
          <w:sz w:val="24"/>
          <w:szCs w:val="24"/>
        </w:rPr>
        <w:t xml:space="preserve">Imbens, Guido W. 2000. “The Role of the Propensity Score in Estimating Dose-Response Functions.” </w:t>
      </w:r>
      <w:r>
        <w:rPr>
          <w:i/>
          <w:sz w:val="24"/>
          <w:szCs w:val="24"/>
        </w:rPr>
        <w:t>Biometrika</w:t>
      </w:r>
      <w:r>
        <w:rPr>
          <w:sz w:val="24"/>
          <w:szCs w:val="24"/>
        </w:rPr>
        <w:t xml:space="preserve"> 87 (3): 706–10. </w:t>
      </w:r>
      <w:hyperlink r:id="rId6">
        <w:r>
          <w:rPr>
            <w:rStyle w:val="InternetLink"/>
            <w:sz w:val="24"/>
            <w:szCs w:val="24"/>
          </w:rPr>
          <w:t>http://www.jstor.org/stable/2673642</w:t>
        </w:r>
      </w:hyperlink>
      <w:r>
        <w:rPr>
          <w:sz w:val="24"/>
          <w:szCs w:val="24"/>
        </w:rPr>
        <w:t>.</w:t>
      </w:r>
    </w:p>
    <w:p>
      <w:pPr>
        <w:pStyle w:val="Bibliography"/>
        <w:spacing w:before="0" w:after="20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default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arial" w:hAnsi="arial" w:eastAsia="" w:cs="" w:cstheme="majorBidi" w:eastAsiaTheme="majorEastAsia"/>
      <w:b/>
      <w:bCs/>
      <w:color w:val="000000" w:themeShade="b5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rial" w:hAnsi="arial" w:eastAsia="" w:cs="" w:cstheme="majorBidi" w:eastAsiaTheme="majorEastAsia"/>
      <w:b/>
      <w:bCs/>
      <w:color w:val="000000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Internet 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ListLabel1">
    <w:name w:val="ListLabel 1"/>
    <w:qFormat/>
    <w:rPr/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Symbol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Symbol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Symbol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Symbol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Symbol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Symbol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Symbol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Symbol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Symbol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Symbol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Symbol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Symbol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Symbol"/>
    </w:rPr>
  </w:style>
  <w:style w:type="character" w:styleId="ListLabel69">
    <w:name w:val="ListLabel 69"/>
    <w:qFormat/>
    <w:rPr>
      <w:rFonts w:cs="Symbol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Symbol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Symbol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Symbol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Symbol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Symbol"/>
    </w:rPr>
  </w:style>
  <w:style w:type="character" w:styleId="ListLabel85">
    <w:name w:val="ListLabel 85"/>
    <w:qFormat/>
    <w:rPr>
      <w:rFonts w:cs="Symbol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Symbol"/>
    </w:rPr>
  </w:style>
  <w:style w:type="character" w:styleId="ListLabel88">
    <w:name w:val="ListLabel 88"/>
    <w:qFormat/>
    <w:rPr>
      <w:rFonts w:cs="Symbol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Symbol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Symbol"/>
    </w:rPr>
  </w:style>
  <w:style w:type="character" w:styleId="ListLabel94">
    <w:name w:val="ListLabel 94"/>
    <w:qFormat/>
    <w:rPr>
      <w:rFonts w:cs="Symbol"/>
    </w:rPr>
  </w:style>
  <w:style w:type="character" w:styleId="ListLabel95">
    <w:name w:val="ListLabel 95"/>
    <w:qFormat/>
    <w:rPr>
      <w:rFonts w:cs="Symbol"/>
    </w:rPr>
  </w:style>
  <w:style w:type="character" w:styleId="ListLabel96">
    <w:name w:val="ListLabel 96"/>
    <w:qFormat/>
    <w:rPr>
      <w:rFonts w:cs="Symbol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Symbol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Symbol"/>
    </w:rPr>
  </w:style>
  <w:style w:type="character" w:styleId="ListLabel103">
    <w:name w:val="ListLabel 103"/>
    <w:qFormat/>
    <w:rPr>
      <w:rFonts w:cs="Symbol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Symbol"/>
    </w:rPr>
  </w:style>
  <w:style w:type="character" w:styleId="ListLabel106">
    <w:name w:val="ListLabel 106"/>
    <w:qFormat/>
    <w:rPr>
      <w:rFonts w:cs="Symbol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Symbol"/>
    </w:rPr>
  </w:style>
  <w:style w:type="character" w:styleId="ListLabel109">
    <w:name w:val="ListLabel 109"/>
    <w:qFormat/>
    <w:rPr>
      <w:rFonts w:cs="Symbol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Symbol"/>
    </w:rPr>
  </w:style>
  <w:style w:type="character" w:styleId="ListLabel112">
    <w:name w:val="ListLabel 112"/>
    <w:qFormat/>
    <w:rPr>
      <w:rFonts w:cs="Symbol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Symbol"/>
    </w:rPr>
  </w:style>
  <w:style w:type="character" w:styleId="ListLabel115">
    <w:name w:val="ListLabel 115"/>
    <w:qFormat/>
    <w:rPr>
      <w:rFonts w:cs="Symbol"/>
    </w:rPr>
  </w:style>
  <w:style w:type="character" w:styleId="ListLabel116">
    <w:name w:val="ListLabel 116"/>
    <w:qFormat/>
    <w:rPr>
      <w:rFonts w:cs="Symbol"/>
    </w:rPr>
  </w:style>
  <w:style w:type="character" w:styleId="ListLabel117">
    <w:name w:val="ListLabel 117"/>
    <w:qFormat/>
    <w:rPr>
      <w:rFonts w:cs="Symbol"/>
    </w:rPr>
  </w:style>
  <w:style w:type="character" w:styleId="ListLabel118">
    <w:name w:val="ListLabel 118"/>
    <w:qFormat/>
    <w:rPr>
      <w:rFonts w:cs="Symbol"/>
    </w:rPr>
  </w:style>
  <w:style w:type="character" w:styleId="ListLabel119">
    <w:name w:val="ListLabel 119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>
      <w:rFonts w:ascii="arial" w:hAnsi="arial"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qFormat/>
    <w:pPr>
      <w:jc w:val="both"/>
    </w:pPr>
    <w:rPr>
      <w:rFonts w:ascii="arial" w:hAnsi="arial"/>
      <w:b w:val="false"/>
      <w:bCs w:val="false"/>
      <w:sz w:val="24"/>
      <w:szCs w:val="24"/>
    </w:rPr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qFormat/>
    <w:pPr>
      <w:keepNext w:val="true"/>
      <w:keepLines/>
      <w:spacing w:before="480" w:after="240"/>
      <w:jc w:val="center"/>
    </w:pPr>
    <w:rPr>
      <w:rFonts w:ascii="arial" w:hAnsi="arial" w:eastAsia="" w:cs="" w:cstheme="majorBidi" w:eastAsiaTheme="majorEastAsia"/>
      <w:b/>
      <w:bCs/>
      <w:color w:val="000000" w:themeShade="b5"/>
      <w:sz w:val="30"/>
      <w:szCs w:val="30"/>
    </w:rPr>
  </w:style>
  <w:style w:type="paragraph" w:styleId="Subtitle">
    <w:name w:val="Subtitle"/>
    <w:basedOn w:val="Title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qFormat/>
    <w:pPr>
      <w:keepNext w:val="true"/>
      <w:keepLines/>
      <w:widowControl/>
      <w:bidi w:val="0"/>
      <w:jc w:val="center"/>
    </w:pPr>
    <w:rPr>
      <w:rFonts w:ascii="arial" w:hAnsi="arial" w:eastAsia="Cambria" w:cs="" w:cstheme="minorBidi" w:eastAsiaTheme="minorHAnsi"/>
      <w:b/>
      <w:bCs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jc w:val="both"/>
    </w:pPr>
    <w:rPr>
      <w:rFonts w:ascii="arial" w:hAnsi="arial"/>
      <w:sz w:val="24"/>
      <w:szCs w:val="24"/>
    </w:rPr>
  </w:style>
  <w:style w:type="paragraph" w:styleId="BlockText">
    <w:name w:val="Block Text"/>
    <w:basedOn w:val="TextBody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80/00273171.2011.568786" TargetMode="External"/><Relationship Id="rId3" Type="http://schemas.openxmlformats.org/officeDocument/2006/relationships/hyperlink" Target="https://openknowledge.worldbank.org/handle/10986/25030" TargetMode="External"/><Relationship Id="rId4" Type="http://schemas.openxmlformats.org/officeDocument/2006/relationships/hyperlink" Target="https://doi.org/10.1002/0470090456.ch7" TargetMode="External"/><Relationship Id="rId5" Type="http://schemas.openxmlformats.org/officeDocument/2006/relationships/hyperlink" Target="https://doi.org/10.1198/016214504000001187" TargetMode="External"/><Relationship Id="rId6" Type="http://schemas.openxmlformats.org/officeDocument/2006/relationships/hyperlink" Target="http://www.jstor.org/stable/2673642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LibreOffice/6.0.7.3$Linux_X86_64 LibreOffice_project/00m0$Build-3</Application>
  <Pages>1</Pages>
  <Words>173</Words>
  <Characters>1189</Characters>
  <CharactersWithSpaces>1343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2020-06-15T18:46:03Z</dcterms:created>
  <dc:creator>IPC-IG</dc:creator>
  <dc:description/>
  <dc:language>pt-BR</dc:language>
  <cp:lastModifiedBy/>
  <dcterms:modified xsi:type="dcterms:W3CDTF">2020-06-16T18:55:56Z</dcterms:modified>
  <cp:revision>2</cp:revision>
  <dc:subject/>
  <dc:title>Study Design of Impact Evaluation of Seguro Defeso (Draft)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