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LOnormal"/>
        <w:rPr>
          <w:b w:val="false"/>
          <w:b w:val="false"/>
          <w:bCs w:val="false"/>
          <w:u w:val="none"/>
        </w:rPr>
      </w:pPr>
      <w:r>
        <w:rPr>
          <w:b w:val="false"/>
          <w:bCs w:val="false"/>
          <w:u w:val="none"/>
        </w:rPr>
        <w:t>Dear Editors,</w:t>
      </w:r>
    </w:p>
    <w:p>
      <w:pPr>
        <w:pStyle w:val="LOnormal"/>
        <w:rPr>
          <w:b w:val="false"/>
          <w:b w:val="false"/>
          <w:bCs w:val="false"/>
          <w:u w:val="none"/>
        </w:rPr>
      </w:pPr>
      <w:r>
        <w:rPr>
          <w:b w:val="false"/>
          <w:bCs w:val="false"/>
          <w:u w:val="none"/>
        </w:rPr>
      </w:r>
    </w:p>
    <w:p>
      <w:pPr>
        <w:pStyle w:val="LOnormal"/>
        <w:rPr/>
      </w:pPr>
      <w:r>
        <w:rPr>
          <w:b w:val="false"/>
          <w:bCs w:val="false"/>
          <w:u w:val="none"/>
        </w:rPr>
        <w:t>We would like to thank you for considering our paper for publication in Demographic Research. We also thank the three reviewers for the insightful comments addressed in the first revision round. We have reviewed all comments and revised the paper, addressing all concerns and limitations raised by the reviewers.</w:t>
      </w:r>
    </w:p>
    <w:p>
      <w:pPr>
        <w:pStyle w:val="LOnormal"/>
        <w:rPr>
          <w:b w:val="false"/>
          <w:b w:val="false"/>
          <w:bCs w:val="false"/>
          <w:u w:val="none"/>
        </w:rPr>
      </w:pPr>
      <w:r>
        <w:rPr>
          <w:b w:val="false"/>
          <w:bCs w:val="false"/>
          <w:u w:val="none"/>
        </w:rPr>
      </w:r>
    </w:p>
    <w:p>
      <w:pPr>
        <w:pStyle w:val="LOnormal"/>
        <w:rPr/>
      </w:pPr>
      <w:r>
        <w:rPr>
          <w:b w:val="false"/>
          <w:bCs w:val="false"/>
          <w:u w:val="none"/>
        </w:rPr>
        <w:t>Below, we present or answers and solutions to each comment point-by-point and we attach the new manuscript with the new changes highlighted.</w:t>
      </w:r>
    </w:p>
    <w:p>
      <w:pPr>
        <w:pStyle w:val="LOnormal"/>
        <w:rPr>
          <w:b w:val="false"/>
          <w:b w:val="false"/>
          <w:bCs w:val="false"/>
          <w:u w:val="none"/>
        </w:rPr>
      </w:pPr>
      <w:r>
        <w:rPr>
          <w:b w:val="false"/>
          <w:bCs w:val="false"/>
          <w:u w:val="none"/>
        </w:rPr>
      </w:r>
    </w:p>
    <w:p>
      <w:pPr>
        <w:pStyle w:val="LOnormal"/>
        <w:rPr/>
      </w:pPr>
      <w:r>
        <w:rPr>
          <w:b w:val="false"/>
          <w:bCs w:val="false"/>
          <w:u w:val="none"/>
        </w:rPr>
        <w:t>Looking forward to your response. Best regards,</w:t>
      </w:r>
    </w:p>
    <w:p>
      <w:pPr>
        <w:pStyle w:val="LOnormal"/>
        <w:rPr>
          <w:b w:val="false"/>
          <w:b w:val="false"/>
          <w:bCs w:val="false"/>
          <w:u w:val="none"/>
        </w:rPr>
      </w:pPr>
      <w:r>
        <w:rPr>
          <w:b w:val="false"/>
          <w:bCs w:val="false"/>
          <w:u w:val="none"/>
        </w:rPr>
      </w:r>
    </w:p>
    <w:p>
      <w:pPr>
        <w:pStyle w:val="LOnormal"/>
        <w:rPr/>
      </w:pPr>
      <w:r>
        <w:rPr>
          <w:b w:val="false"/>
          <w:bCs w:val="false"/>
          <w:u w:val="none"/>
        </w:rPr>
        <w:t>José H C Monteiro da Silva</w:t>
      </w:r>
    </w:p>
    <w:p>
      <w:pPr>
        <w:pStyle w:val="LOnormal"/>
        <w:rPr/>
      </w:pPr>
      <w:r>
        <w:rPr>
          <w:b w:val="false"/>
          <w:bCs w:val="false"/>
          <w:u w:val="none"/>
        </w:rPr>
        <w:t>Everton E C Lima</w:t>
      </w:r>
    </w:p>
    <w:p>
      <w:pPr>
        <w:pStyle w:val="LOnormal"/>
        <w:rPr/>
      </w:pPr>
      <w:r>
        <w:rPr>
          <w:b w:val="false"/>
          <w:bCs w:val="false"/>
          <w:u w:val="none"/>
        </w:rPr>
        <w:t>Maria C F A de Oliveira</w:t>
      </w:r>
    </w:p>
    <w:p>
      <w:pPr>
        <w:pStyle w:val="LOnormal"/>
        <w:rPr/>
      </w:pPr>
      <w:r>
        <w:rPr>
          <w:b w:val="false"/>
          <w:bCs w:val="false"/>
          <w:u w:val="none"/>
        </w:rPr>
        <w:t>-------------------------------------</w:t>
      </w:r>
    </w:p>
    <w:p>
      <w:pPr>
        <w:pStyle w:val="LOnormal"/>
        <w:rPr/>
      </w:pPr>
      <w:r>
        <w:rPr>
          <w:b w:val="false"/>
          <w:bCs w:val="false"/>
          <w:u w:val="none"/>
        </w:rPr>
        <w:t xml:space="preserve"> </w:t>
      </w:r>
    </w:p>
    <w:p>
      <w:pPr>
        <w:pStyle w:val="LOnormal"/>
        <w:rPr>
          <w:b/>
          <w:b/>
          <w:u w:val="single"/>
        </w:rPr>
      </w:pPr>
      <w:r>
        <w:rPr>
          <w:b/>
          <w:u w:val="single"/>
        </w:rPr>
        <w:t>Reviewer A: “revise and resubmit”</w:t>
      </w:r>
    </w:p>
    <w:p>
      <w:pPr>
        <w:pStyle w:val="LOnormal"/>
        <w:rPr/>
      </w:pPr>
      <w:r>
        <w:rPr/>
      </w:r>
    </w:p>
    <w:p>
      <w:pPr>
        <w:pStyle w:val="LOnormal"/>
        <w:jc w:val="both"/>
        <w:rPr/>
      </w:pPr>
      <w:r>
        <w:rPr/>
        <w:t>Main Strengths:</w:t>
      </w:r>
    </w:p>
    <w:p>
      <w:pPr>
        <w:pStyle w:val="LOnormal"/>
        <w:jc w:val="both"/>
        <w:rPr/>
      </w:pPr>
      <w:r>
        <w:rPr/>
      </w:r>
    </w:p>
    <w:p>
      <w:pPr>
        <w:pStyle w:val="LOnormal"/>
        <w:jc w:val="both"/>
        <w:rPr/>
      </w:pPr>
      <w:r>
        <w:rPr/>
        <w:t>The paper is potentially interesting for the readers of DemRes. It deals with the association between educational pairings and fertility in Brazil, which is novel because this topic has been studied mainly in Western contexts.</w:t>
      </w:r>
    </w:p>
    <w:p>
      <w:pPr>
        <w:pStyle w:val="LOnormal"/>
        <w:jc w:val="both"/>
        <w:rPr/>
      </w:pPr>
      <w:r>
        <w:rPr/>
      </w:r>
    </w:p>
    <w:p>
      <w:pPr>
        <w:pStyle w:val="LOnormal"/>
        <w:jc w:val="both"/>
        <w:rPr/>
      </w:pPr>
      <w:r>
        <w:rPr/>
        <w:t>Main Weaknesses:</w:t>
      </w:r>
    </w:p>
    <w:p>
      <w:pPr>
        <w:pStyle w:val="LOnormal"/>
        <w:jc w:val="both"/>
        <w:rPr/>
      </w:pPr>
      <w:r>
        <w:rPr/>
      </w:r>
    </w:p>
    <w:p>
      <w:pPr>
        <w:pStyle w:val="LOnormal"/>
        <w:numPr>
          <w:ilvl w:val="0"/>
          <w:numId w:val="5"/>
        </w:numPr>
        <w:ind w:left="720" w:hanging="360"/>
        <w:jc w:val="both"/>
        <w:rPr>
          <w:b w:val="false"/>
          <w:b w:val="false"/>
          <w:bCs w:val="false"/>
        </w:rPr>
      </w:pPr>
      <w:r>
        <w:rPr>
          <w:b w:val="false"/>
          <w:bCs w:val="false"/>
        </w:rPr>
        <w:t xml:space="preserve">the theoretical background and the empirical design do not completely fit this objective. By reading the paper, it seems that the main objective is to unfold the role of educational expansion in the Brazilian fertility transition, accounting for regional differences. If the objective is to look at the effect of the male partner’s education on fertility, then men should be the main focus: theoretical background, literature cited and the empirical design should be modified accordingly. </w:t>
      </w:r>
    </w:p>
    <w:p>
      <w:pPr>
        <w:pStyle w:val="LOnormal"/>
        <w:numPr>
          <w:ilvl w:val="0"/>
          <w:numId w:val="0"/>
        </w:numPr>
        <w:ind w:left="1080" w:hanging="0"/>
        <w:jc w:val="both"/>
        <w:rPr>
          <w:i/>
          <w:i/>
          <w:iCs/>
          <w:color w:val="C9211E"/>
        </w:rPr>
      </w:pPr>
      <w:r>
        <w:rPr>
          <w:b/>
          <w:i/>
          <w:iCs/>
          <w:color w:val="C9211E"/>
          <w:u w:val="none"/>
        </w:rPr>
        <w:t xml:space="preserve">Answer : </w:t>
      </w:r>
      <w:r>
        <w:rPr>
          <w:b/>
          <w:i/>
          <w:iCs/>
          <w:color w:val="000000"/>
          <w:u w:val="none"/>
        </w:rPr>
        <w:t xml:space="preserve">Our intention with this paper was to address the role of male partner’s education through investigating male-female educational interactions in cohort fertility rates. We have fit our background section to discuss educational expansion and how it changed conjugal markets and educational pairings composition.  </w:t>
      </w:r>
    </w:p>
    <w:p>
      <w:pPr>
        <w:pStyle w:val="LOnormal"/>
        <w:numPr>
          <w:ilvl w:val="0"/>
          <w:numId w:val="0"/>
        </w:numPr>
        <w:ind w:left="1080" w:hanging="0"/>
        <w:jc w:val="both"/>
        <w:rPr>
          <w:u w:val="none"/>
        </w:rPr>
      </w:pPr>
      <w:r>
        <w:rPr>
          <w:u w:val="none"/>
        </w:rPr>
      </w:r>
    </w:p>
    <w:p>
      <w:pPr>
        <w:pStyle w:val="LOnormal"/>
        <w:numPr>
          <w:ilvl w:val="0"/>
          <w:numId w:val="5"/>
        </w:numPr>
        <w:ind w:left="720" w:hanging="360"/>
        <w:jc w:val="both"/>
        <w:rPr>
          <w:u w:val="none"/>
        </w:rPr>
      </w:pPr>
      <w:r>
        <w:rPr/>
        <w:t>In the sample section,</w:t>
      </w:r>
      <w:r>
        <w:rPr>
          <w:b w:val="false"/>
          <w:bCs w:val="false"/>
        </w:rPr>
        <w:t xml:space="preserve"> there is no discussion of sample size or how the analytical sample was constructed. T</w:t>
      </w:r>
      <w:r>
        <w:rPr/>
        <w:t xml:space="preserve">here is little information on the measurement schemes and coding of the variables. How many cases were deleted? How missing data about education or fertility were handled? What is the proportion of each educational pairing in each census?  What are the results without imputation in case the parity differs from the rule of thumb that the author followed? What is the proportion of cases where this happen? Did the author use some kind of weighting procedure? </w:t>
      </w:r>
    </w:p>
    <w:p>
      <w:pPr>
        <w:pStyle w:val="LOnormal"/>
        <w:numPr>
          <w:ilvl w:val="0"/>
          <w:numId w:val="0"/>
        </w:numPr>
        <w:ind w:left="1080" w:hanging="0"/>
        <w:jc w:val="both"/>
        <w:rPr>
          <w:b/>
          <w:b/>
          <w:bCs/>
          <w:i/>
          <w:i/>
          <w:iCs/>
        </w:rPr>
      </w:pPr>
      <w:r>
        <w:rPr>
          <w:b/>
          <w:bCs/>
          <w:i/>
          <w:iCs/>
          <w:color w:val="C9211E"/>
        </w:rPr>
        <w:t xml:space="preserve">Answer: </w:t>
      </w:r>
      <w:r>
        <w:rPr>
          <w:b/>
          <w:bCs/>
          <w:i/>
          <w:iCs/>
        </w:rPr>
        <w:t xml:space="preserve">Thank you for pointing out these important limitations. We have included an appendix section that covers most of the reviewer’s comments: number of couples matched from each census and cohorts, counts of missing values for educational categories and implausible parity correction. </w:t>
      </w:r>
    </w:p>
    <w:p>
      <w:pPr>
        <w:pStyle w:val="LOnormal"/>
        <w:numPr>
          <w:ilvl w:val="0"/>
          <w:numId w:val="0"/>
        </w:numPr>
        <w:ind w:left="1080" w:hanging="0"/>
        <w:jc w:val="both"/>
        <w:rPr>
          <w:b/>
          <w:b/>
          <w:bCs/>
          <w:i/>
          <w:i/>
          <w:iCs/>
        </w:rPr>
      </w:pPr>
      <w:r>
        <w:rPr>
          <w:b/>
          <w:bCs/>
          <w:i/>
          <w:iCs/>
        </w:rPr>
      </w:r>
    </w:p>
    <w:p>
      <w:pPr>
        <w:pStyle w:val="LOnormal"/>
        <w:numPr>
          <w:ilvl w:val="0"/>
          <w:numId w:val="5"/>
        </w:numPr>
        <w:ind w:left="720" w:hanging="360"/>
        <w:jc w:val="both"/>
        <w:rPr>
          <w:u w:val="none"/>
        </w:rPr>
      </w:pPr>
      <w:r>
        <w:rPr/>
        <w:t xml:space="preserve">I found the selection of sample based on both women’s and men’s age unclear and under-motivated. If the author is interested in the association between educational pairings and fertility, then couples are the unit of analysis, and it would be possible to take only one sex as reference. In the census, both partners are present (if they did not die), but it is important that the educational pairing that they represent is counted only once in the sample/analysis. Also, in the census, the universe regarding the question about “number of children ever born” is females older than 15 years (sometimes 12), why selecting a sample based on men’s age if fertility information derives from women? </w:t>
      </w:r>
    </w:p>
    <w:p>
      <w:pPr>
        <w:pStyle w:val="LOnormal"/>
        <w:numPr>
          <w:ilvl w:val="0"/>
          <w:numId w:val="0"/>
        </w:numPr>
        <w:ind w:left="1080" w:hanging="0"/>
        <w:jc w:val="both"/>
        <w:rPr>
          <w:u w:val="none"/>
        </w:rPr>
      </w:pPr>
      <w:r>
        <w:rPr>
          <w:b/>
          <w:bCs/>
          <w:i/>
          <w:iCs/>
          <w:color w:val="C9211E"/>
          <w:u w:val="none"/>
        </w:rPr>
        <w:t xml:space="preserve">Answer: </w:t>
      </w:r>
      <w:r>
        <w:rPr>
          <w:b/>
          <w:bCs/>
          <w:i/>
          <w:iCs/>
          <w:u w:val="none"/>
        </w:rPr>
        <w:t xml:space="preserve">Thank you for your comment. We have fixed this issue by setting male’s age to the same age of females (40) and setting also a higher age limit for males (99). We did this to avoid the inclusion of some cases of remarriage between females with much younger males. </w:t>
      </w:r>
    </w:p>
    <w:p>
      <w:pPr>
        <w:pStyle w:val="LOnormal"/>
        <w:numPr>
          <w:ilvl w:val="0"/>
          <w:numId w:val="0"/>
        </w:numPr>
        <w:ind w:left="1080" w:hanging="0"/>
        <w:jc w:val="both"/>
        <w:rPr>
          <w:u w:val="none"/>
        </w:rPr>
      </w:pPr>
      <w:r>
        <w:rPr>
          <w:b/>
          <w:bCs/>
          <w:i/>
          <w:iCs/>
          <w:u w:val="none"/>
        </w:rPr>
        <w:t xml:space="preserve"> </w:t>
      </w:r>
    </w:p>
    <w:p>
      <w:pPr>
        <w:pStyle w:val="LOnormal"/>
        <w:numPr>
          <w:ilvl w:val="0"/>
          <w:numId w:val="5"/>
        </w:numPr>
        <w:ind w:left="720" w:hanging="360"/>
        <w:jc w:val="both"/>
        <w:rPr>
          <w:u w:val="none"/>
        </w:rPr>
      </w:pPr>
      <w:r>
        <w:rPr/>
        <w:t xml:space="preserve">How did the author deal with the fact that at older ages men’s have higher mortality than women, implying that many educational pairings of older cohorts are not observed? </w:t>
      </w:r>
    </w:p>
    <w:p>
      <w:pPr>
        <w:pStyle w:val="LOnormal"/>
        <w:numPr>
          <w:ilvl w:val="0"/>
          <w:numId w:val="0"/>
        </w:numPr>
        <w:ind w:left="1080" w:hanging="0"/>
        <w:jc w:val="both"/>
        <w:rPr>
          <w:u w:val="none"/>
        </w:rPr>
      </w:pPr>
      <w:r>
        <w:rPr>
          <w:b/>
          <w:bCs/>
          <w:i/>
          <w:iCs/>
          <w:color w:val="C9211E"/>
          <w:u w:val="none"/>
        </w:rPr>
        <w:t xml:space="preserve">Answer: </w:t>
      </w:r>
      <w:r>
        <w:rPr>
          <w:b/>
          <w:bCs/>
          <w:i/>
          <w:iCs/>
          <w:color w:val="000000"/>
          <w:u w:val="none"/>
        </w:rPr>
        <w:t>In the conclusion section of our paper we have addressed this issue by pointing out that our estimates might be under-estimated, especially for older cohorts, due to survival advantage of higher socioeconomic strata groups.</w:t>
      </w:r>
    </w:p>
    <w:p>
      <w:pPr>
        <w:pStyle w:val="LOnormal"/>
        <w:numPr>
          <w:ilvl w:val="0"/>
          <w:numId w:val="0"/>
        </w:numPr>
        <w:ind w:left="1080" w:hanging="0"/>
        <w:jc w:val="both"/>
        <w:rPr>
          <w:u w:val="none"/>
        </w:rPr>
      </w:pPr>
      <w:r>
        <w:rPr>
          <w:u w:val="none"/>
        </w:rPr>
      </w:r>
    </w:p>
    <w:p>
      <w:pPr>
        <w:pStyle w:val="LOnormal"/>
        <w:numPr>
          <w:ilvl w:val="0"/>
          <w:numId w:val="5"/>
        </w:numPr>
        <w:ind w:left="720" w:hanging="360"/>
        <w:jc w:val="both"/>
        <w:rPr>
          <w:u w:val="none"/>
        </w:rPr>
      </w:pPr>
      <w:r>
        <w:rPr/>
        <w:t>In sum, I think that these shortcomings need to be resolved before results and discussions can be accurately evaluated.</w:t>
      </w:r>
    </w:p>
    <w:p>
      <w:pPr>
        <w:pStyle w:val="LOnormal"/>
        <w:jc w:val="both"/>
        <w:rPr/>
      </w:pPr>
      <w:r>
        <w:rPr/>
      </w:r>
    </w:p>
    <w:p>
      <w:pPr>
        <w:pStyle w:val="LOnormal"/>
        <w:jc w:val="both"/>
        <w:rPr/>
      </w:pPr>
      <w:r>
        <w:rPr/>
      </w:r>
    </w:p>
    <w:p>
      <w:pPr>
        <w:pStyle w:val="LOnormal"/>
        <w:jc w:val="both"/>
        <w:rPr/>
      </w:pPr>
      <w:r>
        <w:rPr/>
      </w:r>
    </w:p>
    <w:p>
      <w:pPr>
        <w:pStyle w:val="LOnormal"/>
        <w:jc w:val="both"/>
        <w:rPr>
          <w:b/>
          <w:b/>
          <w:u w:val="single"/>
        </w:rPr>
      </w:pPr>
      <w:r>
        <w:rPr>
          <w:b/>
          <w:u w:val="single"/>
        </w:rPr>
        <w:t>Reviewer B: “revise and resubmit”</w:t>
      </w:r>
    </w:p>
    <w:p>
      <w:pPr>
        <w:pStyle w:val="LOnormal"/>
        <w:jc w:val="both"/>
        <w:rPr/>
      </w:pPr>
      <w:r>
        <w:rPr/>
      </w:r>
    </w:p>
    <w:p>
      <w:pPr>
        <w:pStyle w:val="LOnormal"/>
        <w:jc w:val="both"/>
        <w:rPr/>
      </w:pPr>
      <w:r>
        <w:rPr/>
        <w:t>Main Strengths:</w:t>
      </w:r>
    </w:p>
    <w:p>
      <w:pPr>
        <w:pStyle w:val="LOnormal"/>
        <w:jc w:val="both"/>
        <w:rPr/>
      </w:pPr>
      <w:r>
        <w:rPr/>
      </w:r>
    </w:p>
    <w:p>
      <w:pPr>
        <w:pStyle w:val="LOnormal"/>
        <w:numPr>
          <w:ilvl w:val="0"/>
          <w:numId w:val="1"/>
        </w:numPr>
        <w:ind w:left="720" w:hanging="360"/>
        <w:jc w:val="both"/>
        <w:rPr>
          <w:u w:val="none"/>
        </w:rPr>
      </w:pPr>
      <w:r>
        <w:rPr/>
        <w:t>Innovative analysis of the fertility decline in Brazil and its association with the changes in educational pairing of couples.</w:t>
      </w:r>
    </w:p>
    <w:p>
      <w:pPr>
        <w:pStyle w:val="LOnormal"/>
        <w:numPr>
          <w:ilvl w:val="0"/>
          <w:numId w:val="1"/>
        </w:numPr>
        <w:ind w:left="720" w:hanging="360"/>
        <w:jc w:val="both"/>
        <w:rPr>
          <w:u w:val="none"/>
        </w:rPr>
      </w:pPr>
      <w:r>
        <w:rPr/>
        <w:t>Uses Census information of completed cohort fertility to analyze fertility decline over time.</w:t>
      </w:r>
    </w:p>
    <w:p>
      <w:pPr>
        <w:pStyle w:val="LOnormal"/>
        <w:numPr>
          <w:ilvl w:val="0"/>
          <w:numId w:val="1"/>
        </w:numPr>
        <w:ind w:left="720" w:hanging="360"/>
        <w:jc w:val="both"/>
        <w:rPr>
          <w:u w:val="none"/>
        </w:rPr>
      </w:pPr>
      <w:r>
        <w:rPr/>
        <w:t>Nice methodology that uses Das Gupta (1993) decomposition method to address the proportion of the fertility decline that is attributable to changes in the educational pairing composition.</w:t>
      </w:r>
    </w:p>
    <w:p>
      <w:pPr>
        <w:pStyle w:val="LOnormal"/>
        <w:numPr>
          <w:ilvl w:val="0"/>
          <w:numId w:val="1"/>
        </w:numPr>
        <w:ind w:left="720" w:hanging="360"/>
        <w:jc w:val="both"/>
        <w:rPr>
          <w:u w:val="none"/>
        </w:rPr>
      </w:pPr>
      <w:r>
        <w:rPr/>
        <w:t>Interesting results. The analysis was able to show the CFR heterogeneity in the less educated group of females by males' educational level. Difference in educational pairing accounted for 30.77% of the difference in CFR between the 1925-1939 and 1940-1954 cohorts and also about 30% when the oldest cohort was compared to the youngest.</w:t>
      </w:r>
    </w:p>
    <w:p>
      <w:pPr>
        <w:pStyle w:val="LOnormal"/>
        <w:jc w:val="both"/>
        <w:rPr/>
      </w:pPr>
      <w:r>
        <w:rPr/>
      </w:r>
    </w:p>
    <w:p>
      <w:pPr>
        <w:pStyle w:val="LOnormal"/>
        <w:jc w:val="both"/>
        <w:rPr/>
      </w:pPr>
      <w:r>
        <w:rPr/>
        <w:t>Main Weaknesses:</w:t>
      </w:r>
    </w:p>
    <w:p>
      <w:pPr>
        <w:pStyle w:val="LOnormal"/>
        <w:jc w:val="both"/>
        <w:rPr/>
      </w:pPr>
      <w:r>
        <w:rPr/>
      </w:r>
    </w:p>
    <w:p>
      <w:pPr>
        <w:pStyle w:val="LOnormal"/>
        <w:numPr>
          <w:ilvl w:val="0"/>
          <w:numId w:val="3"/>
        </w:numPr>
        <w:ind w:left="720" w:hanging="360"/>
        <w:jc w:val="both"/>
        <w:rPr>
          <w:u w:val="none"/>
        </w:rPr>
      </w:pPr>
      <w:r>
        <w:rPr/>
        <w:t>A</w:t>
      </w:r>
      <w:r>
        <w:rPr>
          <w:b w:val="false"/>
          <w:bCs w:val="false"/>
        </w:rPr>
        <w:t>lthough the results are robust regarding the percentage of the changes that can be attributed to changes in the educational pairing of married or cohabiting couples, authors need to be careful when stating causal relations across the variables when discussing the scope of the paper and the interpreting results.</w:t>
      </w:r>
    </w:p>
    <w:p>
      <w:pPr>
        <w:pStyle w:val="LOnormal"/>
        <w:numPr>
          <w:ilvl w:val="0"/>
          <w:numId w:val="3"/>
        </w:numPr>
        <w:ind w:left="720" w:hanging="360"/>
        <w:jc w:val="both"/>
        <w:rPr>
          <w:b w:val="false"/>
          <w:b w:val="false"/>
          <w:bCs w:val="false"/>
        </w:rPr>
      </w:pPr>
      <w:r>
        <w:rPr>
          <w:b w:val="false"/>
          <w:bCs w:val="false"/>
        </w:rPr>
        <w:t xml:space="preserve">Lack of information on how the pseudo cohorts were estimated and in which Census year was the information was extracted for each cohort. For example, in which Census year was the parity information and education levels obtained for the cohort born in 1925-39 and their pairs. </w:t>
      </w:r>
    </w:p>
    <w:p>
      <w:pPr>
        <w:pStyle w:val="LOnormal"/>
        <w:numPr>
          <w:ilvl w:val="0"/>
          <w:numId w:val="0"/>
        </w:numPr>
        <w:ind w:left="1080" w:hanging="0"/>
        <w:jc w:val="both"/>
        <w:rPr>
          <w:u w:val="none"/>
        </w:rPr>
      </w:pPr>
      <w:r>
        <w:rPr>
          <w:b/>
          <w:bCs/>
          <w:i/>
          <w:iCs/>
          <w:color w:val="C9211E"/>
          <w:u w:val="none"/>
        </w:rPr>
        <w:t xml:space="preserve">Answer: </w:t>
      </w:r>
      <w:r>
        <w:rPr>
          <w:b/>
          <w:bCs/>
          <w:i/>
          <w:iCs/>
          <w:u w:val="none"/>
        </w:rPr>
        <w:t>Thank you for your comment. We included an appendix section with additional information on sample size and variable treatment strategies. Also, we highlighted how we combined the censuses to retrieve CFR estimates.</w:t>
      </w:r>
    </w:p>
    <w:p>
      <w:pPr>
        <w:pStyle w:val="LOnormal"/>
        <w:numPr>
          <w:ilvl w:val="0"/>
          <w:numId w:val="0"/>
        </w:numPr>
        <w:ind w:left="1080" w:hanging="0"/>
        <w:jc w:val="both"/>
        <w:rPr>
          <w:u w:val="none"/>
        </w:rPr>
      </w:pPr>
      <w:r>
        <w:rPr>
          <w:u w:val="none"/>
        </w:rPr>
      </w:r>
    </w:p>
    <w:p>
      <w:pPr>
        <w:pStyle w:val="LOnormal"/>
        <w:numPr>
          <w:ilvl w:val="0"/>
          <w:numId w:val="3"/>
        </w:numPr>
        <w:ind w:left="720" w:hanging="360"/>
        <w:jc w:val="both"/>
        <w:rPr>
          <w:b w:val="false"/>
          <w:b w:val="false"/>
          <w:bCs w:val="false"/>
        </w:rPr>
      </w:pPr>
      <w:r>
        <w:rPr>
          <w:b w:val="false"/>
          <w:bCs w:val="false"/>
        </w:rPr>
        <w:t>In addition, it is important to clarify what was done to address education inconsistencies across Brazilian Censuses (Nepomuceno and Turra 2020).</w:t>
      </w:r>
    </w:p>
    <w:p>
      <w:pPr>
        <w:pStyle w:val="LOnormal"/>
        <w:numPr>
          <w:ilvl w:val="0"/>
          <w:numId w:val="0"/>
        </w:numPr>
        <w:ind w:left="1080" w:hanging="0"/>
        <w:jc w:val="both"/>
        <w:rPr>
          <w:u w:val="none"/>
        </w:rPr>
      </w:pPr>
      <w:r>
        <w:rPr>
          <w:b/>
          <w:bCs/>
          <w:i/>
          <w:iCs/>
          <w:color w:val="C9211E"/>
          <w:u w:val="none"/>
        </w:rPr>
        <w:t xml:space="preserve">Answer: </w:t>
      </w:r>
      <w:r>
        <w:rPr>
          <w:b/>
          <w:bCs/>
          <w:i/>
          <w:iCs/>
          <w:u w:val="none"/>
        </w:rPr>
        <w:t>Thank you for your comment and for the suggested literature. We have added more information on how we dealt with education misreporting based on the suggested paper, reinforcing the strengths and limitations of our methodological procedure.</w:t>
      </w:r>
    </w:p>
    <w:p>
      <w:pPr>
        <w:pStyle w:val="LOnormal"/>
        <w:numPr>
          <w:ilvl w:val="0"/>
          <w:numId w:val="0"/>
        </w:numPr>
        <w:ind w:left="1080" w:hanging="0"/>
        <w:jc w:val="both"/>
        <w:rPr>
          <w:u w:val="none"/>
        </w:rPr>
      </w:pPr>
      <w:r>
        <w:rPr>
          <w:u w:val="none"/>
        </w:rPr>
      </w:r>
    </w:p>
    <w:p>
      <w:pPr>
        <w:pStyle w:val="LOnormal"/>
        <w:numPr>
          <w:ilvl w:val="0"/>
          <w:numId w:val="3"/>
        </w:numPr>
        <w:ind w:left="720" w:hanging="360"/>
        <w:jc w:val="both"/>
        <w:rPr>
          <w:u w:val="none"/>
        </w:rPr>
      </w:pPr>
      <w:r>
        <w:rPr/>
        <w:t xml:space="preserve">Authors have stated the advantages of using IPUMS, but not the disadvantages of not using the complete sample of the Census. When doing a regional analysis using analyzing fertility and 16 education categories, that might be some caveats in using the IPUMS sample instead of the complete microdataset that are publicly available in the NSO website.   </w:t>
      </w:r>
    </w:p>
    <w:p>
      <w:pPr>
        <w:pStyle w:val="LOnormal"/>
        <w:numPr>
          <w:ilvl w:val="0"/>
          <w:numId w:val="0"/>
        </w:numPr>
        <w:ind w:left="1080" w:hanging="0"/>
        <w:jc w:val="both"/>
        <w:rPr>
          <w:u w:val="none"/>
        </w:rPr>
      </w:pPr>
      <w:r>
        <w:rPr>
          <w:b/>
          <w:bCs/>
          <w:i/>
          <w:iCs/>
          <w:color w:val="C9211E"/>
          <w:u w:val="none"/>
        </w:rPr>
        <w:t xml:space="preserve">Answer: </w:t>
      </w:r>
    </w:p>
    <w:p>
      <w:pPr>
        <w:pStyle w:val="LOnormal"/>
        <w:numPr>
          <w:ilvl w:val="0"/>
          <w:numId w:val="0"/>
        </w:numPr>
        <w:ind w:left="1080" w:hanging="0"/>
        <w:jc w:val="both"/>
        <w:rPr>
          <w:u w:val="none"/>
        </w:rPr>
      </w:pPr>
      <w:r>
        <w:rPr>
          <w:u w:val="none"/>
        </w:rPr>
      </w:r>
    </w:p>
    <w:p>
      <w:pPr>
        <w:pStyle w:val="LOnormal"/>
        <w:numPr>
          <w:ilvl w:val="0"/>
          <w:numId w:val="3"/>
        </w:numPr>
        <w:ind w:left="720" w:hanging="360"/>
        <w:jc w:val="both"/>
        <w:rPr>
          <w:u w:val="none"/>
        </w:rPr>
      </w:pPr>
      <w:r>
        <w:rPr/>
        <w:t>Figure 1 should have a column with "female total" controlling only for male education and each plot should have the category "male total", since the prevalence of each category in the population can't be inferred in the plots. I think that tables 2 to 4 that refers to the prevalence and CFRs at the regional level could be in the appendix.</w:t>
      </w:r>
    </w:p>
    <w:p>
      <w:pPr>
        <w:pStyle w:val="LOnormal"/>
        <w:numPr>
          <w:ilvl w:val="0"/>
          <w:numId w:val="0"/>
        </w:numPr>
        <w:ind w:left="1080" w:hanging="0"/>
        <w:jc w:val="both"/>
        <w:rPr>
          <w:u w:val="none"/>
        </w:rPr>
      </w:pPr>
      <w:r>
        <w:rPr>
          <w:b/>
          <w:bCs/>
          <w:i/>
          <w:iCs/>
          <w:color w:val="C9211E"/>
          <w:u w:val="none"/>
        </w:rPr>
        <w:t xml:space="preserve">Answer: </w:t>
      </w:r>
      <w:r>
        <w:rPr>
          <w:b/>
          <w:bCs/>
          <w:i/>
          <w:iCs/>
          <w:u w:val="none"/>
        </w:rPr>
        <w:t>Thank you for your suggestion. We have included estimates of CFR for all women and for the married women by educational category on our figures and we have put the regional trends on the appendix B.</w:t>
      </w:r>
    </w:p>
    <w:p>
      <w:pPr>
        <w:pStyle w:val="LOnormal"/>
        <w:numPr>
          <w:ilvl w:val="0"/>
          <w:numId w:val="0"/>
        </w:numPr>
        <w:ind w:left="1080" w:hanging="0"/>
        <w:jc w:val="both"/>
        <w:rPr>
          <w:u w:val="none"/>
        </w:rPr>
      </w:pPr>
      <w:r>
        <w:rPr>
          <w:u w:val="none"/>
        </w:rPr>
      </w:r>
    </w:p>
    <w:p>
      <w:pPr>
        <w:pStyle w:val="LOnormal"/>
        <w:numPr>
          <w:ilvl w:val="0"/>
          <w:numId w:val="3"/>
        </w:numPr>
        <w:ind w:left="720" w:hanging="360"/>
        <w:jc w:val="both"/>
        <w:rPr>
          <w:u w:val="none"/>
        </w:rPr>
      </w:pPr>
      <w:r>
        <w:rPr/>
        <w:t>Table 5 is not well configured and it is very challenging to understand it. The first line of the table doesn't show what it is referring to. The table doesn't include the decomposition of the difference between the second (1940-1954) and third (1955-1969) birth cohorts.</w:t>
      </w:r>
    </w:p>
    <w:p>
      <w:pPr>
        <w:pStyle w:val="LOnormal"/>
        <w:numPr>
          <w:ilvl w:val="0"/>
          <w:numId w:val="0"/>
        </w:numPr>
        <w:ind w:left="1080" w:hanging="0"/>
        <w:jc w:val="both"/>
        <w:rPr>
          <w:u w:val="none"/>
        </w:rPr>
      </w:pPr>
      <w:r>
        <w:rPr>
          <w:b/>
          <w:bCs/>
          <w:i/>
          <w:iCs/>
          <w:color w:val="C9211E"/>
          <w:u w:val="none"/>
        </w:rPr>
        <w:t xml:space="preserve">Answer: </w:t>
      </w:r>
      <w:r>
        <w:rPr>
          <w:b/>
          <w:bCs/>
          <w:i/>
          <w:iCs/>
          <w:color w:val="000000"/>
          <w:u w:val="none"/>
        </w:rPr>
        <w:t>Thank you for your point. We changed table five for graphs describing the contribution of rate and structure effects at each educational pairing and we then placed the differences and effects on the graph. Now, the idea is clear.</w:t>
      </w:r>
    </w:p>
    <w:p>
      <w:pPr>
        <w:pStyle w:val="LOnormal"/>
        <w:numPr>
          <w:ilvl w:val="0"/>
          <w:numId w:val="0"/>
        </w:numPr>
        <w:ind w:left="1080" w:hanging="0"/>
        <w:jc w:val="both"/>
        <w:rPr>
          <w:u w:val="none"/>
        </w:rPr>
      </w:pPr>
      <w:r>
        <w:rPr>
          <w:u w:val="none"/>
        </w:rPr>
      </w:r>
    </w:p>
    <w:p>
      <w:pPr>
        <w:pStyle w:val="LOnormal"/>
        <w:numPr>
          <w:ilvl w:val="0"/>
          <w:numId w:val="3"/>
        </w:numPr>
        <w:ind w:left="720" w:hanging="360"/>
        <w:jc w:val="both"/>
        <w:rPr>
          <w:u w:val="none"/>
        </w:rPr>
      </w:pPr>
      <w:r>
        <w:rPr/>
        <w:t>The paper needs a good English revision, re-readings with some punctuation missing and rewriting of the introduction and background information.</w:t>
      </w:r>
    </w:p>
    <w:p>
      <w:pPr>
        <w:pStyle w:val="LOnormal"/>
        <w:numPr>
          <w:ilvl w:val="0"/>
          <w:numId w:val="0"/>
        </w:numPr>
        <w:ind w:left="1080" w:hanging="0"/>
        <w:jc w:val="both"/>
        <w:rPr>
          <w:u w:val="none"/>
        </w:rPr>
      </w:pPr>
      <w:r>
        <w:rPr>
          <w:b/>
          <w:bCs/>
          <w:i/>
          <w:iCs/>
          <w:color w:val="C9211E"/>
          <w:u w:val="none"/>
        </w:rPr>
        <w:t xml:space="preserve">Answer: </w:t>
      </w:r>
      <w:r>
        <w:rPr>
          <w:b/>
          <w:bCs/>
          <w:i/>
          <w:iCs/>
          <w:color w:val="000000"/>
          <w:u w:val="none"/>
        </w:rPr>
        <w:t>Thank you, this new version was reviewed and we tried to make it more fluid and fix grammatical and punctuation problems.</w:t>
      </w:r>
    </w:p>
    <w:p>
      <w:pPr>
        <w:pStyle w:val="LOnormal"/>
        <w:ind w:left="720" w:hanging="0"/>
        <w:jc w:val="both"/>
        <w:rPr/>
      </w:pPr>
      <w:r>
        <w:rPr/>
      </w:r>
    </w:p>
    <w:p>
      <w:pPr>
        <w:pStyle w:val="LOnormal"/>
        <w:ind w:left="720" w:hanging="0"/>
        <w:jc w:val="both"/>
        <w:rPr/>
      </w:pPr>
      <w:r>
        <w:rPr/>
      </w:r>
    </w:p>
    <w:p>
      <w:pPr>
        <w:pStyle w:val="LOnormal"/>
        <w:ind w:left="720" w:hanging="0"/>
        <w:jc w:val="both"/>
        <w:rPr/>
      </w:pPr>
      <w:r>
        <w:rPr/>
      </w:r>
    </w:p>
    <w:p>
      <w:pPr>
        <w:pStyle w:val="LOnormal"/>
        <w:ind w:left="0" w:hanging="0"/>
        <w:jc w:val="both"/>
        <w:rPr/>
      </w:pPr>
      <w:r>
        <w:rPr/>
        <w:t>Recommendations to Author:</w:t>
      </w:r>
    </w:p>
    <w:p>
      <w:pPr>
        <w:pStyle w:val="LOnormal"/>
        <w:numPr>
          <w:ilvl w:val="0"/>
          <w:numId w:val="4"/>
        </w:numPr>
        <w:ind w:left="720" w:hanging="360"/>
        <w:jc w:val="both"/>
        <w:rPr>
          <w:b w:val="false"/>
          <w:b w:val="false"/>
          <w:bCs w:val="false"/>
        </w:rPr>
      </w:pPr>
      <w:r>
        <w:rPr>
          <w:b w:val="false"/>
          <w:bCs w:val="false"/>
        </w:rPr>
        <w:t xml:space="preserve">he paper needs a substantial revision on the writing, it has some parts that are not possible to understand, mainly in the introduction and background parts. Needs revision on the writing also when stating causal relation on the variables analyzed. The paper is not analyzing the causes of the decline of fertility in a causation framework by, for example, using instrumental variables for education expansion or controlling a priori what drives the matching of pairings in the marriage market or if births came before or after the education attainment of each pair. Or what were the factors associated with greater male's education (urban areas, better socioeconomic conditions etc). What the paper does indeed is an interesting and valid decomposition exercise observing the associations of these variables with the fertility decline. For a better understanding of this difference, I recommend reading: </w:t>
      </w:r>
    </w:p>
    <w:p>
      <w:pPr>
        <w:pStyle w:val="LOnormal"/>
        <w:ind w:left="720" w:hanging="0"/>
        <w:jc w:val="both"/>
        <w:rPr/>
      </w:pPr>
      <w:r>
        <w:rPr/>
        <w:t xml:space="preserve">Engelhardt H., Kohler HP., Prskawetz A. (2009) Causal Analysis in Population Studies. In: Engelhardt H., Kohler HP., Fürnkranz-Prskawetz A. (eds) Causal Analysis in Population Studies. The Springer Series on Demographic Methods and Population Analysis, vol 23. Springer, Dordrecht. </w:t>
      </w:r>
      <w:hyperlink r:id="rId2">
        <w:r>
          <w:rPr>
            <w:color w:val="1155CC"/>
            <w:u w:val="single"/>
          </w:rPr>
          <w:t>https://doi.org/10.1007/978-1-4020-9967-0_1</w:t>
        </w:r>
      </w:hyperlink>
    </w:p>
    <w:p>
      <w:pPr>
        <w:pStyle w:val="LOnormal"/>
        <w:numPr>
          <w:ilvl w:val="0"/>
          <w:numId w:val="4"/>
        </w:numPr>
        <w:ind w:left="720" w:hanging="360"/>
        <w:jc w:val="both"/>
        <w:rPr>
          <w:u w:val="none"/>
        </w:rPr>
      </w:pPr>
      <w:r>
        <w:rPr/>
        <w:t>Recommend also a paper that addresses the association and causation between education and completed fertility:</w:t>
      </w:r>
    </w:p>
    <w:p>
      <w:pPr>
        <w:pStyle w:val="LOnormal"/>
        <w:ind w:left="720" w:hanging="0"/>
        <w:jc w:val="both"/>
        <w:rPr/>
      </w:pPr>
      <w:r>
        <w:rPr/>
        <w:t>Nisén, J., Martikainen, P., Kaprio, J. and Silventoinen, K., 2013. Educational differences in completed fertility: A behavioral genetic study of Finnish male and female twins. Demography, 50(4), pp.1399-1420.</w:t>
      </w:r>
    </w:p>
    <w:p>
      <w:pPr>
        <w:pStyle w:val="LOnormal"/>
        <w:numPr>
          <w:ilvl w:val="0"/>
          <w:numId w:val="4"/>
        </w:numPr>
        <w:ind w:left="720" w:hanging="360"/>
        <w:jc w:val="both"/>
        <w:rPr>
          <w:u w:val="none"/>
        </w:rPr>
      </w:pPr>
      <w:r>
        <w:rPr/>
        <w:t>Highly recommend that the authors discuss the limitations for their results driven by the inconsistencies in educational levels across the Brazilian Censuses that were addressed in:</w:t>
      </w:r>
    </w:p>
    <w:p>
      <w:pPr>
        <w:pStyle w:val="LOnormal"/>
        <w:ind w:left="720" w:hanging="0"/>
        <w:jc w:val="both"/>
        <w:rPr/>
      </w:pPr>
      <w:r>
        <w:rPr/>
        <w:t>Nepomuceno, M. and Turra, C., 2020. Assessing the quality of education reporting in Brazilian censuses. Demographic Research, 42, pp.441-460.</w:t>
      </w:r>
    </w:p>
    <w:p>
      <w:pPr>
        <w:pStyle w:val="LOnormal"/>
        <w:ind w:left="0" w:hanging="0"/>
        <w:jc w:val="both"/>
        <w:rPr/>
      </w:pPr>
      <w:r>
        <w:rPr/>
      </w:r>
    </w:p>
    <w:p>
      <w:pPr>
        <w:pStyle w:val="LOnormal"/>
        <w:ind w:left="0" w:hanging="0"/>
        <w:jc w:val="both"/>
        <w:rPr/>
      </w:pPr>
      <w:r>
        <w:rPr/>
      </w:r>
    </w:p>
    <w:p>
      <w:pPr>
        <w:pStyle w:val="LOnormal"/>
        <w:ind w:left="0" w:hanging="0"/>
        <w:jc w:val="both"/>
        <w:rPr>
          <w:b/>
          <w:b/>
          <w:u w:val="single"/>
        </w:rPr>
      </w:pPr>
      <w:r>
        <w:rPr>
          <w:b/>
          <w:u w:val="single"/>
        </w:rPr>
        <w:t>Reviewer C: “revise and resubmit”</w:t>
      </w:r>
    </w:p>
    <w:p>
      <w:pPr>
        <w:pStyle w:val="LOnormal"/>
        <w:ind w:left="0" w:hanging="0"/>
        <w:jc w:val="both"/>
        <w:rPr/>
      </w:pPr>
      <w:r>
        <w:rPr/>
      </w:r>
    </w:p>
    <w:p>
      <w:pPr>
        <w:pStyle w:val="LOnormal"/>
        <w:ind w:left="0" w:hanging="0"/>
        <w:jc w:val="both"/>
        <w:rPr/>
      </w:pPr>
      <w:r>
        <w:rPr/>
        <w:t>Main Strengths:</w:t>
      </w:r>
    </w:p>
    <w:p>
      <w:pPr>
        <w:pStyle w:val="LOnormal"/>
        <w:ind w:left="0" w:hanging="0"/>
        <w:jc w:val="both"/>
        <w:rPr/>
      </w:pPr>
      <w:r>
        <w:rPr/>
      </w:r>
    </w:p>
    <w:p>
      <w:pPr>
        <w:pStyle w:val="LOnormal"/>
        <w:numPr>
          <w:ilvl w:val="0"/>
          <w:numId w:val="6"/>
        </w:numPr>
        <w:ind w:left="720" w:hanging="360"/>
        <w:jc w:val="both"/>
        <w:rPr>
          <w:u w:val="none"/>
        </w:rPr>
      </w:pPr>
      <w:r>
        <w:rPr/>
        <w:t>Interest of the topic</w:t>
      </w:r>
    </w:p>
    <w:p>
      <w:pPr>
        <w:pStyle w:val="LOnormal"/>
        <w:numPr>
          <w:ilvl w:val="0"/>
          <w:numId w:val="6"/>
        </w:numPr>
        <w:ind w:left="720" w:hanging="360"/>
        <w:jc w:val="both"/>
        <w:rPr>
          <w:u w:val="none"/>
        </w:rPr>
      </w:pPr>
      <w:r>
        <w:rPr/>
        <w:t>Analysis of the Brazilian case</w:t>
      </w:r>
    </w:p>
    <w:p>
      <w:pPr>
        <w:pStyle w:val="LOnormal"/>
        <w:numPr>
          <w:ilvl w:val="0"/>
          <w:numId w:val="6"/>
        </w:numPr>
        <w:ind w:left="720" w:hanging="360"/>
        <w:jc w:val="both"/>
        <w:rPr>
          <w:u w:val="none"/>
        </w:rPr>
      </w:pPr>
      <w:r>
        <w:rPr/>
        <w:t>Cohort perspective</w:t>
      </w:r>
    </w:p>
    <w:p>
      <w:pPr>
        <w:pStyle w:val="LOnormal"/>
        <w:numPr>
          <w:ilvl w:val="0"/>
          <w:numId w:val="6"/>
        </w:numPr>
        <w:ind w:left="720" w:hanging="360"/>
        <w:jc w:val="both"/>
        <w:rPr>
          <w:u w:val="none"/>
        </w:rPr>
      </w:pPr>
      <w:r>
        <w:rPr/>
        <w:t>Methodological approach</w:t>
      </w:r>
    </w:p>
    <w:p>
      <w:pPr>
        <w:pStyle w:val="LOnormal"/>
        <w:numPr>
          <w:ilvl w:val="0"/>
          <w:numId w:val="6"/>
        </w:numPr>
        <w:ind w:left="720" w:hanging="360"/>
        <w:jc w:val="both"/>
        <w:rPr>
          <w:u w:val="none"/>
        </w:rPr>
      </w:pPr>
      <w:r>
        <w:rPr/>
        <w:t>Considering individual and partner's educational attainment (original perspective)</w:t>
      </w:r>
    </w:p>
    <w:p>
      <w:pPr>
        <w:pStyle w:val="LOnormal"/>
        <w:ind w:left="0" w:hanging="0"/>
        <w:jc w:val="both"/>
        <w:rPr/>
      </w:pPr>
      <w:r>
        <w:rPr/>
      </w:r>
    </w:p>
    <w:p>
      <w:pPr>
        <w:pStyle w:val="LOnormal"/>
        <w:ind w:left="0" w:hanging="0"/>
        <w:jc w:val="both"/>
        <w:rPr/>
      </w:pPr>
      <w:r>
        <w:rPr/>
        <w:t>Main Weaknesses:</w:t>
      </w:r>
    </w:p>
    <w:p>
      <w:pPr>
        <w:pStyle w:val="LOnormal"/>
        <w:numPr>
          <w:ilvl w:val="0"/>
          <w:numId w:val="2"/>
        </w:numPr>
        <w:ind w:left="720" w:hanging="360"/>
        <w:jc w:val="both"/>
        <w:rPr>
          <w:u w:val="none"/>
        </w:rPr>
      </w:pPr>
      <w:r>
        <w:rPr/>
        <w:t>Confirmatory results</w:t>
      </w:r>
    </w:p>
    <w:p>
      <w:pPr>
        <w:pStyle w:val="LOnormal"/>
        <w:numPr>
          <w:ilvl w:val="0"/>
          <w:numId w:val="2"/>
        </w:numPr>
        <w:ind w:left="720" w:hanging="360"/>
        <w:jc w:val="both"/>
        <w:rPr>
          <w:u w:val="none"/>
        </w:rPr>
      </w:pPr>
      <w:r>
        <w:rPr/>
        <w:t>Important limitations with the data</w:t>
      </w:r>
    </w:p>
    <w:p>
      <w:pPr>
        <w:pStyle w:val="LOnormal"/>
        <w:ind w:left="0" w:hanging="0"/>
        <w:jc w:val="both"/>
        <w:rPr/>
      </w:pPr>
      <w:r>
        <w:rPr/>
      </w:r>
    </w:p>
    <w:p>
      <w:pPr>
        <w:pStyle w:val="LOnormal"/>
        <w:ind w:left="0" w:hanging="0"/>
        <w:jc w:val="both"/>
        <w:rPr/>
      </w:pPr>
      <w:r>
        <w:rPr/>
        <w:t>Recommendations to Author:</w:t>
      </w:r>
    </w:p>
    <w:p>
      <w:pPr>
        <w:pStyle w:val="LOnormal"/>
        <w:ind w:left="0" w:hanging="0"/>
        <w:jc w:val="both"/>
        <w:rPr/>
      </w:pPr>
      <w:r>
        <w:rPr/>
      </w:r>
    </w:p>
    <w:p>
      <w:pPr>
        <w:pStyle w:val="LOnormal"/>
        <w:numPr>
          <w:ilvl w:val="0"/>
          <w:numId w:val="7"/>
        </w:numPr>
        <w:ind w:left="720" w:hanging="360"/>
        <w:jc w:val="both"/>
        <w:rPr>
          <w:u w:val="none"/>
        </w:rPr>
      </w:pPr>
      <w:r>
        <w:rPr/>
        <w:t>Results are mainly confirmatory and very much in line with previous studies. Considering the partner’s educational attainment does not bring new insights. It does not seem a relevant dimension to include, mainly because the vast majority of couples are homogamous in which both partners have low levels of education. Despite this, I would like to see this paper published in Demographic but probably in a more compact and concise version.</w:t>
      </w:r>
    </w:p>
    <w:p>
      <w:pPr>
        <w:pStyle w:val="LOnormal"/>
        <w:ind w:left="0" w:hanging="0"/>
        <w:jc w:val="both"/>
        <w:rPr/>
      </w:pPr>
      <w:r>
        <w:rPr/>
      </w:r>
    </w:p>
    <w:p>
      <w:pPr>
        <w:pStyle w:val="LOnormal"/>
        <w:ind w:left="0" w:hanging="0"/>
        <w:jc w:val="both"/>
        <w:rPr/>
      </w:pPr>
      <w:r>
        <w:rPr/>
        <w:t>If the authors opt for a shorter version, I would suggest:</w:t>
      </w:r>
    </w:p>
    <w:p>
      <w:pPr>
        <w:pStyle w:val="LOnormal"/>
        <w:ind w:left="0" w:hanging="0"/>
        <w:jc w:val="both"/>
        <w:rPr/>
      </w:pPr>
      <w:r>
        <w:rPr/>
      </w:r>
    </w:p>
    <w:p>
      <w:pPr>
        <w:pStyle w:val="LOnormal"/>
        <w:ind w:left="0" w:hanging="0"/>
        <w:jc w:val="both"/>
        <w:rPr/>
      </w:pPr>
      <w:r>
        <w:rPr/>
        <w:t>a)  to shorten the background section and mention only those findings and literature that are strictly relevant to the specific topic of the paper: the decline of fertility and the expansion of education in Brazil.</w:t>
      </w:r>
    </w:p>
    <w:p>
      <w:pPr>
        <w:pStyle w:val="LOnormal"/>
        <w:numPr>
          <w:ilvl w:val="0"/>
          <w:numId w:val="0"/>
        </w:numPr>
        <w:ind w:left="720" w:hanging="0"/>
        <w:jc w:val="both"/>
        <w:rPr>
          <w:u w:val="none"/>
        </w:rPr>
      </w:pPr>
      <w:r>
        <w:rPr>
          <w:b/>
          <w:bCs/>
          <w:i/>
          <w:iCs/>
          <w:color w:val="C9211E"/>
          <w:u w:val="none"/>
        </w:rPr>
        <w:t xml:space="preserve">Answer: </w:t>
      </w:r>
    </w:p>
    <w:p>
      <w:pPr>
        <w:pStyle w:val="LOnormal"/>
        <w:ind w:left="0" w:hanging="0"/>
        <w:jc w:val="both"/>
        <w:rPr/>
      </w:pPr>
      <w:r>
        <w:rPr/>
      </w:r>
    </w:p>
    <w:p>
      <w:pPr>
        <w:pStyle w:val="LOnormal"/>
        <w:ind w:left="0" w:hanging="0"/>
        <w:jc w:val="both"/>
        <w:rPr/>
      </w:pPr>
      <w:r>
        <w:rPr/>
        <w:t>b) Is the regional sub-national analysis relevant for this paper? Despite differences in levels, regional trends mimic national trends. I see the regional analysis as an unnecessary distraction for the paper.</w:t>
      </w:r>
    </w:p>
    <w:p>
      <w:pPr>
        <w:pStyle w:val="LOnormal"/>
        <w:ind w:left="0" w:hanging="0"/>
        <w:jc w:val="both"/>
        <w:rPr/>
      </w:pPr>
      <w:r>
        <w:rPr/>
      </w:r>
    </w:p>
    <w:p>
      <w:pPr>
        <w:pStyle w:val="LOnormal"/>
        <w:numPr>
          <w:ilvl w:val="0"/>
          <w:numId w:val="0"/>
        </w:numPr>
        <w:ind w:left="720" w:hanging="0"/>
        <w:jc w:val="both"/>
        <w:rPr>
          <w:u w:val="none"/>
        </w:rPr>
      </w:pPr>
      <w:r>
        <w:rPr>
          <w:b/>
          <w:bCs/>
          <w:i/>
          <w:iCs/>
          <w:color w:val="C9211E"/>
          <w:u w:val="none"/>
        </w:rPr>
        <w:t xml:space="preserve">Answer: </w:t>
      </w:r>
      <w:r>
        <w:rPr>
          <w:b/>
          <w:bCs/>
          <w:i/>
          <w:iCs/>
          <w:color w:val="000000"/>
          <w:u w:val="none"/>
        </w:rPr>
        <w:t>Thank you for your point. We have moved the regional results to the appendix section. We still think these results are valuable, since Brazilian regions display different paces and levels during fertility transition process.</w:t>
      </w:r>
    </w:p>
    <w:p>
      <w:pPr>
        <w:pStyle w:val="LOnormal"/>
        <w:numPr>
          <w:ilvl w:val="0"/>
          <w:numId w:val="0"/>
        </w:numPr>
        <w:ind w:left="1080" w:hanging="0"/>
        <w:jc w:val="both"/>
        <w:rPr>
          <w:u w:val="none"/>
        </w:rPr>
      </w:pPr>
      <w:r>
        <w:rPr>
          <w:u w:val="none"/>
        </w:rPr>
      </w:r>
    </w:p>
    <w:p>
      <w:pPr>
        <w:pStyle w:val="LOnormal"/>
        <w:ind w:left="0" w:hanging="0"/>
        <w:jc w:val="both"/>
        <w:rPr/>
      </w:pPr>
      <w:r>
        <w:rPr/>
        <w:t>From a methodological perspective, the authors make a good use of the data available and are very much aware of their limitations. However, I consider that they are underestimating the importance of some of the limitations. My methodological concerns are:</w:t>
      </w:r>
    </w:p>
    <w:p>
      <w:pPr>
        <w:pStyle w:val="LOnormal"/>
        <w:ind w:left="0" w:hanging="0"/>
        <w:jc w:val="both"/>
        <w:rPr/>
      </w:pPr>
      <w:r>
        <w:rPr/>
      </w:r>
    </w:p>
    <w:p>
      <w:pPr>
        <w:pStyle w:val="LOnormal"/>
        <w:ind w:left="0" w:hanging="0"/>
        <w:jc w:val="both"/>
        <w:rPr/>
      </w:pPr>
      <w:r>
        <w:rPr/>
        <w:t xml:space="preserve">c) </w:t>
      </w:r>
      <w:r>
        <w:rPr>
          <w:b/>
        </w:rPr>
        <w:t>Using current unions is certainly problematic</w:t>
      </w:r>
      <w:r>
        <w:rPr/>
        <w:t xml:space="preserve">. There is not good data on union dissolution but there is indirect evidence that it is important. Moreover, partnered women and men might have had children with different partners due to second and later unions.  </w:t>
      </w:r>
    </w:p>
    <w:p>
      <w:pPr>
        <w:pStyle w:val="LOnormal"/>
        <w:numPr>
          <w:ilvl w:val="0"/>
          <w:numId w:val="0"/>
        </w:numPr>
        <w:ind w:left="720" w:hanging="0"/>
        <w:jc w:val="both"/>
        <w:rPr>
          <w:u w:val="none"/>
        </w:rPr>
      </w:pPr>
      <w:r>
        <w:rPr>
          <w:b/>
          <w:bCs/>
          <w:i/>
          <w:iCs/>
          <w:color w:val="C9211E"/>
          <w:u w:val="none"/>
        </w:rPr>
        <w:t xml:space="preserve">Answer: </w:t>
      </w:r>
      <w:r>
        <w:rPr>
          <w:b/>
          <w:bCs/>
          <w:i/>
          <w:iCs/>
          <w:color w:val="000000"/>
          <w:u w:val="none"/>
        </w:rPr>
        <w:t>We have pointed out this issue in out section 3.4 of Data and Methods. Even though we might count births from different unions or not count births from divorced women, since we do not have data on marriage histories, the divorce rates of Brazil were not to high to invalidate our approach.</w:t>
      </w:r>
    </w:p>
    <w:p>
      <w:pPr>
        <w:pStyle w:val="LOnormal"/>
        <w:numPr>
          <w:ilvl w:val="0"/>
          <w:numId w:val="0"/>
        </w:numPr>
        <w:ind w:left="720" w:hanging="0"/>
        <w:jc w:val="both"/>
        <w:rPr>
          <w:u w:val="none"/>
        </w:rPr>
      </w:pPr>
      <w:r>
        <w:rPr>
          <w:u w:val="none"/>
        </w:rPr>
      </w:r>
    </w:p>
    <w:p>
      <w:pPr>
        <w:pStyle w:val="LOnormal"/>
        <w:ind w:left="0" w:hanging="0"/>
        <w:jc w:val="both"/>
        <w:rPr>
          <w:b/>
          <w:b/>
        </w:rPr>
      </w:pPr>
      <w:r>
        <w:rPr/>
        <w:t>d)</w:t>
      </w:r>
      <w:r>
        <w:rPr>
          <w:b w:val="false"/>
          <w:bCs w:val="false"/>
        </w:rPr>
        <w:t xml:space="preserve"> Have single mothers and fathers been included in the analysis? There is a sizeable proportion of single mothers.</w:t>
      </w:r>
    </w:p>
    <w:p>
      <w:pPr>
        <w:pStyle w:val="LOnormal"/>
        <w:ind w:left="0" w:hanging="0"/>
        <w:jc w:val="both"/>
        <w:rPr>
          <w:b/>
          <w:b/>
        </w:rPr>
      </w:pPr>
      <w:r>
        <w:rPr>
          <w:b/>
        </w:rPr>
      </w:r>
    </w:p>
    <w:p>
      <w:pPr>
        <w:pStyle w:val="LOnormal"/>
        <w:numPr>
          <w:ilvl w:val="0"/>
          <w:numId w:val="0"/>
        </w:numPr>
        <w:ind w:left="720" w:hanging="0"/>
        <w:jc w:val="both"/>
        <w:rPr>
          <w:u w:val="none"/>
        </w:rPr>
      </w:pPr>
      <w:r>
        <w:rPr>
          <w:b/>
          <w:bCs/>
          <w:i/>
          <w:iCs/>
          <w:color w:val="C9211E"/>
          <w:u w:val="none"/>
        </w:rPr>
        <w:t xml:space="preserve">Answer: </w:t>
      </w:r>
      <w:r>
        <w:rPr>
          <w:b/>
          <w:bCs/>
          <w:i/>
          <w:iCs/>
          <w:color w:val="000000"/>
          <w:u w:val="none"/>
        </w:rPr>
        <w:t>The reviewer has made an important concern. We have included the CFR estimates for all women in our results, however, the unit of analysis of our paper is couple’s educational pairings, in order to account for both partner’s educational changes on fertility decline.</w:t>
      </w:r>
    </w:p>
    <w:p>
      <w:pPr>
        <w:pStyle w:val="LOnormal"/>
        <w:numPr>
          <w:ilvl w:val="0"/>
          <w:numId w:val="0"/>
        </w:numPr>
        <w:ind w:left="720" w:hanging="0"/>
        <w:jc w:val="both"/>
        <w:rPr>
          <w:u w:val="none"/>
        </w:rPr>
      </w:pPr>
      <w:r>
        <w:rPr>
          <w:u w:val="none"/>
        </w:rPr>
      </w:r>
    </w:p>
    <w:p>
      <w:pPr>
        <w:pStyle w:val="LOnormal"/>
        <w:ind w:left="0" w:hanging="0"/>
        <w:jc w:val="both"/>
        <w:rPr/>
      </w:pPr>
      <w:r>
        <w:rPr/>
        <w:t>e) IPUMS provides pointer variables to identify partners within the household (SPLOC). Why the authors have not chosen SPLOC?</w:t>
      </w:r>
    </w:p>
    <w:p>
      <w:pPr>
        <w:pStyle w:val="LOnormal"/>
        <w:ind w:hanging="0"/>
        <w:jc w:val="both"/>
        <w:rPr>
          <w:u w:val="none"/>
        </w:rPr>
      </w:pPr>
      <w:r>
        <w:rPr>
          <w:b/>
          <w:bCs/>
          <w:i/>
          <w:iCs/>
          <w:color w:val="C9211E"/>
          <w:u w:val="none"/>
        </w:rPr>
        <w:t xml:space="preserve">Answer: </w:t>
      </w:r>
    </w:p>
    <w:p>
      <w:pPr>
        <w:pStyle w:val="LOnormal"/>
        <w:ind w:left="0" w:hanging="0"/>
        <w:jc w:val="both"/>
        <w:rPr/>
      </w:pPr>
      <w:r>
        <w:rPr/>
      </w:r>
    </w:p>
    <w:p>
      <w:pPr>
        <w:pStyle w:val="LOnormal"/>
        <w:ind w:left="0" w:hanging="0"/>
        <w:jc w:val="both"/>
        <w:rPr>
          <w:b/>
          <w:b/>
        </w:rPr>
      </w:pPr>
      <w:r>
        <w:rPr/>
        <w:t xml:space="preserve">f) </w:t>
      </w:r>
      <w:r>
        <w:rPr>
          <w:b/>
        </w:rPr>
        <w:t>Please consider including a descriptive graph about the female and male educational expansion and changes in assortative mating.</w:t>
      </w:r>
    </w:p>
    <w:p>
      <w:pPr>
        <w:pStyle w:val="LOnormal"/>
        <w:ind w:hanging="0"/>
        <w:jc w:val="both"/>
        <w:rPr>
          <w:u w:val="none"/>
        </w:rPr>
      </w:pPr>
      <w:r>
        <w:rPr/>
      </w:r>
    </w:p>
    <w:p>
      <w:pPr>
        <w:pStyle w:val="LOnormal"/>
        <w:ind w:hanging="0"/>
        <w:jc w:val="both"/>
        <w:rPr>
          <w:u w:val="none"/>
        </w:rPr>
      </w:pPr>
      <w:r>
        <w:rPr>
          <w:b/>
          <w:bCs/>
          <w:i/>
          <w:iCs/>
          <w:color w:val="C9211E"/>
          <w:u w:val="none"/>
        </w:rPr>
        <w:t xml:space="preserve">Answer: </w:t>
      </w:r>
      <w:r>
        <w:rPr>
          <w:b/>
          <w:bCs/>
          <w:i/>
          <w:iCs/>
          <w:color w:val="000000"/>
          <w:u w:val="none"/>
        </w:rPr>
        <w:t>Thanks for the suggestion, we included a graph showing trends in heterogamy and homogamy and tables providing the composition of educational pairings throughout female birth cohorts.</w:t>
      </w:r>
    </w:p>
    <w:p>
      <w:pPr>
        <w:pStyle w:val="LOnormal"/>
        <w:ind w:left="0" w:hanging="0"/>
        <w:jc w:val="both"/>
        <w:rPr/>
      </w:pPr>
      <w:r>
        <w:rPr/>
      </w:r>
    </w:p>
    <w:p>
      <w:pPr>
        <w:pStyle w:val="LOnormal"/>
        <w:ind w:left="0" w:hanging="0"/>
        <w:jc w:val="both"/>
        <w:rPr>
          <w:b/>
          <w:b/>
        </w:rPr>
      </w:pPr>
      <w:r>
        <w:rPr/>
        <w:t xml:space="preserve">g) </w:t>
      </w:r>
      <w:r>
        <w:rPr>
          <w:b/>
        </w:rPr>
        <w:t>How have the different censuses been combined?</w:t>
      </w:r>
      <w:r>
        <w:rPr/>
        <w:t xml:space="preserve"> The use of multiple censuses is a good strategy but this means that there is more than one observation for the same cohort (at different ages though). </w:t>
      </w:r>
      <w:r>
        <w:rPr>
          <w:b/>
        </w:rPr>
        <w:t>Are there significant differences over time within the same cohort? Would it be a good strategy to compare cohorts at similar ages to minimize the effect of not having retrospective information about union histories?</w:t>
      </w:r>
    </w:p>
    <w:p>
      <w:pPr>
        <w:pStyle w:val="LOnormal"/>
        <w:ind w:left="0" w:hanging="0"/>
        <w:jc w:val="both"/>
        <w:rPr/>
      </w:pPr>
      <w:r>
        <w:rPr/>
      </w:r>
    </w:p>
    <w:p>
      <w:pPr>
        <w:pStyle w:val="LOnormal"/>
        <w:ind w:left="0" w:hanging="0"/>
        <w:jc w:val="both"/>
        <w:rPr/>
      </w:pPr>
      <w:r>
        <w:rPr/>
        <w:t>It would have been better to show how couples have changes over the years. And the fertility trends.</w:t>
      </w:r>
    </w:p>
    <w:p>
      <w:pPr>
        <w:pStyle w:val="LOnormal"/>
        <w:ind w:hanging="0"/>
        <w:jc w:val="both"/>
        <w:rPr>
          <w:u w:val="none"/>
        </w:rPr>
      </w:pPr>
      <w:r>
        <w:rPr>
          <w:b/>
          <w:bCs/>
          <w:i/>
          <w:iCs/>
          <w:color w:val="C9211E"/>
          <w:u w:val="none"/>
        </w:rPr>
        <w:t xml:space="preserve">Answer: </w:t>
      </w:r>
    </w:p>
    <w:p>
      <w:pPr>
        <w:pStyle w:val="LOnormal"/>
        <w:ind w:hanging="0"/>
        <w:jc w:val="both"/>
        <w:rPr>
          <w:u w:val="none"/>
        </w:rPr>
      </w:pPr>
      <w:r>
        <w:rPr>
          <w:u w:val="none"/>
        </w:rPr>
      </w:r>
    </w:p>
    <w:p>
      <w:pPr>
        <w:pStyle w:val="LOnormal"/>
        <w:ind w:left="0" w:hanging="0"/>
        <w:jc w:val="both"/>
        <w:rPr/>
      </w:pPr>
      <w:r>
        <w:rPr/>
        <w:t>General fertility is driven by women’s education. Partner characteristics matter little except when men are less educated.</w:t>
      </w:r>
    </w:p>
    <w:p>
      <w:pPr>
        <w:pStyle w:val="LOnormal"/>
        <w:ind w:hanging="0"/>
        <w:jc w:val="both"/>
        <w:rPr>
          <w:u w:val="none"/>
        </w:rPr>
      </w:pPr>
      <w:r>
        <w:rPr>
          <w:b/>
          <w:bCs/>
          <w:i/>
          <w:iCs/>
          <w:color w:val="C9211E"/>
          <w:u w:val="none"/>
        </w:rPr>
        <w:t xml:space="preserve">Answer: </w:t>
      </w:r>
    </w:p>
    <w:p>
      <w:pPr>
        <w:pStyle w:val="LOnormal"/>
        <w:ind w:left="0" w:hanging="0"/>
        <w:jc w:val="both"/>
        <w:rPr/>
      </w:pPr>
      <w:r>
        <w:rPr/>
      </w:r>
    </w:p>
    <w:sectPr>
      <w:type w:val="nextPage"/>
      <w:pgSz w:w="11906" w:h="16838"/>
      <w:pgMar w:left="1440" w:right="1440" w:header="0" w:top="1440" w:footer="0" w:bottom="1440" w:gutter="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roman"/>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0"/>
        </w:tabs>
        <w:ind w:left="720" w:hanging="360"/>
      </w:pPr>
      <w:rPr>
        <w:rFonts w:ascii="OpenSymbol" w:hAnsi="OpenSymbol" w:cs="OpenSymbol" w:hint="default"/>
      </w:rPr>
    </w:lvl>
    <w:lvl w:ilvl="1">
      <w:start w:val="1"/>
      <w:numFmt w:val="bullet"/>
      <w:lvlText w:val="-"/>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OpenSymbol" w:hAnsi="OpenSymbol" w:cs="OpenSymbol" w:hint="default"/>
      </w:rPr>
    </w:lvl>
    <w:lvl w:ilvl="4">
      <w:start w:val="1"/>
      <w:numFmt w:val="bullet"/>
      <w:lvlText w:val="-"/>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OpenSymbol" w:hAnsi="OpenSymbol" w:cs="OpenSymbol" w:hint="default"/>
      </w:rPr>
    </w:lvl>
    <w:lvl w:ilvl="7">
      <w:start w:val="1"/>
      <w:numFmt w:val="bullet"/>
      <w:lvlText w:val="-"/>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3">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4">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5">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6">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7">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LOnormal"/>
    <w:next w:val="LOnormal"/>
    <w:qFormat/>
    <w:pPr>
      <w:keepNext w:val="true"/>
      <w:keepLines/>
      <w:spacing w:lineRule="auto" w:line="240" w:before="400" w:after="120"/>
    </w:pPr>
    <w:rPr>
      <w:sz w:val="40"/>
      <w:szCs w:val="40"/>
    </w:rPr>
  </w:style>
  <w:style w:type="paragraph" w:styleId="Heading2">
    <w:name w:val="Heading 2"/>
    <w:basedOn w:val="LOnormal"/>
    <w:next w:val="LOnormal"/>
    <w:qFormat/>
    <w:pPr>
      <w:keepNext w:val="true"/>
      <w:keepLines/>
      <w:spacing w:lineRule="auto" w:line="240" w:before="360" w:after="120"/>
    </w:pPr>
    <w:rPr>
      <w:b w:val="false"/>
      <w:sz w:val="32"/>
      <w:szCs w:val="32"/>
    </w:rPr>
  </w:style>
  <w:style w:type="paragraph" w:styleId="Heading3">
    <w:name w:val="Heading 3"/>
    <w:basedOn w:val="LOnormal"/>
    <w:next w:val="LOnormal"/>
    <w:qFormat/>
    <w:pPr>
      <w:keepNext w:val="true"/>
      <w:keepLines/>
      <w:spacing w:lineRule="auto" w:line="240" w:before="320" w:after="80"/>
    </w:pPr>
    <w:rPr>
      <w:b w:val="false"/>
      <w:color w:val="434343"/>
      <w:sz w:val="28"/>
      <w:szCs w:val="28"/>
    </w:rPr>
  </w:style>
  <w:style w:type="paragraph" w:styleId="Heading4">
    <w:name w:val="Heading 4"/>
    <w:basedOn w:val="LOnormal"/>
    <w:next w:val="LOnormal"/>
    <w:qFormat/>
    <w:pPr>
      <w:keepNext w:val="true"/>
      <w:keepLines/>
      <w:spacing w:lineRule="auto" w:line="240" w:before="280" w:after="80"/>
    </w:pPr>
    <w:rPr>
      <w:color w:val="666666"/>
      <w:sz w:val="24"/>
      <w:szCs w:val="24"/>
    </w:rPr>
  </w:style>
  <w:style w:type="paragraph" w:styleId="Heading5">
    <w:name w:val="Heading 5"/>
    <w:basedOn w:val="LOnormal"/>
    <w:next w:val="LOnormal"/>
    <w:qFormat/>
    <w:pPr>
      <w:keepNext w:val="true"/>
      <w:keepLines/>
      <w:spacing w:lineRule="auto" w:line="240" w:before="240" w:after="80"/>
    </w:pPr>
    <w:rPr>
      <w:color w:val="666666"/>
      <w:sz w:val="22"/>
      <w:szCs w:val="22"/>
    </w:rPr>
  </w:style>
  <w:style w:type="paragraph" w:styleId="Heading6">
    <w:name w:val="Heading 6"/>
    <w:basedOn w:val="LOnormal"/>
    <w:next w:val="LOnormal"/>
    <w:qFormat/>
    <w:pPr>
      <w:keepNext w:val="true"/>
      <w:keepLines/>
      <w:spacing w:lineRule="auto" w:line="240" w:before="240" w:after="80"/>
    </w:pPr>
    <w:rPr>
      <w:i/>
      <w:color w:val="666666"/>
      <w:sz w:val="22"/>
      <w:szCs w:val="22"/>
    </w:rPr>
  </w:style>
  <w:style w:type="character" w:styleId="InternetLink">
    <w:name w:val="Hyperlink"/>
    <w:rPr>
      <w:color w:val="00008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Onormal" w:default="1">
    <w:name w:val="LO-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LOnormal"/>
    <w:next w:val="LOnormal"/>
    <w:qFormat/>
    <w:pPr>
      <w:keepNext w:val="true"/>
      <w:keepLines/>
      <w:spacing w:lineRule="auto" w:line="240" w:before="0" w:after="60"/>
    </w:pPr>
    <w:rPr>
      <w:sz w:val="52"/>
      <w:szCs w:val="52"/>
    </w:rPr>
  </w:style>
  <w:style w:type="paragraph" w:styleId="Subtitle">
    <w:name w:val="Subtitle"/>
    <w:basedOn w:val="LOnormal"/>
    <w:next w:val="LOnormal"/>
    <w:qFormat/>
    <w:pPr>
      <w:keepNext w:val="true"/>
      <w:keepLines/>
      <w:spacing w:lineRule="auto" w:line="240" w:before="0" w:after="320"/>
    </w:pPr>
    <w:rPr>
      <w:rFonts w:ascii="Arial" w:hAnsi="Arial" w:eastAsia="Arial" w:cs="Arial"/>
      <w:i w:val="false"/>
      <w:color w:val="666666"/>
      <w:sz w:val="30"/>
      <w:szCs w:val="30"/>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i.org/10.1007/978-1-4020-9967-0_1"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9</TotalTime>
  <Application>LibreOffice/6.4.6.2$Linux_X86_64 LibreOffice_project/40$Build-2</Application>
  <Pages>6</Pages>
  <Words>2124</Words>
  <Characters>11446</Characters>
  <CharactersWithSpaces>13488</CharactersWithSpaces>
  <Paragraphs>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2021-03-23T01:15:32Z</dcterms:modified>
  <cp:revision>2</cp:revision>
  <dc:subject/>
  <dc:title/>
</cp:coreProperties>
</file>