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0"/>
          <w:szCs w:val="40"/>
        </w:rPr>
        <w:t xml:space="preserve">RACI Chart — Project Roles &amp; Responsibilities</w:t>
      </w:r>
    </w:p>
    <w:p>
      <w:pPr>
        <w:spacing w:after="80"/>
        <w:jc w:val="center"/>
      </w:pPr>
      <w:r>
        <w:rPr>
          <w:b/>
          <w:bCs/>
          <w:sz w:val="30"/>
          <w:szCs w:val="30"/>
        </w:rPr>
        <w:t xml:space="preserve">Seattle Watch Repair — Website Build &amp; AI Integration</w:t>
      </w:r>
    </w:p>
    <w:p>
      <w:pPr>
        <w:spacing w:after="360"/>
        <w:jc w:val="center"/>
      </w:pPr>
      <w:r>
        <w:rPr>
          <w:i/>
          <w:iCs/>
          <w:color w:val="666666"/>
          <w:sz w:val="22"/>
          <w:szCs w:val="22"/>
        </w:rPr>
        <w:t xml:space="preserve">Prepared by: Jose Horta  |  Date: April 26, 2026</w:t>
      </w:r>
    </w:p>
    <w:p>
      <w:pPr>
        <w:pStyle w:val="Heading2"/>
        <w:spacing w:after="120" w:before="240"/>
      </w:pPr>
      <w: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EEF2F7" w:val="clear"/>
            <w:tcMar>
              <w:top w:type="dxa" w:w="120"/>
              <w:left w:type="dxa" w:w="160"/>
              <w:bottom w:type="dxa" w:w="120"/>
              <w:right w:type="dxa" w:w="160"/>
            </w:tcMar>
          </w:tcPr>
          <w:p>
            <w:r>
              <w:rPr>
                <w:b/>
                <w:bCs/>
              </w:rPr>
              <w:t xml:space="preserve">Project Title</w:t>
            </w:r>
          </w:p>
        </w:tc>
        <w:tc>
          <w:tcPr>
            <w:tcW w:type="dxa" w:w="648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Seattle Watch Repair — Website Build &amp; AI Integration</w:t>
            </w:r>
          </w:p>
        </w:tc>
      </w:tr>
      <w:tr>
        <w:tc>
          <w:tcPr>
            <w:tcW w:type="dxa" w:w="2880"/>
            <w:tcBorders>
              <w:top w:val="single" w:color="BFBFBF" w:sz="4"/>
              <w:left w:val="single" w:color="BFBFBF" w:sz="4"/>
              <w:bottom w:val="single" w:color="BFBFBF" w:sz="4"/>
              <w:right w:val="single" w:color="BFBFBF" w:sz="4"/>
            </w:tcBorders>
            <w:shd w:fill="EEF2F7" w:val="clear"/>
            <w:tcMar>
              <w:top w:type="dxa" w:w="120"/>
              <w:left w:type="dxa" w:w="160"/>
              <w:bottom w:type="dxa" w:w="120"/>
              <w:right w:type="dxa" w:w="160"/>
            </w:tcMar>
          </w:tcPr>
          <w:p>
            <w:r>
              <w:rPr>
                <w:b/>
                <w:bCs/>
              </w:rPr>
              <w:t xml:space="preserve">Project Owner</w:t>
            </w:r>
          </w:p>
        </w:tc>
        <w:tc>
          <w:tcPr>
            <w:tcW w:type="dxa" w:w="648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Jose Horta</w:t>
            </w:r>
          </w:p>
        </w:tc>
      </w:tr>
      <w:tr>
        <w:tc>
          <w:tcPr>
            <w:tcW w:type="dxa" w:w="2880"/>
            <w:tcBorders>
              <w:top w:val="single" w:color="BFBFBF" w:sz="4"/>
              <w:left w:val="single" w:color="BFBFBF" w:sz="4"/>
              <w:bottom w:val="single" w:color="BFBFBF" w:sz="4"/>
              <w:right w:val="single" w:color="BFBFBF" w:sz="4"/>
            </w:tcBorders>
            <w:shd w:fill="EEF2F7" w:val="clear"/>
            <w:tcMar>
              <w:top w:type="dxa" w:w="120"/>
              <w:left w:type="dxa" w:w="160"/>
              <w:bottom w:type="dxa" w:w="120"/>
              <w:right w:type="dxa" w:w="160"/>
            </w:tcMar>
          </w:tcPr>
          <w:p>
            <w:r>
              <w:rPr>
                <w:b/>
                <w:bCs/>
              </w:rPr>
              <w:t xml:space="preserve">Client</w:t>
            </w:r>
          </w:p>
        </w:tc>
        <w:tc>
          <w:tcPr>
            <w:tcW w:type="dxa" w:w="648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Seattle Watch Repair (independent watch restoration shop)</w:t>
            </w:r>
          </w:p>
        </w:tc>
      </w:tr>
      <w:tr>
        <w:tc>
          <w:tcPr>
            <w:tcW w:type="dxa" w:w="2880"/>
            <w:tcBorders>
              <w:top w:val="single" w:color="BFBFBF" w:sz="4"/>
              <w:left w:val="single" w:color="BFBFBF" w:sz="4"/>
              <w:bottom w:val="single" w:color="BFBFBF" w:sz="4"/>
              <w:right w:val="single" w:color="BFBFBF" w:sz="4"/>
            </w:tcBorders>
            <w:shd w:fill="EEF2F7" w:val="clear"/>
            <w:tcMar>
              <w:top w:type="dxa" w:w="120"/>
              <w:left w:type="dxa" w:w="160"/>
              <w:bottom w:type="dxa" w:w="120"/>
              <w:right w:type="dxa" w:w="160"/>
            </w:tcMar>
          </w:tcPr>
          <w:p>
            <w:r>
              <w:rPr>
                <w:b/>
                <w:bCs/>
              </w:rPr>
              <w:t xml:space="preserve">Domain</w:t>
            </w:r>
          </w:p>
        </w:tc>
        <w:tc>
          <w:tcPr>
            <w:tcW w:type="dxa" w:w="648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seattlewatchrepair.com</w:t>
            </w:r>
          </w:p>
        </w:tc>
      </w:tr>
      <w:tr>
        <w:tc>
          <w:tcPr>
            <w:tcW w:type="dxa" w:w="2880"/>
            <w:tcBorders>
              <w:top w:val="single" w:color="BFBFBF" w:sz="4"/>
              <w:left w:val="single" w:color="BFBFBF" w:sz="4"/>
              <w:bottom w:val="single" w:color="BFBFBF" w:sz="4"/>
              <w:right w:val="single" w:color="BFBFBF" w:sz="4"/>
            </w:tcBorders>
            <w:shd w:fill="EEF2F7" w:val="clear"/>
            <w:tcMar>
              <w:top w:type="dxa" w:w="120"/>
              <w:left w:type="dxa" w:w="160"/>
              <w:bottom w:type="dxa" w:w="120"/>
              <w:right w:type="dxa" w:w="160"/>
            </w:tcMar>
          </w:tcPr>
          <w:p>
            <w:r>
              <w:rPr>
                <w:b/>
                <w:bCs/>
              </w:rPr>
              <w:t xml:space="preserve">Document Type</w:t>
            </w:r>
          </w:p>
        </w:tc>
        <w:tc>
          <w:tcPr>
            <w:tcW w:type="dxa" w:w="648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RACI Chart with analysis and revision</w:t>
            </w:r>
          </w:p>
        </w:tc>
      </w:tr>
      <w:tr>
        <w:tc>
          <w:tcPr>
            <w:tcW w:type="dxa" w:w="2880"/>
            <w:tcBorders>
              <w:top w:val="single" w:color="BFBFBF" w:sz="4"/>
              <w:left w:val="single" w:color="BFBFBF" w:sz="4"/>
              <w:bottom w:val="single" w:color="BFBFBF" w:sz="4"/>
              <w:right w:val="single" w:color="BFBFBF" w:sz="4"/>
            </w:tcBorders>
            <w:shd w:fill="EEF2F7" w:val="clear"/>
            <w:tcMar>
              <w:top w:type="dxa" w:w="120"/>
              <w:left w:type="dxa" w:w="160"/>
              <w:bottom w:type="dxa" w:w="120"/>
              <w:right w:type="dxa" w:w="160"/>
            </w:tcMar>
          </w:tcPr>
          <w:p>
            <w:r>
              <w:rPr>
                <w:b/>
                <w:bCs/>
              </w:rPr>
              <w:t xml:space="preserve">Document Version</w:t>
            </w:r>
          </w:p>
        </w:tc>
        <w:tc>
          <w:tcPr>
            <w:tcW w:type="dxa" w:w="648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1.0</w:t>
            </w:r>
          </w:p>
        </w:tc>
      </w:tr>
    </w:tbl>
    <w:p>
      <w:pPr>
        <w:spacing w:after="120"/>
      </w:pPr>
      <w:r>
        <w:t xml:space="preserve"/>
      </w:r>
    </w:p>
    <w:p>
      <w:pPr>
        <w:pStyle w:val="Heading1"/>
        <w:spacing w:after="180" w:before="360"/>
      </w:pPr>
      <w:r>
        <w:t xml:space="preserve">1. Project Overview</w:t>
      </w:r>
    </w:p>
    <w:p>
      <w:pPr>
        <w:spacing w:after="120"/>
      </w:pPr>
      <w:r>
        <w:t xml:space="preserve">Seattle Watch Repair is an independent watch restoration shop that needed a modern, production-grade website to replace an outdated online presence. The objective of this project was to design, build, and launch a full-stack web application that showcases the shop's restoration work, communicates trust and craftsmanship through a 1970s/80s retro-modern visual style, and reduces the volume of repetitive customer questions through an AI-powered chatbot.</w:t>
      </w:r>
    </w:p>
    <w:p>
      <w:pPr>
        <w:spacing w:after="120"/>
      </w:pPr>
      <w:r>
        <w:t xml:space="preserve">The project involves multiple distinct workstreams — visual design, frontend engineering, backend and AI integration, photography and content, deployment infrastructure, and testing — which makes it a meaningful candidate for a RACI exercise. Without explicit role clarity, decisions stall and ownership becomes ambiguous, especially during launch.</w:t>
      </w:r>
    </w:p>
    <w:p>
      <w:pPr>
        <w:pStyle w:val="Heading1"/>
        <w:spacing w:after="180" w:before="360"/>
      </w:pPr>
      <w:r>
        <w:t xml:space="preserve">2. Step 1 — Identify Tasks and Workload</w:t>
      </w:r>
    </w:p>
    <w:p>
      <w:pPr>
        <w:spacing w:after="120"/>
      </w:pPr>
      <w:r>
        <w:t xml:space="preserve">The work was decomposed into nine major tasks, several of which contain finer-grained subtasks. The twelve items in the RACI chart that follows represent the most significant deliverables and decision points where role clarity matters most.</w:t>
      </w:r>
    </w:p>
    <w:p>
      <w:pPr>
        <w:pStyle w:val="Heading3"/>
        <w:spacing w:after="100" w:before="180"/>
      </w:pPr>
      <w:r>
        <w:t xml:space="preserve">Major Tasks and Subtasks</w:t>
      </w:r>
    </w:p>
    <w:p>
      <w:pPr>
        <w:spacing w:after="120"/>
      </w:pPr>
      <w:r>
        <w:rPr>
          <w:b/>
          <w:bCs/>
        </w:rPr>
        <w:t xml:space="preserve">1. Discovery &amp; Requirements</w:t>
      </w:r>
    </w:p>
    <w:p>
      <w:pPr>
        <w:pStyle w:val="ListParagraph"/>
        <w:numPr>
          <w:ilvl w:val="0"/>
          <w:numId w:val="2"/>
        </w:numPr>
        <w:spacing w:after="80"/>
      </w:pPr>
      <w:r>
        <w:t xml:space="preserve">Stakeholder interviews with the shop owner.</w:t>
      </w:r>
    </w:p>
    <w:p>
      <w:pPr>
        <w:pStyle w:val="ListParagraph"/>
        <w:numPr>
          <w:ilvl w:val="0"/>
          <w:numId w:val="2"/>
        </w:numPr>
        <w:spacing w:after="80"/>
      </w:pPr>
      <w:r>
        <w:t xml:space="preserve">Content and asset inventory (existing logos, photos, prior copy).</w:t>
      </w:r>
    </w:p>
    <w:p>
      <w:pPr>
        <w:spacing w:after="120"/>
      </w:pPr>
      <w:r>
        <w:rPr>
          <w:b/>
          <w:bCs/>
        </w:rPr>
        <w:t xml:space="preserve">2. UX &amp; Visual Design</w:t>
      </w:r>
    </w:p>
    <w:p>
      <w:pPr>
        <w:pStyle w:val="ListParagraph"/>
        <w:numPr>
          <w:ilvl w:val="0"/>
          <w:numId w:val="2"/>
        </w:numPr>
        <w:spacing w:after="80"/>
      </w:pPr>
      <w:r>
        <w:t xml:space="preserve">Wireframes and site map.</w:t>
      </w:r>
    </w:p>
    <w:p>
      <w:pPr>
        <w:pStyle w:val="ListParagraph"/>
        <w:numPr>
          <w:ilvl w:val="0"/>
          <w:numId w:val="2"/>
        </w:numPr>
        <w:spacing w:after="80"/>
      </w:pPr>
      <w:r>
        <w:t xml:space="preserve">Visual style guide reflecting the retro-modern direction.</w:t>
      </w:r>
    </w:p>
    <w:p>
      <w:pPr>
        <w:spacing w:after="120"/>
      </w:pPr>
      <w:r>
        <w:rPr>
          <w:b/>
          <w:bCs/>
        </w:rPr>
        <w:t xml:space="preserve">3. Frontend Development</w:t>
      </w:r>
    </w:p>
    <w:p>
      <w:pPr>
        <w:pStyle w:val="ListParagraph"/>
        <w:numPr>
          <w:ilvl w:val="0"/>
          <w:numId w:val="2"/>
        </w:numPr>
        <w:spacing w:after="80"/>
      </w:pPr>
      <w:r>
        <w:t xml:space="preserve">Core page implementation in React with Vite.</w:t>
      </w:r>
    </w:p>
    <w:p>
      <w:pPr>
        <w:pStyle w:val="ListParagraph"/>
        <w:numPr>
          <w:ilvl w:val="0"/>
          <w:numId w:val="2"/>
        </w:numPr>
        <w:spacing w:after="80"/>
      </w:pPr>
      <w:r>
        <w:t xml:space="preserve">Restoration gallery component (before / after presentation).</w:t>
      </w:r>
    </w:p>
    <w:p>
      <w:pPr>
        <w:pStyle w:val="ListParagraph"/>
        <w:numPr>
          <w:ilvl w:val="0"/>
          <w:numId w:val="2"/>
        </w:numPr>
        <w:spacing w:after="80"/>
      </w:pPr>
      <w:r>
        <w:t xml:space="preserve">Watch value estimator UI.</w:t>
      </w:r>
    </w:p>
    <w:p>
      <w:pPr>
        <w:spacing w:after="120"/>
      </w:pPr>
      <w:r>
        <w:rPr>
          <w:b/>
          <w:bCs/>
        </w:rPr>
        <w:t xml:space="preserve">4. Backend &amp; AI Integration</w:t>
      </w:r>
    </w:p>
    <w:p>
      <w:pPr>
        <w:pStyle w:val="ListParagraph"/>
        <w:numPr>
          <w:ilvl w:val="0"/>
          <w:numId w:val="2"/>
        </w:numPr>
        <w:spacing w:after="80"/>
      </w:pPr>
      <w:r>
        <w:t xml:space="preserve">Express API setup.</w:t>
      </w:r>
    </w:p>
    <w:p>
      <w:pPr>
        <w:pStyle w:val="ListParagraph"/>
        <w:numPr>
          <w:ilvl w:val="0"/>
          <w:numId w:val="2"/>
        </w:numPr>
        <w:spacing w:after="80"/>
      </w:pPr>
      <w:r>
        <w:t xml:space="preserve">Anthropic-powered chatbot integration.</w:t>
      </w:r>
    </w:p>
    <w:p>
      <w:pPr>
        <w:pStyle w:val="ListParagraph"/>
        <w:numPr>
          <w:ilvl w:val="0"/>
          <w:numId w:val="2"/>
        </w:numPr>
        <w:spacing w:after="80"/>
      </w:pPr>
      <w:r>
        <w:t xml:space="preserve">EmailJS contact form.</w:t>
      </w:r>
    </w:p>
    <w:p>
      <w:pPr>
        <w:spacing w:after="120"/>
      </w:pPr>
      <w:r>
        <w:rPr>
          <w:b/>
          <w:bCs/>
        </w:rPr>
        <w:t xml:space="preserve">5. Content &amp; Imagery</w:t>
      </w:r>
    </w:p>
    <w:p>
      <w:pPr>
        <w:pStyle w:val="ListParagraph"/>
        <w:numPr>
          <w:ilvl w:val="0"/>
          <w:numId w:val="2"/>
        </w:numPr>
        <w:spacing w:after="80"/>
      </w:pPr>
      <w:r>
        <w:t xml:space="preserve">Photo curation and AI upscaling for antique pocket watch images.</w:t>
      </w:r>
    </w:p>
    <w:p>
      <w:pPr>
        <w:pStyle w:val="ListParagraph"/>
        <w:numPr>
          <w:ilvl w:val="0"/>
          <w:numId w:val="2"/>
        </w:numPr>
        <w:spacing w:after="80"/>
      </w:pPr>
      <w:r>
        <w:t xml:space="preserve">Copywriting for service pages.</w:t>
      </w:r>
    </w:p>
    <w:p>
      <w:pPr>
        <w:spacing w:after="120"/>
      </w:pPr>
      <w:r>
        <w:rPr>
          <w:b/>
          <w:bCs/>
        </w:rPr>
        <w:t xml:space="preserve">6. Deployment &amp; Infrastructure</w:t>
      </w:r>
    </w:p>
    <w:p>
      <w:pPr>
        <w:pStyle w:val="ListParagraph"/>
        <w:numPr>
          <w:ilvl w:val="0"/>
          <w:numId w:val="2"/>
        </w:numPr>
        <w:spacing w:after="80"/>
      </w:pPr>
      <w:r>
        <w:t xml:space="preserve">GoDaddy hosting setup with Node.js and cPanel.</w:t>
      </w:r>
    </w:p>
    <w:p>
      <w:pPr>
        <w:pStyle w:val="ListParagraph"/>
        <w:numPr>
          <w:ilvl w:val="0"/>
          <w:numId w:val="2"/>
        </w:numPr>
        <w:spacing w:after="80"/>
      </w:pPr>
      <w:r>
        <w:t xml:space="preserve">Apache .htaccess proxy configuration.</w:t>
      </w:r>
    </w:p>
    <w:p>
      <w:pPr>
        <w:spacing w:after="120"/>
      </w:pPr>
      <w:r>
        <w:rPr>
          <w:b/>
          <w:bCs/>
        </w:rPr>
        <w:t xml:space="preserve">7. Testing &amp; QA</w:t>
      </w:r>
    </w:p>
    <w:p>
      <w:pPr>
        <w:pStyle w:val="ListParagraph"/>
        <w:numPr>
          <w:ilvl w:val="0"/>
          <w:numId w:val="2"/>
        </w:numPr>
        <w:spacing w:after="80"/>
      </w:pPr>
      <w:r>
        <w:t xml:space="preserve">Cross-browser and mobile responsiveness testing.</w:t>
      </w:r>
    </w:p>
    <w:p>
      <w:pPr>
        <w:pStyle w:val="ListParagraph"/>
        <w:numPr>
          <w:ilvl w:val="0"/>
          <w:numId w:val="2"/>
        </w:numPr>
        <w:spacing w:after="80"/>
      </w:pPr>
      <w:r>
        <w:t xml:space="preserve">Accessibility checks.</w:t>
      </w:r>
    </w:p>
    <w:p>
      <w:pPr>
        <w:spacing w:after="120"/>
      </w:pPr>
      <w:r>
        <w:rPr>
          <w:b/>
          <w:bCs/>
        </w:rPr>
        <w:t xml:space="preserve">8. Launch</w:t>
      </w:r>
    </w:p>
    <w:p>
      <w:pPr>
        <w:pStyle w:val="ListParagraph"/>
        <w:numPr>
          <w:ilvl w:val="0"/>
          <w:numId w:val="2"/>
        </w:numPr>
        <w:spacing w:after="80"/>
      </w:pPr>
      <w:r>
        <w:t xml:space="preserve">DNS cutover and live smoke test.</w:t>
      </w:r>
    </w:p>
    <w:p>
      <w:pPr>
        <w:pStyle w:val="ListParagraph"/>
        <w:numPr>
          <w:ilvl w:val="0"/>
          <w:numId w:val="2"/>
        </w:numPr>
        <w:spacing w:after="80"/>
      </w:pPr>
      <w:r>
        <w:t xml:space="preserve">Client training and handoff.</w:t>
      </w:r>
    </w:p>
    <w:p>
      <w:pPr>
        <w:spacing w:after="120"/>
      </w:pPr>
      <w:r>
        <w:rPr>
          <w:b/>
          <w:bCs/>
        </w:rPr>
        <w:t xml:space="preserve">9. Post-launch Support</w:t>
      </w:r>
    </w:p>
    <w:p>
      <w:pPr>
        <w:pStyle w:val="ListParagraph"/>
        <w:numPr>
          <w:ilvl w:val="0"/>
          <w:numId w:val="2"/>
        </w:numPr>
        <w:spacing w:after="80"/>
      </w:pPr>
      <w:r>
        <w:t xml:space="preserve">Monitoring, analytics review, and documentation handoff.</w:t>
      </w:r>
    </w:p>
    <w:p>
      <w:pPr>
        <w:pStyle w:val="Heading1"/>
        <w:spacing w:after="180" w:before="360"/>
      </w:pPr>
      <w:r>
        <w:t xml:space="preserve">3. Step 2 — Identify Roles</w:t>
      </w:r>
    </w:p>
    <w:p>
      <w:pPr>
        <w:spacing w:after="120"/>
      </w:pPr>
      <w:r>
        <w:t xml:space="preserve">Six distinct roles cover the workstreams. Names are assigned hypothetically; in practice some roles were owner-operated by the project lead during the real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400"/>
        <w:gridCol w:w="6000"/>
      </w:tblGrid>
      <w:tr>
        <w:tc>
          <w:tcPr>
            <w:tcW w:type="dxa" w:w="96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r>
              <w:rPr>
                <w:b/>
                <w:bCs/>
                <w:color w:val="FFFFFF"/>
              </w:rPr>
              <w:t xml:space="preserve">Code</w:t>
            </w:r>
          </w:p>
        </w:tc>
        <w:tc>
          <w:tcPr>
            <w:tcW w:type="dxa" w:w="24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r>
              <w:rPr>
                <w:b/>
                <w:bCs/>
                <w:color w:val="FFFFFF"/>
              </w:rPr>
              <w:t xml:space="preserve">Role / Person</w:t>
            </w:r>
          </w:p>
        </w:tc>
        <w:tc>
          <w:tcPr>
            <w:tcW w:type="dxa" w:w="6000"/>
            <w:tcBorders>
              <w:top w:val="single" w:color="BFBFBF" w:sz="4"/>
              <w:left w:val="single" w:color="BFBFBF" w:sz="4"/>
              <w:bottom w:val="single" w:color="BFBFBF" w:sz="4"/>
              <w:right w:val="single" w:color="BFBFBF" w:sz="4"/>
            </w:tcBorders>
            <w:shd w:fill="1F3A5F" w:val="clear"/>
            <w:tcMar>
              <w:top w:type="dxa" w:w="120"/>
              <w:left w:type="dxa" w:w="160"/>
              <w:bottom w:type="dxa" w:w="120"/>
              <w:right w:type="dxa" w:w="160"/>
            </w:tcMar>
          </w:tcPr>
          <w:p>
            <w:r>
              <w:rPr>
                <w:b/>
                <w:bCs/>
                <w:color w:val="FFFFFF"/>
              </w:rPr>
              <w:t xml:space="preserve">Primary Responsibility</w:t>
            </w:r>
          </w:p>
        </w:tc>
      </w:tr>
      <w:tr>
        <w:tc>
          <w:tcPr>
            <w:tcW w:type="dxa" w:w="96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PM</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Project Manager — Jose Horta</w:t>
            </w:r>
          </w:p>
        </w:tc>
        <w:tc>
          <w:tcPr>
            <w:tcW w:type="dxa" w:w="60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Owns scope, schedule, and stakeholder communication. Final decision-maker on most deliverables and the single point of accountability to the client.</w:t>
            </w:r>
          </w:p>
        </w:tc>
      </w:tr>
      <w:tr>
        <w:tc>
          <w:tcPr>
            <w:tcW w:type="dxa" w:w="96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CL</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Client / Business Owner — Daniel Reyes</w:t>
            </w:r>
          </w:p>
        </w:tc>
        <w:tc>
          <w:tcPr>
            <w:tcW w:type="dxa" w:w="60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Provides business context, brand direction, photographic source material, and approval on customer-facing decisions. Ultimate sign-off authority on launch.</w:t>
            </w:r>
          </w:p>
        </w:tc>
      </w:tr>
      <w:tr>
        <w:tc>
          <w:tcPr>
            <w:tcW w:type="dxa" w:w="96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FE</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Frontend Developer — Mara Lin</w:t>
            </w:r>
          </w:p>
        </w:tc>
        <w:tc>
          <w:tcPr>
            <w:tcW w:type="dxa" w:w="60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Builds the React/Vite application, implements components, integrates the gallery and value estimator UI, and ensures mobile responsiveness.</w:t>
            </w:r>
          </w:p>
        </w:tc>
      </w:tr>
      <w:tr>
        <w:tc>
          <w:tcPr>
            <w:tcW w:type="dxa" w:w="96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BE</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Backend &amp; AI Developer — Tom Park</w:t>
            </w:r>
          </w:p>
        </w:tc>
        <w:tc>
          <w:tcPr>
            <w:tcW w:type="dxa" w:w="60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Builds the Express API, integrates the Anthropic chatbot, configures EmailJS, and owns the deployment plumbing on GoDaddy / cPanel.</w:t>
            </w:r>
          </w:p>
        </w:tc>
      </w:tr>
      <w:tr>
        <w:tc>
          <w:tcPr>
            <w:tcW w:type="dxa" w:w="96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UX</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UX &amp; Visual Designer — Sofia Alvarez</w:t>
            </w:r>
          </w:p>
        </w:tc>
        <w:tc>
          <w:tcPr>
            <w:tcW w:type="dxa" w:w="60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Owns wireframes, the retro-modern visual style guide, and the photo curation and upscaling workflow.</w:t>
            </w:r>
          </w:p>
        </w:tc>
      </w:tr>
      <w:tr>
        <w:tc>
          <w:tcPr>
            <w:tcW w:type="dxa" w:w="96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QA</w:t>
            </w:r>
          </w:p>
        </w:tc>
        <w:tc>
          <w:tcPr>
            <w:tcW w:type="dxa" w:w="24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QA / Tester — Devin Wright</w:t>
            </w:r>
          </w:p>
        </w:tc>
        <w:tc>
          <w:tcPr>
            <w:tcW w:type="dxa" w:w="6000"/>
            <w:tcBorders>
              <w:top w:val="single" w:color="BFBFBF" w:sz="4"/>
              <w:left w:val="single" w:color="BFBFBF" w:sz="4"/>
              <w:bottom w:val="single" w:color="BFBFBF" w:sz="4"/>
              <w:right w:val="single" w:color="BFBFBF" w:sz="4"/>
            </w:tcBorders>
            <w:tcMar>
              <w:top w:type="dxa" w:w="120"/>
              <w:left w:type="dxa" w:w="160"/>
              <w:bottom w:type="dxa" w:w="120"/>
              <w:right w:type="dxa" w:w="160"/>
            </w:tcMar>
          </w:tcPr>
          <w:p>
            <w:r>
              <w:t xml:space="preserve">Performs cross-browser and mobile testing, accessibility checks, and verifies launch readiness.</w:t>
            </w:r>
          </w:p>
        </w:tc>
      </w:tr>
    </w:tbl>
    <w:p>
      <w:pPr>
        <w:spacing w:after="120"/>
      </w:pPr>
      <w:r>
        <w:t xml:space="preserve"/>
      </w:r>
    </w:p>
    <w:p>
      <w:pPr>
        <w:pStyle w:val="Heading2"/>
        <w:spacing w:after="120" w:before="240"/>
      </w:pPr>
      <w:r>
        <w:t xml:space="preserve">RACI Legend</w:t>
      </w:r>
    </w:p>
    <w:p>
      <w:pPr>
        <w:pStyle w:val="ListParagraph"/>
        <w:numPr>
          <w:ilvl w:val="0"/>
          <w:numId w:val="2"/>
        </w:numPr>
        <w:spacing w:after="80"/>
      </w:pPr>
      <w:r>
        <w:t xml:space="preserve">R — Responsible: does the work. Multiple Rs allowed.</w:t>
      </w:r>
    </w:p>
    <w:p>
      <w:pPr>
        <w:pStyle w:val="ListParagraph"/>
        <w:numPr>
          <w:ilvl w:val="0"/>
          <w:numId w:val="2"/>
        </w:numPr>
        <w:spacing w:after="80"/>
      </w:pPr>
      <w:r>
        <w:t xml:space="preserve">A — Accountable: ultimately answerable for the task. Exactly one A per task.</w:t>
      </w:r>
    </w:p>
    <w:p>
      <w:pPr>
        <w:pStyle w:val="ListParagraph"/>
        <w:numPr>
          <w:ilvl w:val="0"/>
          <w:numId w:val="2"/>
        </w:numPr>
        <w:spacing w:after="80"/>
      </w:pPr>
      <w:r>
        <w:t xml:space="preserve">C — Consulted: provides input before decisions or actions.</w:t>
      </w:r>
    </w:p>
    <w:p>
      <w:pPr>
        <w:pStyle w:val="ListParagraph"/>
        <w:numPr>
          <w:ilvl w:val="0"/>
          <w:numId w:val="2"/>
        </w:numPr>
        <w:spacing w:after="80"/>
      </w:pPr>
      <w:r>
        <w:t xml:space="preserve">I — Informed: kept up to date on progress or outcomes.</w:t>
      </w:r>
    </w:p>
    <w:p>
      <w:pPr>
        <w:pStyle w:val="ListParagraph"/>
        <w:numPr>
          <w:ilvl w:val="0"/>
          <w:numId w:val="2"/>
        </w:numPr>
        <w:spacing w:after="80"/>
      </w:pPr>
      <w:r>
        <w:t xml:space="preserve">"A,R" indicates the same person is both Accountable and Responsible (allowed when one person performs the work and is answerable for it).</w:t>
      </w:r>
    </w:p>
    <w:p>
      <w:pPr>
        <w:pStyle w:val="Heading1"/>
        <w:spacing w:after="180" w:before="360"/>
      </w:pPr>
      <w:r>
        <w:t xml:space="preserve">4. Step 3 — Initial RACI Chart</w:t>
      </w:r>
    </w:p>
    <w:p>
      <w:pPr>
        <w:spacing w:after="120"/>
      </w:pPr>
      <w:r>
        <w:t xml:space="preserve">This is the first-pass chart, drafted before reviewing it against best practices. Issues that surface here are addressed in the analysis section and corrected in the revised chart.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1040"/>
        <w:gridCol w:w="1040"/>
        <w:gridCol w:w="1040"/>
        <w:gridCol w:w="1040"/>
        <w:gridCol w:w="1040"/>
        <w:gridCol w:w="1040"/>
      </w:tblGrid>
      <w:tr>
        <w:trPr>
          <w:tblHeader/>
        </w:trPr>
        <w:tc>
          <w:tcPr>
            <w:tcW w:type="dxa" w:w="48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w:t>
            </w:r>
          </w:p>
        </w:tc>
        <w:tc>
          <w:tcPr>
            <w:tcW w:type="dxa" w:w="26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Task / Subtask</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PM</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CL</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FE</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BE</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UX</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QA</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Stakeholder interviews &amp; requirements</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2</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Content &amp; asset inventory</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3</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Wireframes &amp; site map</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4</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Visual style guide (retro-modern)</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5</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Frontend implementation (React/Vite)</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6</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Restoration gallery component</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7</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Anthropic chatbot integration</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8</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EmailJS contact form</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9</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Photo curation &amp; AI upscaling</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10</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GoDaddy / cPanel / Node deployment</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11</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Cross-browser &amp; mobile QA</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12</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Launch &amp; client training</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bl>
    <w:p>
      <w:pPr>
        <w:spacing w:after="120"/>
      </w:pPr>
      <w:r>
        <w:t xml:space="preserve"/>
      </w:r>
    </w:p>
    <w:p>
      <w:pPr>
        <w:pStyle w:val="Heading1"/>
        <w:spacing w:after="180" w:before="360"/>
      </w:pPr>
      <w:r>
        <w:t xml:space="preserve">5. Step 4 — Analysis and Identified Gaps</w:t>
      </w:r>
    </w:p>
    <w:p>
      <w:pPr>
        <w:spacing w:after="120"/>
      </w:pPr>
      <w:r>
        <w:t xml:space="preserve">The initial chart was reviewed against the five lenses recommended in the Atlassian guide: gaps, overlaps, balance, consultation, and information flow. The findings below drove the revision.</w:t>
      </w:r>
    </w:p>
    <w:p>
      <w:pPr>
        <w:pStyle w:val="Heading2"/>
        <w:spacing w:after="120" w:before="240"/>
      </w:pPr>
      <w:r>
        <w:t xml:space="preserve">5.1 Gaps — Tasks Missing an Accountable</w:t>
      </w:r>
    </w:p>
    <w:p>
      <w:pPr>
        <w:pStyle w:val="ListParagraph"/>
        <w:numPr>
          <w:ilvl w:val="0"/>
          <w:numId w:val="2"/>
        </w:numPr>
        <w:spacing w:after="80"/>
      </w:pPr>
      <w:r>
        <w:t xml:space="preserve">Task 7 (Anthropic chatbot integration) had no A. The PM was marked R alongside the BE, but no one was answerable for the integration's success. This is the most common RACI failure mode — when AI integration breaks in production, ownership is unclear.</w:t>
      </w:r>
    </w:p>
    <w:p>
      <w:pPr>
        <w:pStyle w:val="ListParagraph"/>
        <w:numPr>
          <w:ilvl w:val="0"/>
          <w:numId w:val="2"/>
        </w:numPr>
        <w:spacing w:after="80"/>
      </w:pPr>
      <w:r>
        <w:t xml:space="preserve">Task 9 (Photo curation &amp; AI upscaling) also had no A. UX was R, but accountability was undefined, which is risky for a deliverable that drives the visual identity of the entire site.</w:t>
      </w:r>
    </w:p>
    <w:p>
      <w:pPr>
        <w:pStyle w:val="Heading2"/>
        <w:spacing w:after="120" w:before="240"/>
      </w:pPr>
      <w:r>
        <w:t xml:space="preserve">5.2 Overlaps — Multiple Accountables</w:t>
      </w:r>
    </w:p>
    <w:p>
      <w:pPr>
        <w:pStyle w:val="ListParagraph"/>
        <w:numPr>
          <w:ilvl w:val="0"/>
          <w:numId w:val="2"/>
        </w:numPr>
        <w:spacing w:after="80"/>
      </w:pPr>
      <w:r>
        <w:t xml:space="preserve">Task 10 (GoDaddy deployment) had two As — both PM and BE. RACI fundamentals require exactly one A per task. With two, the team would not know who has the final call when the deployment hits a configuration conflict on cPanel.</w:t>
      </w:r>
    </w:p>
    <w:p>
      <w:pPr>
        <w:pStyle w:val="Heading2"/>
        <w:spacing w:after="120" w:before="240"/>
      </w:pPr>
      <w:r>
        <w:t xml:space="preserve">5.3 Balance — Workload Distribution</w:t>
      </w:r>
    </w:p>
    <w:p>
      <w:pPr>
        <w:pStyle w:val="ListParagraph"/>
        <w:numPr>
          <w:ilvl w:val="0"/>
          <w:numId w:val="2"/>
        </w:numPr>
        <w:spacing w:after="80"/>
      </w:pPr>
      <w:r>
        <w:t xml:space="preserve">The Frontend Developer carried R on eight of twelve tasks in the initial chart, including tasks where their involvement was peripheral (such as stakeholder interviews). This is a workload red flag and risks the FE becoming a delivery bottleneck.</w:t>
      </w:r>
    </w:p>
    <w:p>
      <w:pPr>
        <w:pStyle w:val="ListParagraph"/>
        <w:numPr>
          <w:ilvl w:val="0"/>
          <w:numId w:val="2"/>
        </w:numPr>
        <w:spacing w:after="80"/>
      </w:pPr>
      <w:r>
        <w:t xml:space="preserve">The PM held A on eleven of twelve tasks, which is realistic for a small client engagement but creates a single point of failure if the PM is unavailable.</w:t>
      </w:r>
    </w:p>
    <w:p>
      <w:pPr>
        <w:pStyle w:val="Heading2"/>
        <w:spacing w:after="120" w:before="240"/>
      </w:pPr>
      <w:r>
        <w:t xml:space="preserve">5.4 Consultation — Too Many or Wrong Cs</w:t>
      </w:r>
    </w:p>
    <w:p>
      <w:pPr>
        <w:pStyle w:val="ListParagraph"/>
        <w:numPr>
          <w:ilvl w:val="0"/>
          <w:numId w:val="2"/>
        </w:numPr>
        <w:spacing w:after="80"/>
      </w:pPr>
      <w:r>
        <w:t xml:space="preserve">Task 4 (Visual style guide) listed four Cs across PM, FE, BE, and QA. Visual style is fundamentally a UX-led decision validated by the Client and the PM. Consulting the BE and QA on style direction adds noise and slows decision cycles without improving the outcome.</w:t>
      </w:r>
    </w:p>
    <w:p>
      <w:pPr>
        <w:pStyle w:val="ListParagraph"/>
        <w:numPr>
          <w:ilvl w:val="0"/>
          <w:numId w:val="2"/>
        </w:numPr>
        <w:spacing w:after="80"/>
      </w:pPr>
      <w:r>
        <w:t xml:space="preserve">The QA tester was only involved on the dedicated QA task. Pulling QA in earlier as a Consulted role on frontend tasks improves testability and surfaces accessibility concerns before they harden.</w:t>
      </w:r>
    </w:p>
    <w:p>
      <w:pPr>
        <w:pStyle w:val="Heading2"/>
        <w:spacing w:after="120" w:before="240"/>
      </w:pPr>
      <w:r>
        <w:t xml:space="preserve">5.5 Information Flow</w:t>
      </w:r>
    </w:p>
    <w:p>
      <w:pPr>
        <w:pStyle w:val="ListParagraph"/>
        <w:numPr>
          <w:ilvl w:val="0"/>
          <w:numId w:val="2"/>
        </w:numPr>
        <w:spacing w:after="80"/>
      </w:pPr>
      <w:r>
        <w:t xml:space="preserve">The Client was marked Informed on most technical tasks but absent from QA testing (Task 11). Clients should be at minimum I on QA so they understand what was tested before launch.</w:t>
      </w:r>
    </w:p>
    <w:p>
      <w:pPr>
        <w:pStyle w:val="ListParagraph"/>
        <w:numPr>
          <w:ilvl w:val="0"/>
          <w:numId w:val="2"/>
        </w:numPr>
        <w:spacing w:after="80"/>
      </w:pPr>
      <w:r>
        <w:t xml:space="preserve">On Launch &amp; Client Training (Task 12), the Client was only Informed. The Client must be Consulted on training because the training is for them.</w:t>
      </w:r>
    </w:p>
    <w:p>
      <w:pPr>
        <w:pStyle w:val="Heading2"/>
        <w:spacing w:after="120" w:before="240"/>
      </w:pPr>
      <w:r>
        <w:t xml:space="preserve">5.6 Summary of Required Changes</w:t>
      </w:r>
    </w:p>
    <w:p>
      <w:pPr>
        <w:pStyle w:val="ListParagraph"/>
        <w:numPr>
          <w:ilvl w:val="0"/>
          <w:numId w:val="3"/>
        </w:numPr>
        <w:spacing w:after="80"/>
      </w:pPr>
      <w:r>
        <w:t xml:space="preserve">Assign a single Accountable to Tasks 7 and 9 (BE and UX, respectively).</w:t>
      </w:r>
    </w:p>
    <w:p>
      <w:pPr>
        <w:pStyle w:val="ListParagraph"/>
        <w:numPr>
          <w:ilvl w:val="0"/>
          <w:numId w:val="3"/>
        </w:numPr>
        <w:spacing w:after="80"/>
      </w:pPr>
      <w:r>
        <w:t xml:space="preserve">Reduce Task 10 to one Accountable (PM) and re-class the BE as Responsible.</w:t>
      </w:r>
    </w:p>
    <w:p>
      <w:pPr>
        <w:pStyle w:val="ListParagraph"/>
        <w:numPr>
          <w:ilvl w:val="0"/>
          <w:numId w:val="3"/>
        </w:numPr>
        <w:spacing w:after="80"/>
      </w:pPr>
      <w:r>
        <w:t xml:space="preserve">Trim Cs on Task 4 to UX-led with Client and PM only.</w:t>
      </w:r>
    </w:p>
    <w:p>
      <w:pPr>
        <w:pStyle w:val="ListParagraph"/>
        <w:numPr>
          <w:ilvl w:val="0"/>
          <w:numId w:val="3"/>
        </w:numPr>
        <w:spacing w:after="80"/>
      </w:pPr>
      <w:r>
        <w:t xml:space="preserve">Add QA as a Consulted role on relevant frontend and backend tasks earlier in the timeline.</w:t>
      </w:r>
    </w:p>
    <w:p>
      <w:pPr>
        <w:pStyle w:val="ListParagraph"/>
        <w:numPr>
          <w:ilvl w:val="0"/>
          <w:numId w:val="3"/>
        </w:numPr>
        <w:spacing w:after="80"/>
      </w:pPr>
      <w:r>
        <w:t xml:space="preserve">Upgrade the Client from I to C on Task 12 and add as I on Task 11.</w:t>
      </w:r>
    </w:p>
    <w:p>
      <w:pPr>
        <w:pStyle w:val="ListParagraph"/>
        <w:numPr>
          <w:ilvl w:val="0"/>
          <w:numId w:val="3"/>
        </w:numPr>
        <w:spacing w:after="80"/>
      </w:pPr>
      <w:r>
        <w:t xml:space="preserve">Rebalance FE workload by reclassifying peripheral involvement from R to I.</w:t>
      </w:r>
    </w:p>
    <w:p>
      <w:pPr>
        <w:pStyle w:val="Heading1"/>
        <w:spacing w:after="180" w:before="360"/>
      </w:pPr>
      <w:r>
        <w:t xml:space="preserve">6. Step 5 — Revised / Final RACI Chart</w:t>
      </w:r>
    </w:p>
    <w:p>
      <w:pPr>
        <w:spacing w:after="120"/>
      </w:pPr>
      <w:r>
        <w:t xml:space="preserve">This is the chart after applying the changes from the analysis. Each task now has exactly one Accountable, the Frontend Developer's workload is more balanced, QA is engaged earlier, and the Client is appropriately Consulted on launch-facing decisions.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1040"/>
        <w:gridCol w:w="1040"/>
        <w:gridCol w:w="1040"/>
        <w:gridCol w:w="1040"/>
        <w:gridCol w:w="1040"/>
        <w:gridCol w:w="1040"/>
      </w:tblGrid>
      <w:tr>
        <w:trPr>
          <w:tblHeader/>
        </w:trPr>
        <w:tc>
          <w:tcPr>
            <w:tcW w:type="dxa" w:w="48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w:t>
            </w:r>
          </w:p>
        </w:tc>
        <w:tc>
          <w:tcPr>
            <w:tcW w:type="dxa" w:w="26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Task / Subtask</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PM</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CL</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FE</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BE</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UX</w:t>
            </w:r>
          </w:p>
        </w:tc>
        <w:tc>
          <w:tcPr>
            <w:tcW w:type="dxa" w:w="1040"/>
            <w:tcBorders>
              <w:top w:val="single" w:color="BFBFBF" w:sz="4"/>
              <w:left w:val="single" w:color="BFBFBF" w:sz="4"/>
              <w:bottom w:val="single" w:color="BFBFBF" w:sz="4"/>
              <w:right w:val="single" w:color="BFBFBF" w:sz="4"/>
            </w:tcBorders>
            <w:shd w:fill="1F3A5F" w:val="clear"/>
            <w:tcMar>
              <w:top w:type="dxa" w:w="100"/>
              <w:left w:type="dxa" w:w="100"/>
              <w:bottom w:type="dxa" w:w="100"/>
              <w:right w:type="dxa" w:w="100"/>
            </w:tcMar>
          </w:tcPr>
          <w:p>
            <w:pPr>
              <w:jc w:val="center"/>
            </w:pPr>
            <w:r>
              <w:rPr>
                <w:b/>
                <w:bCs/>
                <w:color w:val="FFFFFF"/>
                <w:sz w:val="18"/>
                <w:szCs w:val="18"/>
              </w:rPr>
              <w:t xml:space="preserve">QA</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Stakeholder interviews &amp; requirements</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A,R</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2</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Content &amp; asset inventory</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3</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Wireframes &amp; site map</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4</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Visual style guide (retro-modern)</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5</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Frontend implementation (React/Vite)</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6</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Restoration gallery component</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7</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Anthropic chatbot integration</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8</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EmailJS contact form</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9</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Photo curation &amp; AI upscaling</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10</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GoDaddy / cPanel / Node deployment</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11</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Cross-browser &amp; mobile QA</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tcMar>
              <w:top w:type="dxa" w:w="80"/>
              <w:left w:type="dxa" w:w="80"/>
              <w:bottom w:type="dxa" w:w="80"/>
              <w:right w:type="dxa" w:w="80"/>
            </w:tcMar>
          </w:tcPr>
          <w:p>
            <w:pPr>
              <w:jc w:val="center"/>
            </w:pPr>
            <w:r>
              <w:rPr>
                <w:b/>
                <w:bCs/>
                <w:sz w:val="18"/>
                <w:szCs w:val="18"/>
              </w:rPr>
              <w:t xml:space="preserve">-</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r>
      <w:tr>
        <w:tc>
          <w:tcPr>
            <w:tcW w:type="dxa" w:w="480"/>
            <w:tcBorders>
              <w:top w:val="single" w:color="BFBFBF" w:sz="4"/>
              <w:left w:val="single" w:color="BFBFBF" w:sz="4"/>
              <w:bottom w:val="single" w:color="BFBFBF" w:sz="4"/>
              <w:right w:val="single" w:color="BFBFBF" w:sz="4"/>
            </w:tcBorders>
            <w:shd w:fill="F5F5F5" w:val="clear"/>
            <w:tcMar>
              <w:top w:type="dxa" w:w="80"/>
              <w:left w:type="dxa" w:w="80"/>
              <w:bottom w:type="dxa" w:w="80"/>
              <w:right w:type="dxa" w:w="80"/>
            </w:tcMar>
          </w:tcPr>
          <w:p>
            <w:pPr>
              <w:jc w:val="center"/>
            </w:pPr>
            <w:r>
              <w:rPr>
                <w:b/>
                <w:bCs/>
                <w:sz w:val="18"/>
                <w:szCs w:val="18"/>
              </w:rPr>
              <w:t xml:space="preserve">12</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8"/>
                <w:szCs w:val="18"/>
              </w:rPr>
              <w:t xml:space="preserve">Launch &amp; client training</w:t>
            </w:r>
          </w:p>
        </w:tc>
        <w:tc>
          <w:tcPr>
            <w:tcW w:type="dxa" w:w="1040"/>
            <w:tcBorders>
              <w:top w:val="single" w:color="BFBFBF" w:sz="4"/>
              <w:left w:val="single" w:color="BFBFBF" w:sz="4"/>
              <w:bottom w:val="single" w:color="BFBFBF" w:sz="4"/>
              <w:right w:val="single" w:color="BFBFBF" w:sz="4"/>
            </w:tcBorders>
            <w:shd w:fill="FCE4D6" w:val="clear"/>
            <w:tcMar>
              <w:top w:type="dxa" w:w="80"/>
              <w:left w:type="dxa" w:w="80"/>
              <w:bottom w:type="dxa" w:w="80"/>
              <w:right w:type="dxa" w:w="80"/>
            </w:tcMar>
          </w:tcPr>
          <w:p>
            <w:pPr>
              <w:jc w:val="center"/>
            </w:pPr>
            <w:r>
              <w:rPr>
                <w:b/>
                <w:bCs/>
                <w:sz w:val="18"/>
                <w:szCs w:val="18"/>
              </w:rPr>
              <w:t xml:space="preserve">A</w:t>
            </w:r>
          </w:p>
        </w:tc>
        <w:tc>
          <w:tcPr>
            <w:tcW w:type="dxa" w:w="1040"/>
            <w:tcBorders>
              <w:top w:val="single" w:color="BFBFBF" w:sz="4"/>
              <w:left w:val="single" w:color="BFBFBF" w:sz="4"/>
              <w:bottom w:val="single" w:color="BFBFBF" w:sz="4"/>
              <w:right w:val="single" w:color="BFBFBF" w:sz="4"/>
            </w:tcBorders>
            <w:shd w:fill="E2EFDA" w:val="clear"/>
            <w:tcMar>
              <w:top w:type="dxa" w:w="80"/>
              <w:left w:type="dxa" w:w="80"/>
              <w:bottom w:type="dxa" w:w="80"/>
              <w:right w:type="dxa" w:w="80"/>
            </w:tcMar>
          </w:tcPr>
          <w:p>
            <w:pPr>
              <w:jc w:val="center"/>
            </w:pPr>
            <w:r>
              <w:rPr>
                <w:b/>
                <w:bCs/>
                <w:sz w:val="18"/>
                <w:szCs w:val="18"/>
              </w:rPr>
              <w:t xml:space="preserve">C</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DDEBF7" w:val="clear"/>
            <w:tcMar>
              <w:top w:type="dxa" w:w="80"/>
              <w:left w:type="dxa" w:w="80"/>
              <w:bottom w:type="dxa" w:w="80"/>
              <w:right w:type="dxa" w:w="80"/>
            </w:tcMar>
          </w:tcPr>
          <w:p>
            <w:pPr>
              <w:jc w:val="center"/>
            </w:pPr>
            <w:r>
              <w:rPr>
                <w:b/>
                <w:bCs/>
                <w:sz w:val="18"/>
                <w:szCs w:val="18"/>
              </w:rPr>
              <w:t xml:space="preserve">R</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c>
          <w:tcPr>
            <w:tcW w:type="dxa" w:w="1040"/>
            <w:tcBorders>
              <w:top w:val="single" w:color="BFBFBF" w:sz="4"/>
              <w:left w:val="single" w:color="BFBFBF" w:sz="4"/>
              <w:bottom w:val="single" w:color="BFBFBF" w:sz="4"/>
              <w:right w:val="single" w:color="BFBFBF" w:sz="4"/>
            </w:tcBorders>
            <w:shd w:fill="EFEFEF" w:val="clear"/>
            <w:tcMar>
              <w:top w:type="dxa" w:w="80"/>
              <w:left w:type="dxa" w:w="80"/>
              <w:bottom w:type="dxa" w:w="80"/>
              <w:right w:type="dxa" w:w="80"/>
            </w:tcMar>
          </w:tcPr>
          <w:p>
            <w:pPr>
              <w:jc w:val="center"/>
            </w:pPr>
            <w:r>
              <w:rPr>
                <w:b/>
                <w:bCs/>
                <w:sz w:val="18"/>
                <w:szCs w:val="18"/>
              </w:rPr>
              <w:t xml:space="preserve">I</w:t>
            </w:r>
          </w:p>
        </w:tc>
      </w:tr>
    </w:tbl>
    <w:p>
      <w:pPr>
        <w:spacing w:after="120"/>
      </w:pPr>
      <w:r>
        <w:t xml:space="preserve"/>
      </w:r>
    </w:p>
    <w:p>
      <w:pPr>
        <w:pStyle w:val="Heading1"/>
        <w:spacing w:after="180" w:before="360"/>
      </w:pPr>
      <w:r>
        <w:t xml:space="preserve">7. Part 3 — Integrating the RACI Chart into Project Documentation</w:t>
      </w:r>
    </w:p>
    <w:p>
      <w:pPr>
        <w:spacing w:after="120"/>
      </w:pPr>
      <w:r>
        <w:t xml:space="preserve">The final RACI chart is most valuable when it lives where the team already works. The following describes how to incorporate this chart into a Confluence project space (or an equivalent tool such as Google Docs, Microsoft Teams Wiki, or a Notion page).</w:t>
      </w:r>
    </w:p>
    <w:p>
      <w:pPr>
        <w:pStyle w:val="Heading2"/>
        <w:spacing w:after="120" w:before="240"/>
      </w:pPr>
      <w:r>
        <w:t xml:space="preserve">7.1 Steps to Add the RACI Matrix in Confluence</w:t>
      </w:r>
    </w:p>
    <w:p>
      <w:pPr>
        <w:pStyle w:val="ListParagraph"/>
        <w:numPr>
          <w:ilvl w:val="0"/>
          <w:numId w:val="3"/>
        </w:numPr>
        <w:spacing w:after="80"/>
      </w:pPr>
      <w:r>
        <w:t xml:space="preserve">Open the target Confluence page (for example the Project Charter or Kickoff Notes).</w:t>
      </w:r>
    </w:p>
    <w:p>
      <w:pPr>
        <w:pStyle w:val="ListParagraph"/>
        <w:numPr>
          <w:ilvl w:val="0"/>
          <w:numId w:val="3"/>
        </w:numPr>
        <w:spacing w:after="80"/>
      </w:pPr>
      <w:r>
        <w:t xml:space="preserve">Place the cursor at the section where the chart should appear.</w:t>
      </w:r>
    </w:p>
    <w:p>
      <w:pPr>
        <w:pStyle w:val="ListParagraph"/>
        <w:numPr>
          <w:ilvl w:val="0"/>
          <w:numId w:val="3"/>
        </w:numPr>
        <w:spacing w:after="80"/>
      </w:pPr>
      <w:r>
        <w:t xml:space="preserve">Click "Insert" in the editor toolbar, then choose "Table".</w:t>
      </w:r>
    </w:p>
    <w:p>
      <w:pPr>
        <w:pStyle w:val="ListParagraph"/>
        <w:numPr>
          <w:ilvl w:val="0"/>
          <w:numId w:val="3"/>
        </w:numPr>
        <w:spacing w:after="80"/>
      </w:pPr>
      <w:r>
        <w:t xml:space="preserve">Set the dimensions: 13 rows by 8 columns. The math is one header row plus twelve task rows, and one task-description column plus six role columns and a numbering column.</w:t>
      </w:r>
    </w:p>
    <w:p>
      <w:pPr>
        <w:pStyle w:val="ListParagraph"/>
        <w:numPr>
          <w:ilvl w:val="0"/>
          <w:numId w:val="3"/>
        </w:numPr>
        <w:spacing w:after="80"/>
      </w:pPr>
      <w:r>
        <w:t xml:space="preserve">Type the role codes (PM, CL, FE, BE, UX, QA) into the header row across the top, with the numbering and task-description headers in the first two columns.</w:t>
      </w:r>
    </w:p>
    <w:p>
      <w:pPr>
        <w:pStyle w:val="ListParagraph"/>
        <w:numPr>
          <w:ilvl w:val="0"/>
          <w:numId w:val="3"/>
        </w:numPr>
        <w:spacing w:after="80"/>
      </w:pPr>
      <w:r>
        <w:t xml:space="preserve">Populate the body of the table by entering the task name in column two and the corresponding R, A, C, or I designation in each role column, mirroring the revised chart in this document.</w:t>
      </w:r>
    </w:p>
    <w:p>
      <w:pPr>
        <w:pStyle w:val="ListParagraph"/>
        <w:numPr>
          <w:ilvl w:val="0"/>
          <w:numId w:val="3"/>
        </w:numPr>
        <w:spacing w:after="80"/>
      </w:pPr>
      <w:r>
        <w:t xml:space="preserve">Apply cell shading to the header row and optionally use Confluence's cell colour feature to lightly tint A, R, C, and I cells for at-a-glance readability.</w:t>
      </w:r>
    </w:p>
    <w:p>
      <w:pPr>
        <w:pStyle w:val="ListParagraph"/>
        <w:numPr>
          <w:ilvl w:val="0"/>
          <w:numId w:val="3"/>
        </w:numPr>
        <w:spacing w:after="80"/>
      </w:pPr>
      <w:r>
        <w:t xml:space="preserve">Add a short legend underneath the table explaining R, A, C, and I, plus a one-line note on when "A,R" is used.</w:t>
      </w:r>
    </w:p>
    <w:p>
      <w:pPr>
        <w:pStyle w:val="ListParagraph"/>
        <w:numPr>
          <w:ilvl w:val="0"/>
          <w:numId w:val="3"/>
        </w:numPr>
        <w:spacing w:after="80"/>
      </w:pPr>
      <w:r>
        <w:t xml:space="preserve">Save the page and link it from the project home space so the team can find it without searching.</w:t>
      </w:r>
    </w:p>
    <w:p>
      <w:pPr>
        <w:spacing w:after="120"/>
      </w:pPr>
      <w:r>
        <w:t xml:space="preserve">If the existing .docx version of the chart is good enough, an alternative is to attach the file directly to the page using the "Files &amp; images" macro and embed it inline. This preserves formatting at the cost of in-page editability.</w:t>
      </w:r>
    </w:p>
    <w:p>
      <w:pPr>
        <w:pStyle w:val="Heading2"/>
        <w:spacing w:after="120" w:before="240"/>
      </w:pPr>
      <w:r>
        <w:t xml:space="preserve">7.2 Where to Embed or Link the RACI Chart</w:t>
      </w:r>
    </w:p>
    <w:p>
      <w:pPr>
        <w:spacing w:after="120"/>
      </w:pPr>
      <w:r>
        <w:t xml:space="preserve">The chart should appear in at least the following two locations, each for a different reason.</w:t>
      </w:r>
    </w:p>
    <w:p>
      <w:pPr>
        <w:pStyle w:val="Heading3"/>
        <w:spacing w:after="100" w:before="180"/>
      </w:pPr>
      <w:r>
        <w:t xml:space="preserve">Project Charter Page</w:t>
      </w:r>
    </w:p>
    <w:p>
      <w:pPr>
        <w:spacing w:after="120"/>
      </w:pPr>
      <w:r>
        <w:t xml:space="preserve">The Project Charter is the canonical reference document for the engagement. Embedding the RACI chart here ensures that anyone reviewing the charter — the client, an auditor, a future team member — has immediate visibility into who owns what. The chart belongs in the section that defines the team and governance, directly after the project objectives and before the timeline. Embedding it here also makes role disputes easier to resolve, since the charter is the document the team treats as authoritative.</w:t>
      </w:r>
    </w:p>
    <w:p>
      <w:pPr>
        <w:pStyle w:val="Heading3"/>
        <w:spacing w:after="100" w:before="180"/>
      </w:pPr>
      <w:r>
        <w:t xml:space="preserve">Kickoff Meeting Agenda and Notes</w:t>
      </w:r>
    </w:p>
    <w:p>
      <w:pPr>
        <w:spacing w:after="120"/>
      </w:pPr>
      <w:r>
        <w:t xml:space="preserve">The kickoff meeting is where alignment on roles is established for the first time. Linking the chart from the kickoff agenda ensures it is reviewed live during the meeting and that all participants leave with a shared understanding of accountability. After the meeting, the chart is referenced from the kickoff notes alongside any role adjustments raised during discussion. This creates a clear audit trail showing what was agreed and when.</w:t>
      </w:r>
    </w:p>
    <w:p>
      <w:pPr>
        <w:pStyle w:val="Heading3"/>
        <w:spacing w:after="100" w:before="180"/>
      </w:pPr>
      <w:r>
        <w:t xml:space="preserve">Optional Third Location — Phase Plan Pages</w:t>
      </w:r>
    </w:p>
    <w:p>
      <w:pPr>
        <w:spacing w:after="120"/>
      </w:pPr>
      <w:r>
        <w:t xml:space="preserve">On longer engagements it is worth linking the RACI chart from each Phase Plan page (for example a Design Phase Plan and a Launch Phase Plan). This gives phase-specific context and makes it easy to revise per phase if responsibilities shift as the project moves from build to launch to support.</w:t>
      </w:r>
    </w:p>
    <w:p>
      <w:pPr>
        <w:pStyle w:val="Heading1"/>
        <w:spacing w:after="180" w:before="360"/>
      </w:pPr>
      <w:r>
        <w:t xml:space="preserve">8. Conclusion</w:t>
      </w:r>
    </w:p>
    <w:p>
      <w:pPr>
        <w:spacing w:after="120"/>
      </w:pPr>
      <w:r>
        <w:t xml:space="preserve">Working through this exercise produced two outcomes worth keeping. First, the act of forcing every task to have exactly one Accountable surfaced ambiguity that would otherwise have stayed hidden until something broke in production — particularly around AI integration and deployment, where ownership was previously diffuse. Second, the chart itself is now a usable artifact: it tells the team and the client at a glance who is doing the work, who has the final call, who needs to weigh in, and who needs to be kept in the loop. Embedding it in the Project Charter and the Kickoff Notes gives it a home where the team will actually see it and use it as the project moves through design, build, and launch.</w:t>
      </w:r>
    </w:p>
    <w:p>
      <w:pPr>
        <w:spacing w:after="120"/>
      </w:pPr>
      <w:r>
        <w:t xml:space="preserve"/>
      </w:r>
    </w:p>
    <w:p>
      <w:pPr>
        <w:spacing w:before="360"/>
        <w:jc w:val="center"/>
      </w:pPr>
      <w:r>
        <w:rPr>
          <w:i/>
          <w:iCs/>
          <w:color w:val="88888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Seattle Watch Repair — RACI Chart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Seattle Watch Repair — RACI Chart Assignment</dc:title>
  <dc:creator>Jose Horta</dc:creator>
  <cp:lastModifiedBy>Un-named</cp:lastModifiedBy>
  <cp:revision>1</cp:revision>
  <dcterms:created xsi:type="dcterms:W3CDTF">2026-04-26T20:53:39.410Z</dcterms:created>
  <dcterms:modified xsi:type="dcterms:W3CDTF">2026-04-26T20:53:39.411Z</dcterms:modified>
</cp:coreProperties>
</file>

<file path=docProps/custom.xml><?xml version="1.0" encoding="utf-8"?>
<Properties xmlns="http://schemas.openxmlformats.org/officeDocument/2006/custom-properties" xmlns:vt="http://schemas.openxmlformats.org/officeDocument/2006/docPropsVTypes"/>
</file>