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50" w:line="31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INFORME DE FACTIBILIDAD</w:t>
      </w:r>
    </w:p>
    <w:p>
      <w:pPr>
        <w:keepNext/>
        <w:widowControl/>
        <w:spacing w:after="90" w:line="310"/>
        <w:jc w:val="both"/>
      </w:pPr>
      <w:r>
        <w:rPr>
          <w:rFonts w:ascii="Times New Roman" w:cs="Times New Roman" w:eastAsia="Times New Roman" w:hAnsi="Times New Roman"/>
          <w:b/>
          <w:bCs/>
          <w:color w:val="1F384A"/>
          <w:sz w:val="28"/>
          <w:szCs w:val="28"/>
        </w:rPr>
        <w:t xml:space="preserve">Marca en estudio: NUBE</w:t>
      </w:r>
    </w:p>
    <w:p>
      <w:pPr>
        <w:keepNext/>
        <w:widowControl/>
        <w:spacing w:after="90" w:line="310"/>
        <w:jc w:val="both"/>
      </w:pPr>
      <w:r>
        <w:rPr>
          <w:rFonts w:ascii="Times New Roman" w:cs="Times New Roman" w:eastAsia="Times New Roman" w:hAnsi="Times New Roman"/>
          <w:color w:val="66737D"/>
          <w:sz w:val="20"/>
          <w:szCs w:val="20"/>
        </w:rPr>
        <w:t xml:space="preserve">Clase de Niza: 7</w:t>
      </w:r>
    </w:p>
    <w:p>
      <w:pPr>
        <w:widowControl/>
        <w:spacing w:after="120" w:line="310"/>
        <w:jc w:val="both"/>
      </w:pPr>
      <w:r>
        <w:rPr>
          <w:rFonts w:ascii="Times New Roman" w:cs="Times New Roman" w:eastAsia="Times New Roman" w:hAnsi="Times New Roman"/>
          <w:color w:val="66737D"/>
          <w:sz w:val="18"/>
          <w:szCs w:val="18"/>
        </w:rPr>
        <w:t xml:space="preserve">Para: Cliente ficticio · revisión visual</w:t>
      </w:r>
    </w:p>
    <w:p>
      <w:pPr>
        <w:pStyle w:val="Heading1"/>
        <w:keepNext/>
        <w:pBdr>
          <w:top w:val="single" w:color="CCD6DB" w:sz="4" w:space="10"/>
        </w:pBd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4A"/>
          <w:sz w:val="22"/>
          <w:szCs w:val="22"/>
        </w:rPr>
        <w:t xml:space="preserve">I.     Marca objeto del análisis.</w:t>
      </w:r>
    </w:p>
    <w:p>
      <w:pPr>
        <w:widowControl/>
        <w:spacing w:after="12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La marca objeto del análisis es “NUBE”, para distinguir productos y/o servicios en la clase 7 del Clasificador Internacional de Niza.</w:t>
      </w:r>
    </w:p>
    <w:p>
      <w:pPr>
        <w:keepNext w:val="false"/>
        <w:widowControl/>
        <w:spacing w:after="65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Cobertura propuesta · Clase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Máquinas herramientas para talleres</w:t>
      </w:r>
    </w:p>
    <w:p>
      <w:pPr>
        <w:widowControl/>
        <w:spacing w:after="120" w:line="310"/>
        <w:jc w:val="both"/>
      </w:pPr>
      <w:r>
        <w:rPr>
          <w:rFonts w:ascii="Times New Roman" w:cs="Times New Roman" w:eastAsia="Times New Roman" w:hAnsi="Times New Roman"/>
          <w:color w:val="66737D"/>
          <w:sz w:val="18"/>
          <w:szCs w:val="18"/>
        </w:rPr>
        <w:t xml:space="preserve">Clases seleccionadas: 7. Clases vinculadas incluidas: 8. La relación se evalúa según los productos o servicios concretos.</w:t>
      </w:r>
    </w:p>
    <w:p>
      <w:pPr>
        <w:pStyle w:val="Heading1"/>
        <w:keepNext/>
        <w:pBdr>
          <w:top w:val="single" w:color="CCD6DB" w:sz="4" w:space="10"/>
        </w:pBd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4A"/>
          <w:sz w:val="22"/>
          <w:szCs w:val="22"/>
        </w:rPr>
        <w:t xml:space="preserve">II.    Antecedentes registrales relevantes.</w:t>
      </w:r>
    </w:p>
    <w:p>
      <w:pPr>
        <w:widowControl/>
        <w:spacing w:after="12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Clase 7: 1 coincidencia detectada.</w:t>
      </w:r>
    </w:p>
    <w:p>
      <w:pPr>
        <w:widowControl/>
        <w:spacing w:after="120" w:line="310"/>
        <w:jc w:val="both"/>
      </w:pPr>
      <w:r>
        <w:rPr>
          <w:rFonts w:ascii="Times New Roman" w:cs="Times New Roman" w:eastAsia="Times New Roman" w:hAnsi="Times New Roman"/>
          <w:b/>
          <w:bCs/>
          <w:color w:val="242E38"/>
          <w:sz w:val="22"/>
          <w:szCs w:val="22"/>
        </w:rPr>
        <w:t xml:space="preserve">Se recomienda presentar con riesgo moderado de oposición</w:t>
      </w:r>
    </w:p>
    <w:p>
      <w:pPr>
        <w:pStyle w:val="Heading1"/>
        <w:keepNext/>
        <w:pBdr>
          <w:top w:val="single" w:color="CCD6DB" w:sz="4" w:space="10"/>
        </w:pBd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4A"/>
          <w:sz w:val="22"/>
          <w:szCs w:val="22"/>
        </w:rPr>
        <w:t xml:space="preserve">III.   Antecedentes relevantes.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800"/>
      </w:tblGrid>
      <w:tr>
        <w:trPr>
          <w:cantSplit/>
          <w:tblHeader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4A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keepNext/>
              <w:widowControl/>
              <w:spacing w:after="0" w:line="3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4A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keepNext/>
              <w:widowControl/>
              <w:spacing w:after="0" w:line="3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Parte Figurativa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keepNext w:val="false"/>
              <w:widowControl/>
              <w:spacing w:after="0" w:line="3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42E38"/>
                <w:sz w:val="22"/>
                <w:szCs w:val="22"/>
              </w:rPr>
              <w:t xml:space="preserve">NUBE TALLER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pPr>
              <w:keepNext w:val="false"/>
              <w:widowControl/>
              <w:spacing w:after="0" w:line="310"/>
              <w:jc w:val="center"/>
            </w:pPr>
            <w:r>
              <w:rPr>
                <w:rFonts w:ascii="Times New Roman" w:cs="Times New Roman" w:eastAsia="Times New Roman" w:hAnsi="Times New Roman"/>
                <w:color w:val="66737D"/>
                <w:sz w:val="18"/>
                <w:szCs w:val="18"/>
              </w:rPr>
              <w:t xml:space="preserve">Sin imagen disponible</w:t>
            </w:r>
          </w:p>
        </w:tc>
      </w:tr>
    </w:tbl>
    <w:p>
      <w:pPr>
        <w:widowControl/>
        <w:spacing w:after="18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/>
      </w:r>
    </w:p>
    <w:p>
      <w:pPr>
        <w:pStyle w:val="Heading1"/>
        <w:keepNext/>
        <w:pBdr>
          <w:top w:val="single" w:color="CCD6DB" w:sz="4" w:space="10"/>
        </w:pBdr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F384A"/>
          <w:sz w:val="22"/>
          <w:szCs w:val="22"/>
        </w:rPr>
        <w:t xml:space="preserve">IV.    Conclusión.</w:t>
      </w:r>
    </w:p>
    <w:p>
      <w:pPr>
        <w:keepNext/>
        <w:widowControl/>
        <w:spacing w:after="120" w:line="310"/>
        <w:jc w:val="both"/>
      </w:pPr>
      <w:r>
        <w:rPr>
          <w:rFonts w:ascii="Times New Roman" w:cs="Times New Roman" w:eastAsia="Times New Roman" w:hAnsi="Times New Roman"/>
          <w:b/>
          <w:bCs/>
          <w:color w:val="242E38"/>
          <w:sz w:val="22"/>
          <w:szCs w:val="22"/>
        </w:rPr>
        <w:t xml:space="preserve">Se recomienda presentar con riesgo moderado de oposición</w:t>
      </w:r>
    </w:p>
    <w:p>
      <w:pPr>
        <w:keepNext/>
        <w:widowControl/>
        <w:spacing w:after="18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Ejemplo ficticio para revisión visual. La coincidencia detectada corresponde a la clase vinculada 8, frente a las máquinas herramientas propuestas en clase 7. Debe revisarse si los productos comparten finalidad, consumidores y canales de comercialización.</w:t>
      </w:r>
    </w:p>
    <w:p>
      <w:pPr>
        <w:keepNext/>
        <w:widowControl/>
        <w:spacing w:after="18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El artículo 20 letra h) de la Ley de Propiedad Industrial exige examinar la semejanza de los signos y la relación entre sus productos. La coincidencia en NUBE justifica revisar las coberturas; pertenecer a clases distintas no elimina por sí solo el riesgo de confusión.</w:t>
      </w:r>
    </w:p>
    <w:p>
      <w:pPr>
        <w:keepNext w:val="false"/>
        <w:widowControl/>
        <w:spacing w:after="18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También corresponde examinar la distintividad conforme a los artículos 19 y 20 letra e). Con la cobertura ficticia indicada no se identifica una descripción directa del producto. Se recomienda presentar con riesgo moderado de oposición.</w:t>
      </w:r>
    </w:p>
    <w:p>
      <w:pPr>
        <w:keepNext/>
        <w:widowControl/>
        <w:spacing w:after="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Ejemplo redactado para QA</w:t>
      </w:r>
    </w:p>
    <w:p>
      <w:pPr>
        <w:widowControl/>
        <w:spacing w:after="0" w:line="310"/>
        <w:jc w:val="both"/>
      </w:pPr>
      <w:r>
        <w:rPr>
          <w:rFonts w:ascii="Times New Roman" w:cs="Times New Roman" w:eastAsia="Times New Roman" w:hAnsi="Times New Roman"/>
          <w:color w:val="242E38"/>
          <w:sz w:val="22"/>
          <w:szCs w:val="22"/>
        </w:rPr>
        <w:t xml:space="preserve">Abogado</w:t>
      </w:r>
    </w:p>
    <w:sectPr>
      <w:footerReference w:type="default" r:id="rId7"/>
      <w:pgSz w:w="12240" w:h="15840" w:orient="portrait"/>
      <w:pgMar w:top="1200" w:right="1150" w:bottom="1000" w:left="1150" w:header="38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ReportFooter"/>
      <w:jc w:val="right"/>
    </w:pP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1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eportFooter">
    <w:name w:val="Pie del informe"/>
    <w:basedOn w:val="Normal"/>
    <w:pPr>
      <w:spacing w:after="0" w:line="220"/>
      <w:jc w:val="center"/>
    </w:pPr>
    <w:rPr>
      <w:rFonts w:ascii="Times New Roman" w:cs="Times New Roman" w:eastAsia="Times New Roman" w:hAnsi="Times New Roman"/>
      <w:color w:val="000000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factibilidad de marca NUBE</dc:title>
  <dc:creator>Ejemplo redactado para QA</dc:creator>
  <cp:lastModifiedBy>Un-named</cp:lastModifiedBy>
  <cp:revision>1</cp:revision>
  <dcterms:created xsi:type="dcterms:W3CDTF">2026-10-15T22:50:36.834Z</dcterms:created>
  <dcterms:modified xsi:type="dcterms:W3CDTF">2026-10-15T22:50:36.838Z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