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Prerrequisitos de despliegue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Plataforma de autoservicio analítico — agentes creadores de dashboards en Looker</w:t>
      </w:r>
    </w:p>
    <w:p>
      <w:pPr>
        <w:pBdr>
          <w:bottom w:val="single" w:color="1F4E79" w:sz="12"/>
        </w:pBd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Proyecto: looker-selfservice-agents (ADK · A2A · A2UI · Looker SDK · Terraform · Gemini Enterprise)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consolida todos los accesos, permisos y configuraciones necesarios para desplegar el sistema multi-agente de creación de dashboards en Looker. Está organizado por equipo responsable para facilitar la gestión de las solicitudes. Cada sección puede enviarse de forma independiente al equipo correspondiente.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Solicitante: ____________________    Fecha: ____________________    Fecha objetivo de despliegue: ____________________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Resumen ejecutivo de la solicitud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desplegarán cuatro agentes de IA en Google Cloud: un orquestador en Vertex AI Agent Engine (registrado en Gemini Enterprise) y tres agentes especialistas en Cloud Run que se comunican por el protocolo A2A. Los agentes leen el modelo semántico de Looker y crean dashboards nativos mediante la API de Looker. El despliegue es 100% Terraform.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3182"/>
        <w:gridCol w:w="2808"/>
      </w:tblGrid>
      <w:tr>
        <w:trPr>
          <w:tblHeader/>
        </w:trPr>
        <w:tc>
          <w:tcPr>
            <w:tcW w:type="dxa" w:w="337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318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 responsable</w:t>
            </w:r>
          </w:p>
        </w:tc>
        <w:tc>
          <w:tcPr>
            <w:tcW w:type="dxa" w:w="28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Google Cloud Platform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/ Plataforma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Requerido antes del despliegue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Vertex AI y modelos LLM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/ Plataforma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Requerido antes del despliegue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Gemini Enterprise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/ Workspace admin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Requerido antes del despliegue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Looker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 / Administración Looker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Requerido antes del despliegue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Redes y seguridad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 / Redes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Según configuración de red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Estación de trabajo del equipo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 despliegue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interna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Google Cloud Platform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 Proyecto y facturación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Proyecto GCP dedicado (o existente aprobado) con facturación habilitada. Se requiere el Project ID y el Project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Regiones: </w:t>
      </w:r>
      <w:r>
        <w:rPr>
          <w:rFonts w:ascii="Calibri" w:cs="Calibri" w:eastAsia="Calibri" w:hAnsi="Calibri"/>
          <w:sz w:val="22"/>
          <w:szCs w:val="22"/>
        </w:rPr>
        <w:t xml:space="preserve">Región principal us-central1 (Cloud Run, Agent Engine, Artifact Registry). Región adicional us-east5 únicamente si se usa Claude en Vertex AI.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 APIs a habilitar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5429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aiplatform.googleapis.com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Vertex AI: Agent Engine (orquestador) e invocación de modelos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discoveryengine.googleapis.com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del agente en Gemini Enterprise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Run: agentes especialistas A2A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cloudbuild.googleapis.com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de imágenes de los agentes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artifactregistry.googleapis.com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Docker de las imágenes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secretmanager.googleapis.com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 de la API de Looker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iam.googleapis.com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accounts y bindings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Bucket de staging y artefactos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cloudresourcemanager.googleapis.com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IAM a nivel proyecto vía Terraform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2.3 Permisos para quien despliega (identidad que ejecuta Terraform)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Opción simple: roles/owner sobre el proyecto. Opción de mínimo privilegio: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3"/>
        <w:gridCol w:w="4867"/>
      </w:tblGrid>
      <w:tr>
        <w:trPr>
          <w:tblHeader/>
        </w:trPr>
        <w:tc>
          <w:tcPr>
            <w:tcW w:type="dxa" w:w="449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 IAM</w:t>
            </w:r>
          </w:p>
        </w:tc>
        <w:tc>
          <w:tcPr>
            <w:tcW w:type="dxa" w:w="48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roles/serviceusage.serviceUsageAdmin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Habilitar las APIs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roles/iam.serviceAccountAdmin + roles/iam.serviceAccountUser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la SA de agentes y actuar como ella en los despliegues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roles/resourcemanager.projectIamAdmin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Asignar roles a la SA de agentes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roles/run.admin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y configurar los servicios de Cloud Run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roles/cloudbuild.builds.editor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Lanzar los builds de imágenes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roles/artifactregistry.admin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el repositorio Docker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roles/storage.admin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el bucket de staging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roles/secretmanager.admin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los secretos de Looker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roles/aiplatform.admin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Crear el Reasoning Engine (Agent Engine)</w:t>
            </w:r>
          </w:p>
        </w:tc>
      </w:tr>
      <w:tr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roles/discoveryengine.editor</w:t>
            </w:r>
          </w:p>
        </w:tc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el agente en Gemini Enterprise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2.4 Service account de los agentes (la crea Terraform; se solicitan los roles)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Terraform crea la SA looker-selfservice-agents@&lt;project&gt;.iam.gserviceaccount.com. Se requiere aprobación para asignarle: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roles/aiplatform.user — invocar modelos de Vertex AI (Gemini / Claude).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roles/storage.objectAdmin — staging y artefactos en el bucket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roles/secretmanager.secretAccessor — leer las credenciales de Looker.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roles/logging.logWriter — logs de los agentes.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Adicional: roles/storage.objectViewer para el service agent de Agent Engine (service-&lt;PROJECT_NUMBER&gt;@gcp-sa-aiplatform-re.iam.gserviceaccount.com) sobre el bucket de staging.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2.5 Recursos y cuotas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 bucket GCS de staging (nombre a definir, región us-central1).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Cuota Cloud Run: hasta 4 servicios, 1–2 vCPU / 1–2 GiB por instancia, máximo 3 instancias por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Cuota Vertex AI: requests a Gemini 2.5 Flash (y a Claude si aplica) acorde al volumen esperado de usuarios.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Vertex AI y modelos LLM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modelo de razonamiento es intercambiable por variable de entorno. Solicitar según la ruta elegida: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617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Prerrequisito a solicitar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(default)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Ninguno adicional: Gemini 2.5 Flash disponible con la API de Vertex habilitada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claude / claude_native (Claude en Vertex)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Habilitar Claude (p. ej. claude-sonnet-4-6) en Vertex AI Model Garden: aceptar términos del publisher y verificar cuota en us-east5</w:t>
            </w:r>
          </w:p>
        </w:tc>
      </w:tr>
      <w:tr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anthropic (API pública)</w:t>
            </w:r>
          </w:p>
        </w:tc>
        <w:tc>
          <w:tcPr>
            <w:tcW w:type="dxa" w:w="61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key de Anthropic aprobada por Seguridad y alta del dominio api.anthropic.com en el egress permitido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Gemini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Licencias: </w:t>
      </w:r>
      <w:r>
        <w:rPr>
          <w:rFonts w:ascii="Calibri" w:cs="Calibri" w:eastAsia="Calibri" w:hAnsi="Calibri"/>
          <w:sz w:val="22"/>
          <w:szCs w:val="22"/>
        </w:rPr>
        <w:t xml:space="preserve">Suscripción/licencias de Gemini Enterprise activas para los usuarios finales.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App: </w:t>
      </w:r>
      <w:r>
        <w:rPr>
          <w:rFonts w:ascii="Calibri" w:cs="Calibri" w:eastAsia="Calibri" w:hAnsi="Calibri"/>
          <w:sz w:val="22"/>
          <w:szCs w:val="22"/>
        </w:rPr>
        <w:t xml:space="preserve">Una app de Gemini Enterprise creada; se requiere su ID (AS_APP) y su location (global, us o eu).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Registro: </w:t>
      </w:r>
      <w:r>
        <w:rPr>
          <w:rFonts w:ascii="Calibri" w:cs="Calibri" w:eastAsia="Calibri" w:hAnsi="Calibri"/>
          <w:sz w:val="22"/>
          <w:szCs w:val="22"/>
        </w:rPr>
        <w:t xml:space="preserve">Permiso roles/discoveryengine.editor para la identidad que registra el agente (API v1alpha de Discovery Engine, colección default_collection, assistant default_assistant).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Audiencia: </w:t>
      </w:r>
      <w:r>
        <w:rPr>
          <w:rFonts w:ascii="Calibri" w:cs="Calibri" w:eastAsia="Calibri" w:hAnsi="Calibri"/>
          <w:sz w:val="22"/>
          <w:szCs w:val="22"/>
        </w:rPr>
        <w:t xml:space="preserve">Definir qué grupos de usuarios verán el agente dentro de la app.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Looker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es la sección más importante y la que más se subestima: el sistema no solo lee datos, crea contenido. Las credenciales de servicio necesitan permisos de escritura de dashboards.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Instancia y credenciales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Instancia: </w:t>
      </w:r>
      <w:r>
        <w:rPr>
          <w:rFonts w:ascii="Calibri" w:cs="Calibri" w:eastAsia="Calibri" w:hAnsi="Calibri"/>
          <w:sz w:val="22"/>
          <w:szCs w:val="22"/>
        </w:rPr>
        <w:t xml:space="preserve">URL base de la API de la instancia (p. ej. https://miorg.looker.com).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Credenciales API: </w:t>
      </w:r>
      <w:r>
        <w:rPr>
          <w:rFonts w:ascii="Calibri" w:cs="Calibri" w:eastAsia="Calibri" w:hAnsi="Calibri"/>
          <w:sz w:val="22"/>
          <w:szCs w:val="22"/>
        </w:rPr>
        <w:t xml:space="preserve">Usuario de servicio dedicado (no personal) con credenciales API (Client ID / Client Secret). Se almacenarán exclusivamente en Secret Manager.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 Permission set del usuario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7"/>
        <w:gridCol w:w="4493"/>
      </w:tblGrid>
      <w:tr>
        <w:trPr>
          <w:tblHeader/>
        </w:trPr>
        <w:tc>
          <w:tcPr>
            <w:tcW w:type="dxa" w:w="486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449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 usa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access_data, explore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Agent: leer modelos, explores, campos y ejecutar previews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see_looks, see_user_dashboards, see_lookml_dashboards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Búsqueda de dashboards existentes y render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create_dashboards, manage_dashboards (o edición sobre el folder destino)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Builder Agent: crear dashboards, tiles, filtros y layout</w:t>
            </w:r>
          </w:p>
        </w:tc>
      </w:tr>
      <w:tr>
        <w:tc>
          <w:tcPr>
            <w:tcW w:type="dxa" w:w="4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see_drill_overlay, download_with_limit (opcionales)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Experiencia de exploración y export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5.3 Model set, folder y funcionalidades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 set: </w:t>
      </w:r>
      <w:r>
        <w:rPr>
          <w:rFonts w:ascii="Calibri" w:cs="Calibri" w:eastAsia="Calibri" w:hAnsi="Calibri"/>
          <w:sz w:val="22"/>
          <w:szCs w:val="22"/>
        </w:rPr>
        <w:t xml:space="preserve">Model set con los modelos LookML autorizados (p. ej. thelook). El mismo listado se configura como allowlist en los agentes (LOOKER_MODELS).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Folder destino: </w:t>
      </w:r>
      <w:r>
        <w:rPr>
          <w:rFonts w:ascii="Calibri" w:cs="Calibri" w:eastAsia="Calibri" w:hAnsi="Calibri"/>
          <w:sz w:val="22"/>
          <w:szCs w:val="22"/>
        </w:rPr>
        <w:t xml:space="preserve">Folder compartido destino donde el Builder creará los dashboards, con permiso de edición para el usuario de servicio (se pasa como looker_target_folder_id).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Render: </w:t>
      </w:r>
      <w:r>
        <w:rPr>
          <w:rFonts w:ascii="Calibri" w:cs="Calibri" w:eastAsia="Calibri" w:hAnsi="Calibri"/>
          <w:sz w:val="22"/>
          <w:szCs w:val="22"/>
        </w:rPr>
        <w:t xml:space="preserve">Servicio de render habilitado en la instancia (render tasks) para el preview PNG de los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 SSO: </w:t>
      </w:r>
      <w:r>
        <w:rPr>
          <w:rFonts w:ascii="Calibri" w:cs="Calibri" w:eastAsia="Calibri" w:hAnsi="Calibri"/>
          <w:sz w:val="22"/>
          <w:szCs w:val="22"/>
        </w:rPr>
        <w:t xml:space="preserve">Embed SSO habilitado (Admin → Platform → Embed) para generar links interactivos firmados; confirmar dominios de embed permitidos si el frontend A2UI los abrirá embebidos.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Redes y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Salida HTTPS desde Cloud Run y Agent Engine hacia la instancia de Looker (puerto 443; 19999 solo en instancias legacy).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Looker tiene allowlist de IPs: definir el mecanismo (NAT con IP estática vía Serverless VPC Access / Direct VPC egress) y solicitar el alta de esas 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agentes especialistas se despliegan con ingress interno (solo el orquestador los invoca, autenticado por IAM con roles/run.invoker). La superficie pública A2A/A2UI del orquestador es opcional y puede protegerse con IAP o autenticación propia del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Aprobación de Seguridad para el manejo de credenciales: secretos únicamente en Secret Manager, nunca en variables de tfvars versionadas ni en imágenes.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Estación de trabajo del equipo de despliegue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Terraform ≥ 1.7, Google Cloud SDK (gcloud) autenticado contra el proyecto, Python 3.12,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Acceso al repositorio del proyecto (looker-selfservice-agents) y a un backend de estado de Terraform (bucket GCS recomendado).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Checklist de solicitud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4306"/>
        <w:gridCol w:w="2246"/>
        <w:gridCol w:w="2246"/>
      </w:tblGrid>
      <w:tr>
        <w:trPr>
          <w:tblHeader/>
        </w:trPr>
        <w:tc>
          <w:tcPr>
            <w:tcW w:type="dxa" w:w="562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30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Prerrequisito</w:t>
            </w:r>
          </w:p>
        </w:tc>
        <w:tc>
          <w:tcPr>
            <w:tcW w:type="dxa" w:w="224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4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/ Ticket</w:t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Proyecto GCP con billing (ID + Number)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APIs habilitadas (sección 2.2)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IAM para quien despliega (2.3)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 roles de la SA de agentes (2.4)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/ Seguridad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Bucket de staging + cuotas (2.5)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Modelo LLM habilitado según ruta (3)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 de Gemini Enterprise: AS_APP + location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Workspace admin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Permiso de registro de agentes en GE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Workspace admin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de servicio Looker + credenciales API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Looker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 set con escritura de dashboards (5.2)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Looker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set + folder destino editable (5.3)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Looker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tasks y Embed SSO habilitados (5.3)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Looker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Egress a Looker / allowlist de IPs (6)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Redes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Aprobación de seguridad de secretos (6)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Workstation con Terraform/gcloud/Python (7)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Equipo de despliegue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 los puntos 1–14 aprobados, el despliegue completo se ejecuta con terraform apply y toma menos de una hora, incluyendo el registro del agente en Gemini Enterprise.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Aprobaciones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 la firma de este documento, las partes confirman que los prerrequisitos listados son necesarios para el despliegue, que cada equipo responsable gestionará los que le corresponden en las secciones 2 a 7, y que la fecha objetivo de despliegue queda sujeta a su cumplimiento.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Aprobación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type="dxa" w:w="6552"/>
            <w:tcMar>
              <w:top w:type="dxa" w:w="50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Aprobación del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type="dxa" w:w="6552"/>
            <w:tcMar>
              <w:top w:type="dxa" w:w="50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5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2026-07-05T01:26:49.893Z</dcterms:created>
  <dcterms:modified xsi:type="dcterms:W3CDTF">2026-07-05T01:26:49.906Z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