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F3D26"/>
          <w:sz w:val="44"/>
          <w:szCs w:val="44"/>
        </w:rPr>
        <w:t xml:space="preserve">Código de colores para la separación de residuos en Ecuador</w:t>
      </w:r>
    </w:p>
    <w:p>
      <w:pPr>
        <w:spacing w:after="40"/>
      </w:pPr>
      <w:r>
        <w:rPr>
          <w:i/>
          <w:iCs/>
          <w:color w:val="555555"/>
          <w:sz w:val="20"/>
          <w:szCs w:val="20"/>
        </w:rPr>
        <w:t xml:space="preserve">Categoría: Separación de residuos</w:t>
      </w:r>
    </w:p>
    <w:p>
      <w:pPr>
        <w:spacing w:after="40"/>
      </w:pPr>
      <w:r>
        <w:rPr>
          <w:b/>
          <w:bCs/>
          <w:color w:val="555555"/>
          <w:sz w:val="20"/>
          <w:szCs w:val="20"/>
        </w:rPr>
        <w:t xml:space="preserve">Meta título SEO: </w:t>
      </w:r>
      <w:r>
        <w:rPr>
          <w:color w:val="555555"/>
          <w:sz w:val="20"/>
          <w:szCs w:val="20"/>
        </w:rPr>
        <w:t xml:space="preserve">Código de colores para separar la basura en Ecuador (NTE INEN 2841)</w:t>
      </w:r>
    </w:p>
    <w:p>
      <w:pPr>
        <w:spacing w:after="40"/>
      </w:pPr>
      <w:r>
        <w:rPr>
          <w:b/>
          <w:bCs/>
          <w:color w:val="555555"/>
          <w:sz w:val="20"/>
          <w:szCs w:val="20"/>
        </w:rPr>
        <w:t xml:space="preserve">Meta descripción SEO: </w:t>
      </w:r>
      <w:r>
        <w:rPr>
          <w:color w:val="555555"/>
          <w:sz w:val="20"/>
          <w:szCs w:val="20"/>
        </w:rPr>
        <w:t xml:space="preserve">Guía clara del código de colores para la separación de residuos en Ecuador según la norma NTE INEN 2841: qué va en cada tacho y por qué es importante respetarlo.</w:t>
      </w:r>
    </w:p>
    <w:p>
      <w:pPr>
        <w:pBdr>
          <w:bottom w:val="single" w:color="CCCCCC" w:sz="6" w:space="8"/>
        </w:pBdr>
        <w:spacing w:after="200"/>
      </w:pPr>
      <w:r>
        <w:rPr>
          <w:b/>
          <w:bCs/>
          <w:color w:val="555555"/>
          <w:sz w:val="20"/>
          <w:szCs w:val="20"/>
        </w:rPr>
        <w:t xml:space="preserve">Palabras clave objetivo: </w:t>
      </w:r>
      <w:r>
        <w:rPr>
          <w:color w:val="555555"/>
          <w:sz w:val="20"/>
          <w:szCs w:val="20"/>
        </w:rPr>
        <w:t xml:space="preserve">código de colores para separar la basura · colores de reciclaje Ecuador · NTE INEN 2841 · cómo separar la basura · tachos de reciclaje colores</w:t>
      </w:r>
    </w:p>
    <w:p>
      <w:pPr>
        <w:spacing w:after="240"/>
      </w:pPr>
      <w:r>
        <w:rPr>
          <w:i/>
          <w:iCs/>
          <w:sz w:val="24"/>
          <w:szCs w:val="24"/>
        </w:rPr>
        <w:t xml:space="preserve">Uno de los mayores obstáculos para reciclar de forma correcta es, simplemente, no saber en qué contenedor va cada residuo. En Ecuador, la norma técnica NTE INEN 2841 (Gestión Ambiental. Estandarización de colores para recipientes de depósito y almacenamiento temporal de residuos sólidos) busca resolver justamente eso: que separar la basura sea igual de intuitivo en una oficina, un colegio o un edificio público.</w:t>
      </w:r>
    </w:p>
    <w:p>
      <w:pPr>
        <w:pStyle w:val="Heading1"/>
        <w:spacing w:after="120" w:before="280"/>
      </w:pPr>
      <w:r>
        <w:rPr>
          <w:b/>
          <w:bCs/>
          <w:color w:val="2F5D3A"/>
          <w:sz w:val="28"/>
          <w:szCs w:val="28"/>
        </w:rPr>
        <w:t xml:space="preserve">¿Qué es la norma NTE INEN 2841?</w:t>
      </w:r>
    </w:p>
    <w:p>
      <w:pPr>
        <w:spacing w:after="160"/>
        <w:jc w:val="both"/>
      </w:pPr>
      <w:r>
        <w:rPr>
          <w:sz w:val="22"/>
          <w:szCs w:val="22"/>
        </w:rPr>
        <w:t xml:space="preserve">Es la norma técnica ecuatoriana que estandariza los colores de los recipientes para el almacenamiento temporal de residuos sólidos. Su objetivo es que la separación en la fuente —responsabilidad del generador, ya sea una empresa, institución educativa u hogar— se realice con recipientes claramente identificables, lo que facilita la posterior clasificación, acopio y aprovechamiento del material.</w:t>
      </w:r>
    </w:p>
    <w:p>
      <w:pPr>
        <w:spacing w:after="160"/>
        <w:jc w:val="both"/>
      </w:pPr>
      <w:r>
        <w:rPr>
          <w:sz w:val="22"/>
          <w:szCs w:val="22"/>
        </w:rPr>
        <w:t xml:space="preserve">Esta norma es citada de forma recurrente en los procedimientos de gestión ambiental de universidades, municipios y entidades públicas del país como referencia obligatoria para el manejo de desechos sólidos no peligrosos.</w:t>
      </w:r>
    </w:p>
    <w:p>
      <w:pPr>
        <w:pStyle w:val="Heading1"/>
        <w:spacing w:after="120" w:before="280"/>
      </w:pPr>
      <w:r>
        <w:rPr>
          <w:b/>
          <w:bCs/>
          <w:color w:val="2F5D3A"/>
          <w:sz w:val="28"/>
          <w:szCs w:val="28"/>
        </w:rPr>
        <w:t xml:space="preserve">¿Qué va en cada color de tacho?</w:t>
      </w:r>
    </w:p>
    <w:p>
      <w:pPr>
        <w:pStyle w:val="ListParagraph"/>
        <w:numPr>
          <w:ilvl w:val="0"/>
          <w:numId w:val="2"/>
        </w:numPr>
        <w:spacing w:after="80"/>
      </w:pPr>
      <w:r>
        <w:rPr>
          <w:sz w:val="22"/>
          <w:szCs w:val="22"/>
        </w:rPr>
        <w:t xml:space="preserve">Verde: residuos orgánicos, como restos de comida, cáscaras y desechos de poda de jardín.</w:t>
      </w:r>
    </w:p>
    <w:p>
      <w:pPr>
        <w:pStyle w:val="ListParagraph"/>
        <w:numPr>
          <w:ilvl w:val="0"/>
          <w:numId w:val="2"/>
        </w:numPr>
        <w:spacing w:after="80"/>
      </w:pPr>
      <w:r>
        <w:rPr>
          <w:sz w:val="22"/>
          <w:szCs w:val="22"/>
        </w:rPr>
        <w:t xml:space="preserve">Azul: papel y cartón limpios y secos (hojas, cajas, periódico).</w:t>
      </w:r>
    </w:p>
    <w:p>
      <w:pPr>
        <w:pStyle w:val="ListParagraph"/>
        <w:numPr>
          <w:ilvl w:val="0"/>
          <w:numId w:val="2"/>
        </w:numPr>
        <w:spacing w:after="80"/>
      </w:pPr>
      <w:r>
        <w:rPr>
          <w:sz w:val="22"/>
          <w:szCs w:val="22"/>
        </w:rPr>
        <w:t xml:space="preserve">Amarillo: residuos inorgánicos reciclables como plástico y metal (botellas, fundas limpias, latas).</w:t>
      </w:r>
    </w:p>
    <w:p>
      <w:pPr>
        <w:pStyle w:val="ListParagraph"/>
        <w:numPr>
          <w:ilvl w:val="0"/>
          <w:numId w:val="2"/>
        </w:numPr>
        <w:spacing w:after="80"/>
      </w:pPr>
      <w:r>
        <w:rPr>
          <w:sz w:val="22"/>
          <w:szCs w:val="22"/>
        </w:rPr>
        <w:t xml:space="preserve">Negro: residuos no aprovechables o de disposición final, como papel higiénico, servilletas o empaques contaminados con comida.</w:t>
      </w:r>
    </w:p>
    <w:p>
      <w:pPr>
        <w:pStyle w:val="ListParagraph"/>
        <w:numPr>
          <w:ilvl w:val="0"/>
          <w:numId w:val="2"/>
        </w:numPr>
        <w:spacing w:after="80"/>
      </w:pPr>
      <w:r>
        <w:rPr>
          <w:sz w:val="22"/>
          <w:szCs w:val="22"/>
        </w:rPr>
        <w:t xml:space="preserve">Colores especiales: en instituciones suele añadirse un recipiente rojo para desechos peligrosos o biológico-infecciosos, gris para tóners y cartuchos, celeste para pilas y morado para material electrónico.</w:t>
      </w:r>
    </w:p>
    <w:p>
      <w:pPr>
        <w:pStyle w:val="Heading1"/>
        <w:spacing w:after="120" w:before="280"/>
      </w:pPr>
      <w:r>
        <w:rPr>
          <w:b/>
          <w:bCs/>
          <w:color w:val="2F5D3A"/>
          <w:sz w:val="28"/>
          <w:szCs w:val="28"/>
        </w:rPr>
        <w:t xml:space="preserve">¿Por qué es importante respetar el código de colores?</w:t>
      </w:r>
    </w:p>
    <w:p>
      <w:pPr>
        <w:spacing w:after="160"/>
        <w:jc w:val="both"/>
      </w:pPr>
      <w:r>
        <w:rPr>
          <w:sz w:val="22"/>
          <w:szCs w:val="22"/>
        </w:rPr>
        <w:t xml:space="preserve">Cuando los residuos se mezclan, el material reciclable se contamina —por ejemplo, papel manchado de comida— y pierde valor o directamente se descarta durante el proceso de reciclaje. Un código de colores consistente en toda la organización, ciudad o país reduce la contaminación cruzada y agiliza el trabajo de los recicladores y gestores ambientales.</w:t>
      </w:r>
    </w:p>
    <w:p>
      <w:pPr>
        <w:pStyle w:val="Heading1"/>
        <w:spacing w:after="120" w:before="280"/>
      </w:pPr>
      <w:r>
        <w:rPr>
          <w:b/>
          <w:bCs/>
          <w:color w:val="2F5D3A"/>
          <w:sz w:val="28"/>
          <w:szCs w:val="28"/>
        </w:rPr>
        <w:t xml:space="preserve">Cómo aplicar el código de colores en tu empresa o colegio</w:t>
      </w:r>
    </w:p>
    <w:p>
      <w:pPr>
        <w:spacing w:after="160"/>
        <w:jc w:val="both"/>
      </w:pPr>
      <w:r>
        <w:rPr>
          <w:sz w:val="22"/>
          <w:szCs w:val="22"/>
        </w:rPr>
        <w:t xml:space="preserve">No basta con comprar los contenedores del color correspondiente. Es clave etiquetarlos con imágenes y texto simple, ubicarlos en puntos ecológicos cercanos a las áreas de generación (cocina, comedor, oficinas) y reforzar su uso correcto mediante charlas breves y señalética visible.</w:t>
      </w:r>
    </w:p>
    <w:p>
      <w:pPr>
        <w:pStyle w:val="Heading1"/>
        <w:spacing w:after="120" w:before="280"/>
      </w:pPr>
      <w:r>
        <w:rPr>
          <w:b/>
          <w:bCs/>
          <w:color w:val="2F5D3A"/>
          <w:sz w:val="28"/>
          <w:szCs w:val="28"/>
        </w:rPr>
        <w:t xml:space="preserve">Preguntas frecuentes</w:t>
      </w:r>
    </w:p>
    <w:p>
      <w:pPr>
        <w:pStyle w:val="Heading2"/>
        <w:spacing w:after="100" w:before="200"/>
      </w:pPr>
      <w:r>
        <w:rPr>
          <w:b/>
          <w:bCs/>
          <w:color w:val="1F3D26"/>
          <w:sz w:val="24"/>
          <w:szCs w:val="24"/>
        </w:rPr>
        <w:t xml:space="preserve">¿Cuáles son los colores oficiales para reciclar en Ecuador?</w:t>
      </w:r>
    </w:p>
    <w:p>
      <w:pPr>
        <w:spacing w:after="160"/>
        <w:jc w:val="both"/>
      </w:pPr>
      <w:r>
        <w:rPr>
          <w:sz w:val="22"/>
          <w:szCs w:val="22"/>
        </w:rPr>
        <w:t xml:space="preserve">Según la norma NTE INEN 2841, los colores de referencia más utilizados son verde para orgánicos, azul para papel y cartón, amarillo para inorgánicos reciclables (plástico y metal) y negro para residuos no aprovechables, además de colores especiales para residuos peligrosos o electrónicos.</w:t>
      </w:r>
    </w:p>
    <w:p>
      <w:pPr>
        <w:pStyle w:val="Heading2"/>
        <w:spacing w:after="100" w:before="200"/>
      </w:pPr>
      <w:r>
        <w:rPr>
          <w:b/>
          <w:bCs/>
          <w:color w:val="1F3D26"/>
          <w:sz w:val="24"/>
          <w:szCs w:val="24"/>
        </w:rPr>
        <w:t xml:space="preserve">¿En qué tacho va el vidrio?</w:t>
      </w:r>
    </w:p>
    <w:p>
      <w:pPr>
        <w:spacing w:after="160"/>
        <w:jc w:val="both"/>
      </w:pPr>
      <w:r>
        <w:rPr>
          <w:sz w:val="22"/>
          <w:szCs w:val="22"/>
        </w:rPr>
        <w:t xml:space="preserve">El vidrio suele clasificarse como residuo inorgánico reciclable. Muchas instituciones lo agrupan junto al plástico y metal en el tacho amarillo, aunque algunos programas municipales o empresariales prefieren asignarle un contenedor específico por el riesgo de rotura.</w:t>
      </w:r>
    </w:p>
    <w:p>
      <w:pPr>
        <w:pStyle w:val="Heading2"/>
        <w:spacing w:after="100" w:before="200"/>
      </w:pPr>
      <w:r>
        <w:rPr>
          <w:b/>
          <w:bCs/>
          <w:color w:val="1F3D26"/>
          <w:sz w:val="24"/>
          <w:szCs w:val="24"/>
        </w:rPr>
        <w:t xml:space="preserve">¿Por qué a veces los colores varían entre ciudades o empresas?</w:t>
      </w:r>
    </w:p>
    <w:p>
      <w:pPr>
        <w:spacing w:after="160"/>
        <w:jc w:val="both"/>
      </w:pPr>
      <w:r>
        <w:rPr>
          <w:sz w:val="22"/>
          <w:szCs w:val="22"/>
        </w:rPr>
        <w:t xml:space="preserve">Aunque la norma NTE INEN 2841 busca estandarizar el uso, algunas ordenanzas municipales y programas privados adaptan la cantidad de categorías según su capacidad de gestión, lo que puede generar pequeñas variaciones locales respecto al estándar nacional.</w:t>
      </w:r>
    </w:p>
    <w:p>
      <w:pPr>
        <w:pStyle w:val="Heading1"/>
        <w:spacing w:after="120" w:before="280"/>
      </w:pPr>
      <w:r>
        <w:rPr>
          <w:b/>
          <w:bCs/>
          <w:color w:val="2F5D3A"/>
          <w:sz w:val="28"/>
          <w:szCs w:val="28"/>
        </w:rPr>
        <w:t xml:space="preserve">Fuentes</w:t>
      </w:r>
    </w:p>
    <w:p>
      <w:pPr>
        <w:pStyle w:val="ListParagraph"/>
        <w:numPr>
          <w:ilvl w:val="0"/>
          <w:numId w:val="3"/>
        </w:numPr>
        <w:spacing w:after="100"/>
      </w:pPr>
      <w:r>
        <w:rPr>
          <w:sz w:val="20"/>
          <w:szCs w:val="20"/>
        </w:rPr>
        <w:t xml:space="preserve">Universidad de las Fuerzas Armadas ESPE — Norma NTE INEN 2841:2014, marco normativo de gestión de residuos en Ecuador — </w:t>
      </w:r>
      <w:hyperlink w:history="1" r:id="rIdrfinzi5afortdrdc775v9">
        <w:r>
          <w:rPr>
            <w:rStyle w:val="Hyperlink"/>
            <w:sz w:val="20"/>
            <w:szCs w:val="20"/>
          </w:rPr>
          <w:t xml:space="preserve">https://sin.espe.edu.ec/wp-content/uploads/2024/09/2023-USIN-PRC-GESTION-RESIDUOS-NO-PELIGROSOS.pdf</w:t>
        </w:r>
      </w:hyperlink>
    </w:p>
    <w:p>
      <w:pPr>
        <w:pStyle w:val="ListParagraph"/>
        <w:numPr>
          <w:ilvl w:val="0"/>
          <w:numId w:val="3"/>
        </w:numPr>
        <w:spacing w:after="100"/>
      </w:pPr>
      <w:r>
        <w:rPr>
          <w:sz w:val="20"/>
          <w:szCs w:val="20"/>
        </w:rPr>
        <w:t xml:space="preserve">FLACSO Ecuador — Sistema de Gestión Ambiental y clasificación de residuos sólidos por colores — </w:t>
      </w:r>
      <w:hyperlink w:history="1" r:id="rIdrk_tyg31f0hhzpztq5tse">
        <w:r>
          <w:rPr>
            <w:rStyle w:val="Hyperlink"/>
            <w:sz w:val="20"/>
            <w:szCs w:val="20"/>
          </w:rPr>
          <w:t xml:space="preserve">https://www.flacso.edu.ec/portal/pnTemp/PageMaster/rf02f4rilocf337rgbumyew6qm77xe.pdf</w:t>
        </w:r>
      </w:hyperlink>
    </w:p>
    <w:p>
      <w:pPr>
        <w:pStyle w:val="ListParagraph"/>
        <w:numPr>
          <w:ilvl w:val="0"/>
          <w:numId w:val="3"/>
        </w:numPr>
        <w:spacing w:after="100"/>
      </w:pPr>
      <w:r>
        <w:rPr>
          <w:sz w:val="20"/>
          <w:szCs w:val="20"/>
        </w:rPr>
        <w:t xml:space="preserve">Revista Conrado (UCF) — Aplicación de la norma INEN 2841 en instituciones educativas de Ecuador — </w:t>
      </w:r>
      <w:hyperlink w:history="1" r:id="rId08wejop-beoxehbeuwdos">
        <w:r>
          <w:rPr>
            <w:rStyle w:val="Hyperlink"/>
            <w:sz w:val="20"/>
            <w:szCs w:val="20"/>
          </w:rPr>
          <w:t xml:space="preserve">https://conrado.ucf.edu.cu/index.php/conrado/article/download/4760/4630/17046</w:t>
        </w:r>
      </w:hyperlink>
    </w:p>
    <w:p>
      <w:pPr>
        <w:pBdr>
          <w:top w:val="single" w:color="CCCCCC" w:sz="6" w:space="8"/>
        </w:pBdr>
        <w:spacing w:before="300"/>
      </w:pPr>
    </w:p>
    <w:p>
      <w:pPr>
        <w:spacing w:before="160"/>
      </w:pPr>
      <w:r>
        <w:rPr>
          <w:i/>
          <w:iCs/>
          <w:color w:val="555555"/>
          <w:sz w:val="18"/>
          <w:szCs w:val="18"/>
        </w:rPr>
        <w:t xml:space="preserve">Contenido elaborado por el equipo editorial de EcoSawa con fines informativos y de educación ambiental.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431"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finzi5afortdrdc775v9" Type="http://schemas.openxmlformats.org/officeDocument/2006/relationships/hyperlink" Target="https://sin.espe.edu.ec/wp-content/uploads/2024/09/2023-USIN-PRC-GESTION-RESIDUOS-NO-PELIGROSOS.pdf" TargetMode="External"/><Relationship Id="rIdrk_tyg31f0hhzpztq5tse" Type="http://schemas.openxmlformats.org/officeDocument/2006/relationships/hyperlink" Target="https://www.flacso.edu.ec/portal/pnTemp/PageMaster/rf02f4rilocf337rgbumyew6qm77xe.pdf" TargetMode="External"/><Relationship Id="rId08wejop-beoxehbeuwdos" Type="http://schemas.openxmlformats.org/officeDocument/2006/relationships/hyperlink" Target="https://conrado.ucf.edu.cu/index.php/conrado/article/download/4760/4630/17046"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2026-09-27T04:45:58.192Z</dcterms:created>
  <dcterms:modified xsi:type="dcterms:W3CDTF">2026-09-27T04:45:58.192Z</dcterms:modified>
</cp:coreProperties>
</file>

<file path=docProps/custom.xml><?xml version="1.0" encoding="utf-8"?>
<Properties xmlns="http://schemas.openxmlformats.org/officeDocument/2006/custom-properties" xmlns:vt="http://schemas.openxmlformats.org/officeDocument/2006/docPropsVTypes"/>
</file>