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Safety and Governance</w:t>
      </w:r>
    </w:p>
    <w:p/>
    <w:p>
      <w:pPr>
        <w:pStyle w:val="ListBullet"/>
      </w:pPr>
      <w:r>
        <w:t>Retrieved content is treated as data, not instructions.</w:t>
      </w:r>
    </w:p>
    <w:p>
      <w:pPr>
        <w:pStyle w:val="ListBullet"/>
      </w:pPr>
      <w:r>
        <w:t>Safety review exists as a typed tool and specialist agent.</w:t>
      </w:r>
    </w:p>
    <w:p>
      <w:pPr>
        <w:pStyle w:val="ListBullet"/>
      </w:pPr>
      <w:r>
        <w:t>Private dining workflows can pause for manager approval.</w:t>
      </w:r>
    </w:p>
    <w:p>
      <w:pPr>
        <w:pStyle w:val="ListBullet"/>
      </w:pPr>
      <w:r>
        <w:t>Reservation drafts never imply confirmed availability.</w:t>
      </w:r>
    </w:p>
    <w:p>
      <w:pPr>
        <w:pStyle w:val="ListBullet"/>
      </w:pPr>
      <w:r>
        <w:t>Manager escalation packets are created without autonomous sensitive outbound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and Governance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